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jc w:val="center"/>
        <w:rPr>
          <w:rFonts w:hint="eastAsia" w:ascii="Verdana" w:hAnsi="Verdana" w:cs="宋体"/>
          <w:color w:val="222222"/>
          <w:kern w:val="0"/>
          <w:sz w:val="36"/>
          <w:szCs w:val="36"/>
          <w:lang w:eastAsia="zh-CN"/>
        </w:rPr>
      </w:pPr>
    </w:p>
    <w:p>
      <w:pPr>
        <w:widowControl/>
        <w:spacing w:line="580" w:lineRule="atLeast"/>
        <w:jc w:val="center"/>
        <w:rPr>
          <w:rFonts w:hint="eastAsia" w:ascii="Verdana" w:hAnsi="Verdana" w:cs="宋体"/>
          <w:color w:val="222222"/>
          <w:kern w:val="0"/>
          <w:sz w:val="36"/>
          <w:szCs w:val="36"/>
          <w:lang w:eastAsia="zh-CN"/>
        </w:rPr>
      </w:pPr>
    </w:p>
    <w:p>
      <w:pPr>
        <w:widowControl/>
        <w:spacing w:line="580" w:lineRule="atLeast"/>
        <w:jc w:val="center"/>
        <w:rPr>
          <w:rFonts w:hint="eastAsia" w:ascii="Verdana" w:hAnsi="Verdana" w:cs="宋体"/>
          <w:color w:val="222222"/>
          <w:kern w:val="0"/>
          <w:sz w:val="36"/>
          <w:szCs w:val="36"/>
          <w:lang w:eastAsia="zh-CN"/>
        </w:rPr>
      </w:pPr>
    </w:p>
    <w:p>
      <w:pPr>
        <w:widowControl/>
        <w:spacing w:line="580" w:lineRule="atLeast"/>
        <w:jc w:val="both"/>
        <w:rPr>
          <w:rFonts w:hint="eastAsia" w:ascii="Verdana" w:hAnsi="Verdana" w:cs="宋体"/>
          <w:color w:val="222222"/>
          <w:kern w:val="0"/>
          <w:sz w:val="36"/>
          <w:szCs w:val="36"/>
          <w:lang w:eastAsia="zh-CN"/>
        </w:rPr>
      </w:pPr>
    </w:p>
    <w:p>
      <w:pPr>
        <w:widowControl/>
        <w:spacing w:line="580" w:lineRule="atLeast"/>
        <w:jc w:val="center"/>
        <w:rPr>
          <w:rFonts w:hint="eastAsia" w:ascii="宋体" w:hAnsi="宋体"/>
          <w:color w:val="222222"/>
          <w:kern w:val="0"/>
          <w:sz w:val="32"/>
          <w:szCs w:val="32"/>
        </w:rPr>
      </w:pPr>
      <w:r>
        <w:rPr>
          <w:rFonts w:hint="eastAsia" w:ascii="Verdana" w:hAnsi="Verdana" w:cs="宋体"/>
          <w:color w:val="222222"/>
          <w:kern w:val="0"/>
          <w:sz w:val="44"/>
          <w:szCs w:val="44"/>
          <w:lang w:eastAsia="zh-CN"/>
        </w:rPr>
        <w:t>武冈市司法局</w:t>
      </w:r>
      <w:r>
        <w:rPr>
          <w:rFonts w:ascii="Verdana" w:hAnsi="Verdana" w:cs="宋体"/>
          <w:color w:val="222222"/>
          <w:kern w:val="0"/>
          <w:sz w:val="44"/>
          <w:szCs w:val="44"/>
        </w:rPr>
        <w:t>部门整体支出绩效评价报告</w:t>
      </w:r>
    </w:p>
    <w:p>
      <w:pPr>
        <w:widowControl/>
        <w:spacing w:line="580" w:lineRule="atLeast"/>
        <w:rPr>
          <w:rFonts w:hint="eastAsia" w:ascii="宋体" w:hAnsi="宋体"/>
          <w:color w:val="222222"/>
          <w:kern w:val="0"/>
          <w:sz w:val="32"/>
          <w:szCs w:val="32"/>
        </w:rPr>
      </w:pPr>
    </w:p>
    <w:p>
      <w:pPr>
        <w:widowControl/>
        <w:spacing w:line="580" w:lineRule="atLeast"/>
        <w:rPr>
          <w:color w:val="222222"/>
          <w:kern w:val="0"/>
          <w:szCs w:val="21"/>
        </w:rPr>
      </w:pPr>
      <w:r>
        <w:rPr>
          <w:rFonts w:hint="eastAsia" w:ascii="宋体" w:hAnsi="宋体"/>
          <w:color w:val="222222"/>
          <w:kern w:val="0"/>
          <w:sz w:val="32"/>
          <w:szCs w:val="32"/>
        </w:rPr>
        <w:t>市财政局：</w:t>
      </w:r>
    </w:p>
    <w:p>
      <w:pPr>
        <w:widowControl/>
        <w:spacing w:line="580" w:lineRule="atLeast"/>
        <w:ind w:firstLine="640"/>
        <w:rPr>
          <w:color w:val="222222"/>
          <w:kern w:val="0"/>
          <w:szCs w:val="21"/>
        </w:rPr>
      </w:pPr>
      <w:r>
        <w:rPr>
          <w:rFonts w:hint="eastAsia" w:ascii="宋体" w:hAnsi="宋体"/>
          <w:color w:val="222222"/>
          <w:kern w:val="0"/>
          <w:sz w:val="32"/>
          <w:szCs w:val="32"/>
        </w:rPr>
        <w:t>按照市财政局关于绩效评价文件要求，现将我局部门整体支出绩效评价情况报告如下：</w:t>
      </w:r>
    </w:p>
    <w:p>
      <w:pPr>
        <w:widowControl/>
        <w:numPr>
          <w:ilvl w:val="0"/>
          <w:numId w:val="1"/>
        </w:numPr>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基本情况</w:t>
      </w:r>
    </w:p>
    <w:p>
      <w:pPr>
        <w:widowControl/>
        <w:spacing w:line="580" w:lineRule="atLeast"/>
        <w:ind w:firstLine="643"/>
        <w:rPr>
          <w:rFonts w:hint="eastAsia" w:ascii="宋体" w:hAnsi="宋体"/>
          <w:b w:val="0"/>
          <w:bCs w:val="0"/>
          <w:color w:val="222222"/>
          <w:kern w:val="0"/>
          <w:sz w:val="32"/>
          <w:szCs w:val="32"/>
        </w:rPr>
      </w:pPr>
      <w:r>
        <w:rPr>
          <w:rFonts w:hint="eastAsia" w:ascii="宋体" w:hAnsi="宋体"/>
          <w:b w:val="0"/>
          <w:bCs w:val="0"/>
          <w:color w:val="222222"/>
          <w:kern w:val="0"/>
          <w:sz w:val="32"/>
          <w:szCs w:val="32"/>
        </w:rPr>
        <w:t>（一） 机构、人员构成</w:t>
      </w:r>
    </w:p>
    <w:p>
      <w:pPr>
        <w:widowControl/>
        <w:spacing w:line="580" w:lineRule="atLeast"/>
        <w:ind w:firstLine="640"/>
        <w:rPr>
          <w:rFonts w:hint="eastAsia" w:ascii="宋体" w:hAnsi="宋体"/>
          <w:color w:val="222222"/>
          <w:kern w:val="0"/>
          <w:sz w:val="32"/>
          <w:szCs w:val="32"/>
          <w:lang w:val="en-US" w:eastAsia="zh-CN"/>
        </w:rPr>
      </w:pPr>
      <w:r>
        <w:rPr>
          <w:rFonts w:hint="eastAsia" w:ascii="宋体" w:hAnsi="宋体"/>
          <w:color w:val="222222"/>
          <w:kern w:val="0"/>
          <w:sz w:val="32"/>
          <w:szCs w:val="32"/>
          <w:lang w:eastAsia="zh-CN"/>
        </w:rPr>
        <w:t>武冈市司法局系正科级行政单位。</w:t>
      </w:r>
      <w:r>
        <w:rPr>
          <w:rFonts w:hint="eastAsia" w:ascii="宋体" w:hAnsi="宋体"/>
          <w:color w:val="222222"/>
          <w:kern w:val="0"/>
          <w:sz w:val="32"/>
          <w:szCs w:val="32"/>
        </w:rPr>
        <w:t>根据编委核定，</w:t>
      </w:r>
      <w:r>
        <w:rPr>
          <w:rFonts w:hint="eastAsia" w:ascii="宋体" w:hAnsi="宋体"/>
          <w:color w:val="222222"/>
          <w:kern w:val="0"/>
          <w:sz w:val="32"/>
          <w:szCs w:val="32"/>
          <w:lang w:eastAsia="zh-CN"/>
        </w:rPr>
        <w:t>我</w:t>
      </w:r>
      <w:r>
        <w:rPr>
          <w:rFonts w:hint="eastAsia" w:ascii="宋体" w:hAnsi="宋体"/>
          <w:color w:val="222222"/>
          <w:kern w:val="0"/>
          <w:sz w:val="32"/>
          <w:szCs w:val="32"/>
        </w:rPr>
        <w:t>局</w:t>
      </w:r>
      <w:r>
        <w:rPr>
          <w:rFonts w:hint="eastAsia" w:ascii="宋体" w:hAnsi="宋体"/>
          <w:color w:val="222222"/>
          <w:kern w:val="0"/>
          <w:sz w:val="32"/>
          <w:szCs w:val="32"/>
          <w:lang w:eastAsia="zh-CN"/>
        </w:rPr>
        <w:t>机关本级</w:t>
      </w:r>
      <w:r>
        <w:rPr>
          <w:rFonts w:hint="eastAsia" w:ascii="宋体" w:hAnsi="宋体"/>
          <w:color w:val="222222"/>
          <w:kern w:val="0"/>
          <w:sz w:val="32"/>
          <w:szCs w:val="32"/>
        </w:rPr>
        <w:t>设</w:t>
      </w:r>
      <w:r>
        <w:rPr>
          <w:rFonts w:hint="eastAsia" w:ascii="宋体" w:hAnsi="宋体"/>
          <w:color w:val="222222"/>
          <w:kern w:val="0"/>
          <w:sz w:val="32"/>
          <w:szCs w:val="32"/>
          <w:lang w:val="en-US" w:eastAsia="zh-CN"/>
        </w:rPr>
        <w:t>13</w:t>
      </w:r>
      <w:r>
        <w:rPr>
          <w:rFonts w:hint="eastAsia" w:ascii="宋体" w:hAnsi="宋体"/>
          <w:color w:val="222222"/>
          <w:kern w:val="0"/>
          <w:sz w:val="32"/>
          <w:szCs w:val="32"/>
        </w:rPr>
        <w:t>个股室处所，内设处室分别是</w:t>
      </w:r>
      <w:r>
        <w:rPr>
          <w:rFonts w:hint="eastAsia" w:ascii="宋体" w:hAnsi="宋体"/>
          <w:color w:val="222222"/>
          <w:kern w:val="0"/>
          <w:sz w:val="32"/>
          <w:szCs w:val="32"/>
          <w:lang w:eastAsia="zh-CN"/>
        </w:rPr>
        <w:t>政工室、</w:t>
      </w:r>
      <w:r>
        <w:rPr>
          <w:rFonts w:hint="eastAsia" w:ascii="宋体" w:hAnsi="宋体"/>
          <w:color w:val="222222"/>
          <w:kern w:val="0"/>
          <w:sz w:val="32"/>
          <w:szCs w:val="32"/>
        </w:rPr>
        <w:t>办公室、</w:t>
      </w:r>
      <w:r>
        <w:rPr>
          <w:rFonts w:hint="eastAsia" w:ascii="宋体" w:hAnsi="宋体"/>
          <w:color w:val="222222"/>
          <w:kern w:val="0"/>
          <w:sz w:val="32"/>
          <w:szCs w:val="32"/>
          <w:lang w:eastAsia="zh-CN"/>
        </w:rPr>
        <w:t>依法治市办秘书股</w:t>
      </w:r>
      <w:r>
        <w:rPr>
          <w:rFonts w:hint="eastAsia" w:ascii="宋体" w:hAnsi="宋体"/>
          <w:color w:val="222222"/>
          <w:kern w:val="0"/>
          <w:sz w:val="32"/>
          <w:szCs w:val="32"/>
        </w:rPr>
        <w:t>、</w:t>
      </w:r>
      <w:r>
        <w:rPr>
          <w:rFonts w:hint="eastAsia" w:ascii="宋体" w:hAnsi="宋体"/>
          <w:color w:val="222222"/>
          <w:kern w:val="0"/>
          <w:sz w:val="32"/>
          <w:szCs w:val="32"/>
          <w:lang w:eastAsia="zh-CN"/>
        </w:rPr>
        <w:t>规范性文件管理与法律事务服务股</w:t>
      </w:r>
      <w:r>
        <w:rPr>
          <w:rFonts w:hint="eastAsia" w:ascii="宋体" w:hAnsi="宋体"/>
          <w:color w:val="222222"/>
          <w:kern w:val="0"/>
          <w:sz w:val="32"/>
          <w:szCs w:val="32"/>
        </w:rPr>
        <w:t>、</w:t>
      </w:r>
      <w:r>
        <w:rPr>
          <w:rFonts w:hint="eastAsia" w:ascii="宋体" w:hAnsi="宋体"/>
          <w:color w:val="222222"/>
          <w:kern w:val="0"/>
          <w:sz w:val="32"/>
          <w:szCs w:val="32"/>
          <w:lang w:eastAsia="zh-CN"/>
        </w:rPr>
        <w:t>社区矫正管理股</w:t>
      </w:r>
      <w:r>
        <w:rPr>
          <w:rFonts w:hint="eastAsia" w:ascii="宋体" w:hAnsi="宋体"/>
          <w:color w:val="222222"/>
          <w:kern w:val="0"/>
          <w:sz w:val="32"/>
          <w:szCs w:val="32"/>
        </w:rPr>
        <w:t>、</w:t>
      </w:r>
      <w:r>
        <w:rPr>
          <w:rFonts w:hint="eastAsia" w:ascii="宋体" w:hAnsi="宋体"/>
          <w:color w:val="222222"/>
          <w:kern w:val="0"/>
          <w:sz w:val="32"/>
          <w:szCs w:val="32"/>
          <w:lang w:eastAsia="zh-CN"/>
        </w:rPr>
        <w:t>行政复议与应诉股、行政执法协调与监督股、人民参与和促进法制股、公共法律服务股、法律援助中心</w:t>
      </w:r>
      <w:r>
        <w:rPr>
          <w:rFonts w:hint="eastAsia" w:ascii="宋体" w:hAnsi="宋体"/>
          <w:color w:val="222222"/>
          <w:kern w:val="0"/>
          <w:sz w:val="32"/>
          <w:szCs w:val="32"/>
        </w:rPr>
        <w:t>、</w:t>
      </w:r>
      <w:r>
        <w:rPr>
          <w:rFonts w:hint="eastAsia" w:ascii="宋体" w:hAnsi="宋体"/>
          <w:color w:val="222222"/>
          <w:kern w:val="0"/>
          <w:sz w:val="32"/>
          <w:szCs w:val="32"/>
          <w:lang w:eastAsia="zh-CN"/>
        </w:rPr>
        <w:t>律师工作股</w:t>
      </w:r>
      <w:r>
        <w:rPr>
          <w:rFonts w:hint="eastAsia" w:ascii="宋体" w:hAnsi="宋体"/>
          <w:color w:val="222222"/>
          <w:kern w:val="0"/>
          <w:sz w:val="32"/>
          <w:szCs w:val="32"/>
        </w:rPr>
        <w:t>、</w:t>
      </w:r>
      <w:r>
        <w:rPr>
          <w:rFonts w:hint="eastAsia" w:ascii="宋体" w:hAnsi="宋体"/>
          <w:color w:val="222222"/>
          <w:kern w:val="0"/>
          <w:sz w:val="32"/>
          <w:szCs w:val="32"/>
          <w:lang w:eastAsia="zh-CN"/>
        </w:rPr>
        <w:t>普法与依法治理股、工会办公室。下设</w:t>
      </w:r>
      <w:r>
        <w:rPr>
          <w:rFonts w:hint="eastAsia" w:ascii="宋体" w:hAnsi="宋体"/>
          <w:color w:val="222222"/>
          <w:kern w:val="0"/>
          <w:sz w:val="32"/>
          <w:szCs w:val="32"/>
          <w:lang w:val="en-US" w:eastAsia="zh-CN"/>
        </w:rPr>
        <w:t>18个司法所，为我单位二级机构。</w:t>
      </w:r>
    </w:p>
    <w:p>
      <w:pPr>
        <w:widowControl/>
        <w:spacing w:line="580" w:lineRule="atLeast"/>
        <w:ind w:firstLine="640"/>
        <w:rPr>
          <w:color w:val="222222"/>
          <w:kern w:val="0"/>
          <w:szCs w:val="21"/>
        </w:rPr>
      </w:pPr>
      <w:r>
        <w:rPr>
          <w:rFonts w:hint="eastAsia" w:ascii="宋体" w:hAnsi="宋体"/>
          <w:color w:val="222222"/>
          <w:kern w:val="0"/>
          <w:sz w:val="32"/>
          <w:szCs w:val="32"/>
        </w:rPr>
        <w:t>我局机关本级</w:t>
      </w:r>
      <w:r>
        <w:rPr>
          <w:rFonts w:hint="eastAsia" w:ascii="宋体" w:hAnsi="宋体"/>
          <w:color w:val="222222"/>
          <w:kern w:val="0"/>
          <w:sz w:val="32"/>
          <w:szCs w:val="32"/>
          <w:lang w:eastAsia="zh-CN"/>
        </w:rPr>
        <w:t>及</w:t>
      </w:r>
      <w:r>
        <w:rPr>
          <w:rFonts w:hint="eastAsia" w:ascii="宋体" w:hAnsi="宋体"/>
          <w:color w:val="222222"/>
          <w:kern w:val="0"/>
          <w:sz w:val="32"/>
          <w:szCs w:val="32"/>
          <w:lang w:val="en-US" w:eastAsia="zh-CN"/>
        </w:rPr>
        <w:t>18个二级机构都</w:t>
      </w:r>
      <w:r>
        <w:rPr>
          <w:rFonts w:hint="eastAsia" w:ascii="宋体" w:hAnsi="宋体"/>
          <w:color w:val="222222"/>
          <w:kern w:val="0"/>
          <w:sz w:val="32"/>
          <w:szCs w:val="32"/>
        </w:rPr>
        <w:t>纳入了财政预算，20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年年初预算，编制人数为</w:t>
      </w:r>
      <w:r>
        <w:rPr>
          <w:rFonts w:hint="eastAsia" w:ascii="宋体" w:hAnsi="宋体"/>
          <w:color w:val="222222"/>
          <w:kern w:val="0"/>
          <w:sz w:val="32"/>
          <w:szCs w:val="32"/>
          <w:lang w:val="en-US" w:eastAsia="zh-CN"/>
        </w:rPr>
        <w:t>80</w:t>
      </w:r>
      <w:r>
        <w:rPr>
          <w:rFonts w:hint="eastAsia" w:ascii="宋体" w:hAnsi="宋体"/>
          <w:color w:val="222222"/>
          <w:kern w:val="0"/>
          <w:sz w:val="32"/>
          <w:szCs w:val="32"/>
        </w:rPr>
        <w:t>人，实有在职人员</w:t>
      </w:r>
      <w:r>
        <w:rPr>
          <w:rFonts w:hint="eastAsia" w:ascii="宋体" w:hAnsi="宋体"/>
          <w:color w:val="222222"/>
          <w:kern w:val="0"/>
          <w:sz w:val="32"/>
          <w:szCs w:val="32"/>
          <w:lang w:val="en-US" w:eastAsia="zh-CN"/>
        </w:rPr>
        <w:t>74</w:t>
      </w:r>
      <w:r>
        <w:rPr>
          <w:rFonts w:hint="eastAsia" w:ascii="宋体" w:hAnsi="宋体"/>
          <w:color w:val="222222"/>
          <w:kern w:val="0"/>
          <w:sz w:val="32"/>
          <w:szCs w:val="32"/>
        </w:rPr>
        <w:t>人，退休人员</w:t>
      </w:r>
      <w:r>
        <w:rPr>
          <w:rFonts w:hint="eastAsia" w:ascii="宋体" w:hAnsi="宋体"/>
          <w:color w:val="222222"/>
          <w:kern w:val="0"/>
          <w:sz w:val="32"/>
          <w:szCs w:val="32"/>
          <w:lang w:val="en-US" w:eastAsia="zh-CN"/>
        </w:rPr>
        <w:t>25</w:t>
      </w:r>
      <w:r>
        <w:rPr>
          <w:rFonts w:hint="eastAsia" w:ascii="宋体" w:hAnsi="宋体"/>
          <w:color w:val="222222"/>
          <w:kern w:val="0"/>
          <w:sz w:val="32"/>
          <w:szCs w:val="32"/>
        </w:rPr>
        <w:t>人。20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年末，全局实有在职人员</w:t>
      </w:r>
      <w:r>
        <w:rPr>
          <w:rFonts w:hint="eastAsia" w:ascii="宋体" w:hAnsi="宋体"/>
          <w:color w:val="222222"/>
          <w:kern w:val="0"/>
          <w:sz w:val="32"/>
          <w:szCs w:val="32"/>
          <w:lang w:val="en-US" w:eastAsia="zh-CN"/>
        </w:rPr>
        <w:t>72</w:t>
      </w:r>
      <w:r>
        <w:rPr>
          <w:rFonts w:hint="eastAsia" w:ascii="宋体" w:hAnsi="宋体"/>
          <w:color w:val="222222"/>
          <w:kern w:val="0"/>
          <w:sz w:val="32"/>
          <w:szCs w:val="32"/>
        </w:rPr>
        <w:t>人，退休人员</w:t>
      </w:r>
      <w:r>
        <w:rPr>
          <w:rFonts w:hint="eastAsia" w:ascii="宋体" w:hAnsi="宋体"/>
          <w:color w:val="222222"/>
          <w:kern w:val="0"/>
          <w:sz w:val="32"/>
          <w:szCs w:val="32"/>
          <w:lang w:val="en-US" w:eastAsia="zh-CN"/>
        </w:rPr>
        <w:t>27</w:t>
      </w:r>
      <w:r>
        <w:rPr>
          <w:rFonts w:hint="eastAsia" w:ascii="宋体" w:hAnsi="宋体"/>
          <w:color w:val="222222"/>
          <w:kern w:val="0"/>
          <w:sz w:val="32"/>
          <w:szCs w:val="32"/>
        </w:rPr>
        <w:t>人。</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（二） 单位主要职责</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1．制订全市依法治市和法制宣传教育规划并组织实施，指导全市法制宣传教育工作和依法治理工作；</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2．管理和监督全市社区矫正工作；组织指导对刑释解教人员安置帮教工作；</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3. 管理、监督和指导全市律师工作和法律顾问工作，管理社会法律服务机构；</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4. 指导全市人民调解工作；管理和指导全市法律援助工作；</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5. 管理和指导全市公证业务工作；</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6. 管理、监督、指导全市面向社会的司法鉴定工作；</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7. 承办市委政府交办的其他工作。</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（三） 部门内部控制及厉行节约制度建设情况</w:t>
      </w:r>
    </w:p>
    <w:p>
      <w:pPr>
        <w:widowControl/>
        <w:spacing w:line="580" w:lineRule="atLeast"/>
        <w:ind w:firstLine="640"/>
        <w:rPr>
          <w:color w:val="222222"/>
          <w:kern w:val="0"/>
          <w:szCs w:val="21"/>
        </w:rPr>
      </w:pPr>
      <w:r>
        <w:rPr>
          <w:rFonts w:hint="eastAsia" w:ascii="宋体" w:hAnsi="宋体"/>
          <w:color w:val="222222"/>
          <w:kern w:val="0"/>
          <w:sz w:val="32"/>
          <w:szCs w:val="32"/>
        </w:rPr>
        <w:t>1. 高度重视预算支出绩效评价工作，明确各职能处室的评价责任，进一步强化各处室对财政预算支出管理意识。</w:t>
      </w:r>
    </w:p>
    <w:p>
      <w:pPr>
        <w:widowControl/>
        <w:spacing w:line="580" w:lineRule="atLeast"/>
        <w:ind w:firstLine="640"/>
        <w:rPr>
          <w:color w:val="222222"/>
          <w:kern w:val="0"/>
          <w:szCs w:val="21"/>
        </w:rPr>
      </w:pPr>
      <w:r>
        <w:rPr>
          <w:rFonts w:hint="eastAsia" w:ascii="宋体" w:hAnsi="宋体"/>
          <w:color w:val="222222"/>
          <w:kern w:val="0"/>
          <w:sz w:val="32"/>
          <w:szCs w:val="32"/>
        </w:rPr>
        <w:t>2. 加强对国家、省级财政预算资金管理方面制度的学习培训，不断提高各职能处室的业务工作能力。及时组织局机关人员学习</w:t>
      </w:r>
      <w:r>
        <w:rPr>
          <w:rFonts w:hint="eastAsia" w:ascii="宋体" w:hAnsi="宋体"/>
          <w:color w:val="222222"/>
          <w:kern w:val="0"/>
          <w:sz w:val="32"/>
          <w:szCs w:val="32"/>
          <w:lang w:eastAsia="zh-CN"/>
        </w:rPr>
        <w:t>省里和市里下发的有关</w:t>
      </w:r>
      <w:r>
        <w:rPr>
          <w:rFonts w:hint="eastAsia" w:ascii="宋体" w:hAnsi="宋体"/>
          <w:color w:val="222222"/>
          <w:kern w:val="0"/>
          <w:sz w:val="32"/>
          <w:szCs w:val="32"/>
        </w:rPr>
        <w:t>管理办法。</w:t>
      </w:r>
    </w:p>
    <w:p>
      <w:pPr>
        <w:widowControl/>
        <w:spacing w:line="580" w:lineRule="atLeast"/>
        <w:ind w:firstLine="640"/>
        <w:rPr>
          <w:color w:val="222222"/>
          <w:kern w:val="0"/>
          <w:szCs w:val="21"/>
        </w:rPr>
      </w:pPr>
      <w:r>
        <w:rPr>
          <w:rFonts w:hint="eastAsia" w:ascii="宋体" w:hAnsi="宋体"/>
          <w:color w:val="222222"/>
          <w:kern w:val="0"/>
          <w:sz w:val="32"/>
          <w:szCs w:val="32"/>
        </w:rPr>
        <w:t>3. 建立了机关整体支出管理方面的内控制度，对招待费、公务用车等支出进行了有效管控。</w:t>
      </w:r>
    </w:p>
    <w:p>
      <w:pPr>
        <w:widowControl/>
        <w:spacing w:line="580" w:lineRule="atLeast"/>
        <w:ind w:firstLine="640"/>
        <w:rPr>
          <w:color w:val="222222"/>
          <w:kern w:val="0"/>
          <w:szCs w:val="21"/>
        </w:rPr>
      </w:pPr>
      <w:r>
        <w:rPr>
          <w:rFonts w:hint="eastAsia" w:ascii="宋体" w:hAnsi="宋体"/>
          <w:color w:val="222222"/>
          <w:kern w:val="0"/>
          <w:sz w:val="32"/>
          <w:szCs w:val="32"/>
        </w:rPr>
        <w:t>4. 严格制度执行，特别是“三公”经费的预算控制。加强对公务用车的管理，严格招待费用审核审批程序，“三公”经费较好地控制在预算范围之内。</w:t>
      </w:r>
    </w:p>
    <w:p>
      <w:pPr>
        <w:widowControl/>
        <w:spacing w:line="580" w:lineRule="atLeast"/>
        <w:ind w:firstLine="640"/>
        <w:rPr>
          <w:color w:val="222222"/>
          <w:kern w:val="0"/>
          <w:szCs w:val="21"/>
        </w:rPr>
      </w:pPr>
      <w:r>
        <w:rPr>
          <w:rFonts w:hint="eastAsia" w:ascii="宋体" w:hAnsi="宋体"/>
          <w:color w:val="222222"/>
          <w:kern w:val="0"/>
          <w:sz w:val="32"/>
          <w:szCs w:val="32"/>
        </w:rPr>
        <w:t>二、部门整体支出规模及使用方向、内容</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（一）20</w:t>
      </w:r>
      <w:r>
        <w:rPr>
          <w:rFonts w:hint="eastAsia" w:ascii="宋体" w:hAnsi="宋体"/>
          <w:b w:val="0"/>
          <w:bCs w:val="0"/>
          <w:color w:val="222222"/>
          <w:kern w:val="0"/>
          <w:sz w:val="32"/>
          <w:szCs w:val="32"/>
          <w:lang w:val="en-US" w:eastAsia="zh-CN"/>
        </w:rPr>
        <w:t>20</w:t>
      </w:r>
      <w:r>
        <w:rPr>
          <w:rFonts w:hint="eastAsia" w:ascii="宋体" w:hAnsi="宋体"/>
          <w:b w:val="0"/>
          <w:bCs w:val="0"/>
          <w:color w:val="222222"/>
          <w:kern w:val="0"/>
          <w:sz w:val="32"/>
          <w:szCs w:val="32"/>
        </w:rPr>
        <w:t>年预算规模情况</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1．预算资金情况</w:t>
      </w:r>
    </w:p>
    <w:p>
      <w:pPr>
        <w:widowControl/>
        <w:spacing w:line="580" w:lineRule="atLeast"/>
        <w:ind w:firstLine="640"/>
        <w:rPr>
          <w:color w:val="222222"/>
          <w:kern w:val="0"/>
          <w:szCs w:val="21"/>
        </w:rPr>
      </w:pPr>
      <w:r>
        <w:rPr>
          <w:rFonts w:hint="eastAsia" w:ascii="宋体" w:hAnsi="宋体"/>
          <w:color w:val="222222"/>
          <w:kern w:val="0"/>
          <w:sz w:val="32"/>
          <w:szCs w:val="32"/>
        </w:rPr>
        <w:t>我局20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年预算收支情况如下：</w:t>
      </w:r>
    </w:p>
    <w:tbl>
      <w:tblPr>
        <w:tblStyle w:val="4"/>
        <w:tblW w:w="8819" w:type="dxa"/>
        <w:tblInd w:w="164" w:type="dxa"/>
        <w:tblLayout w:type="fixed"/>
        <w:tblCellMar>
          <w:top w:w="0" w:type="dxa"/>
          <w:left w:w="0" w:type="dxa"/>
          <w:bottom w:w="0" w:type="dxa"/>
          <w:right w:w="0" w:type="dxa"/>
        </w:tblCellMar>
      </w:tblPr>
      <w:tblGrid>
        <w:gridCol w:w="4531"/>
        <w:gridCol w:w="4288"/>
      </w:tblGrid>
      <w:tr>
        <w:tblPrEx>
          <w:tblCellMar>
            <w:top w:w="0" w:type="dxa"/>
            <w:left w:w="0" w:type="dxa"/>
            <w:bottom w:w="0" w:type="dxa"/>
            <w:right w:w="0" w:type="dxa"/>
          </w:tblCellMar>
        </w:tblPrEx>
        <w:trPr>
          <w:trHeight w:val="435" w:hRule="atLeast"/>
        </w:trPr>
        <w:tc>
          <w:tcPr>
            <w:tcW w:w="453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预算项目</w:t>
            </w:r>
          </w:p>
        </w:tc>
        <w:tc>
          <w:tcPr>
            <w:tcW w:w="428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合计</w:t>
            </w:r>
            <w:r>
              <w:rPr>
                <w:rFonts w:hint="eastAsia" w:ascii="宋体" w:hAnsi="宋体"/>
                <w:color w:val="222222"/>
                <w:kern w:val="0"/>
                <w:sz w:val="22"/>
                <w:szCs w:val="22"/>
              </w:rPr>
              <w:t>（单位：万元）</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财政拨款</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宋体"/>
                <w:color w:val="222222"/>
                <w:kern w:val="0"/>
                <w:szCs w:val="21"/>
                <w:lang w:val="en-US" w:eastAsia="zh-CN"/>
              </w:rPr>
            </w:pPr>
            <w:r>
              <w:rPr>
                <w:rFonts w:hint="eastAsia" w:ascii="宋体" w:hAnsi="宋体"/>
                <w:color w:val="222222"/>
                <w:kern w:val="0"/>
                <w:sz w:val="22"/>
                <w:szCs w:val="22"/>
                <w:lang w:val="en-US" w:eastAsia="zh-CN"/>
              </w:rPr>
              <w:t>1367.2354</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政府性基金</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eastAsia" w:eastAsia="宋体"/>
                <w:color w:val="222222"/>
                <w:kern w:val="0"/>
                <w:szCs w:val="21"/>
                <w:lang w:eastAsia="zh-CN"/>
              </w:rPr>
            </w:pPr>
            <w:r>
              <w:rPr>
                <w:rFonts w:hint="eastAsia" w:ascii="宋体" w:hAnsi="宋体"/>
                <w:color w:val="222222"/>
                <w:kern w:val="0"/>
                <w:sz w:val="22"/>
                <w:szCs w:val="22"/>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纳入专户管理非税收入</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eastAsia" w:eastAsia="宋体"/>
                <w:color w:val="222222"/>
                <w:kern w:val="0"/>
                <w:szCs w:val="21"/>
                <w:lang w:eastAsia="zh-CN"/>
              </w:rPr>
            </w:pPr>
            <w:r>
              <w:rPr>
                <w:rFonts w:hint="eastAsia" w:ascii="宋体" w:hAnsi="宋体"/>
                <w:color w:val="222222"/>
                <w:kern w:val="0"/>
                <w:sz w:val="22"/>
                <w:szCs w:val="22"/>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收入预算合计</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rFonts w:hint="default" w:eastAsia="宋体"/>
                <w:color w:val="222222"/>
                <w:kern w:val="0"/>
                <w:szCs w:val="21"/>
                <w:lang w:val="en-US" w:eastAsia="zh-CN"/>
              </w:rPr>
            </w:pPr>
            <w:r>
              <w:rPr>
                <w:rFonts w:hint="eastAsia" w:ascii="宋体" w:hAnsi="宋体"/>
                <w:b/>
                <w:bCs/>
                <w:color w:val="222222"/>
                <w:kern w:val="0"/>
                <w:sz w:val="22"/>
                <w:szCs w:val="22"/>
                <w:lang w:val="en-US" w:eastAsia="zh-CN"/>
              </w:rPr>
              <w:t>1367.2354</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基本支出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宋体"/>
                <w:color w:val="222222"/>
                <w:kern w:val="0"/>
                <w:szCs w:val="21"/>
                <w:lang w:val="en-US" w:eastAsia="zh-CN"/>
              </w:rPr>
            </w:pPr>
            <w:r>
              <w:rPr>
                <w:rFonts w:hint="eastAsia" w:ascii="宋体" w:hAnsi="宋体"/>
                <w:color w:val="222222"/>
                <w:kern w:val="0"/>
                <w:sz w:val="22"/>
                <w:szCs w:val="22"/>
                <w:lang w:val="en-US" w:eastAsia="zh-CN"/>
              </w:rPr>
              <w:t>922.2354</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其中：财政拨款支出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宋体"/>
                <w:color w:val="222222"/>
                <w:kern w:val="0"/>
                <w:szCs w:val="21"/>
                <w:lang w:val="en-US" w:eastAsia="zh-CN"/>
              </w:rPr>
            </w:pPr>
            <w:r>
              <w:rPr>
                <w:rFonts w:hint="eastAsia"/>
                <w:color w:val="222222"/>
                <w:kern w:val="0"/>
                <w:szCs w:val="21"/>
                <w:lang w:val="en-US" w:eastAsia="zh-CN"/>
              </w:rPr>
              <w:t>922.2354</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项目支出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宋体"/>
                <w:color w:val="222222"/>
                <w:kern w:val="0"/>
                <w:szCs w:val="21"/>
                <w:lang w:val="en-US" w:eastAsia="zh-CN"/>
              </w:rPr>
            </w:pPr>
            <w:r>
              <w:rPr>
                <w:rFonts w:hint="eastAsia" w:ascii="宋体" w:hAnsi="宋体"/>
                <w:color w:val="222222"/>
                <w:kern w:val="0"/>
                <w:sz w:val="22"/>
                <w:szCs w:val="22"/>
                <w:lang w:val="en-US" w:eastAsia="zh-CN"/>
              </w:rPr>
              <w:t>445</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其中：财政拨款支出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宋体"/>
                <w:color w:val="222222"/>
                <w:kern w:val="0"/>
                <w:szCs w:val="21"/>
                <w:lang w:val="en-US" w:eastAsia="zh-CN"/>
              </w:rPr>
            </w:pPr>
            <w:r>
              <w:rPr>
                <w:rFonts w:hint="eastAsia"/>
                <w:color w:val="222222"/>
                <w:kern w:val="0"/>
                <w:szCs w:val="21"/>
                <w:lang w:val="en-US" w:eastAsia="zh-CN"/>
              </w:rPr>
              <w:t>445</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支出预算合计</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rFonts w:hint="default" w:eastAsia="宋体"/>
                <w:color w:val="222222"/>
                <w:kern w:val="0"/>
                <w:szCs w:val="21"/>
                <w:lang w:val="en-US" w:eastAsia="zh-CN"/>
              </w:rPr>
            </w:pPr>
            <w:r>
              <w:rPr>
                <w:rFonts w:hint="eastAsia" w:ascii="宋体" w:hAnsi="宋体"/>
                <w:b/>
                <w:bCs/>
                <w:color w:val="222222"/>
                <w:kern w:val="0"/>
                <w:sz w:val="22"/>
                <w:szCs w:val="22"/>
                <w:lang w:val="en-US" w:eastAsia="zh-CN"/>
              </w:rPr>
              <w:t>1367.2354</w:t>
            </w:r>
          </w:p>
        </w:tc>
      </w:tr>
    </w:tbl>
    <w:p>
      <w:pPr>
        <w:widowControl/>
        <w:spacing w:line="580" w:lineRule="atLeast"/>
        <w:ind w:firstLine="640"/>
        <w:rPr>
          <w:rFonts w:hint="eastAsia" w:ascii="宋体" w:hAnsi="宋体" w:eastAsia="宋体" w:cs="Times New Roman"/>
          <w:color w:val="222222"/>
          <w:kern w:val="0"/>
          <w:sz w:val="32"/>
          <w:szCs w:val="32"/>
          <w:lang w:val="en-US" w:eastAsia="zh-CN" w:bidi="ar"/>
        </w:rPr>
      </w:pPr>
      <w:r>
        <w:rPr>
          <w:rFonts w:hint="eastAsia" w:ascii="宋体" w:hAnsi="宋体" w:eastAsia="宋体" w:cs="Times New Roman"/>
          <w:color w:val="222222"/>
          <w:kern w:val="0"/>
          <w:sz w:val="32"/>
          <w:szCs w:val="32"/>
          <w:lang w:val="en-US" w:eastAsia="zh-CN" w:bidi="ar"/>
        </w:rPr>
        <w:t>从年初批复预算来看：</w:t>
      </w:r>
    </w:p>
    <w:p>
      <w:pPr>
        <w:widowControl/>
        <w:spacing w:line="580" w:lineRule="atLeast"/>
        <w:ind w:firstLine="640"/>
        <w:rPr>
          <w:rFonts w:hint="eastAsia" w:ascii="宋体" w:hAnsi="宋体" w:eastAsia="宋体" w:cs="Times New Roman"/>
          <w:color w:val="222222"/>
          <w:kern w:val="0"/>
          <w:sz w:val="32"/>
          <w:szCs w:val="32"/>
          <w:lang w:val="en-US" w:eastAsia="zh-CN" w:bidi="ar"/>
        </w:rPr>
      </w:pPr>
      <w:r>
        <w:rPr>
          <w:rFonts w:hint="eastAsia" w:ascii="宋体" w:hAnsi="宋体" w:eastAsia="宋体" w:cs="Times New Roman"/>
          <w:color w:val="222222"/>
          <w:kern w:val="0"/>
          <w:sz w:val="32"/>
          <w:szCs w:val="32"/>
          <w:lang w:val="en-US" w:eastAsia="zh-CN" w:bidi="ar"/>
        </w:rPr>
        <w:t>我局收入预算为</w:t>
      </w:r>
      <w:r>
        <w:rPr>
          <w:rFonts w:hint="eastAsia" w:ascii="宋体" w:hAnsi="宋体" w:cs="Times New Roman"/>
          <w:color w:val="222222"/>
          <w:kern w:val="0"/>
          <w:sz w:val="32"/>
          <w:szCs w:val="32"/>
          <w:lang w:val="en-US" w:eastAsia="zh-CN" w:bidi="ar"/>
        </w:rPr>
        <w:t>1367.2354</w:t>
      </w:r>
      <w:r>
        <w:rPr>
          <w:rFonts w:hint="eastAsia" w:ascii="宋体" w:hAnsi="宋体" w:eastAsia="宋体" w:cs="Times New Roman"/>
          <w:color w:val="222222"/>
          <w:kern w:val="0"/>
          <w:sz w:val="32"/>
          <w:szCs w:val="32"/>
          <w:lang w:val="en-US" w:eastAsia="zh-CN" w:bidi="ar"/>
        </w:rPr>
        <w:t>万元，其中，局本级2020年年初预算数</w:t>
      </w:r>
      <w:r>
        <w:rPr>
          <w:rFonts w:hint="eastAsia" w:ascii="宋体" w:hAnsi="宋体" w:cs="Times New Roman"/>
          <w:color w:val="222222"/>
          <w:kern w:val="0"/>
          <w:sz w:val="32"/>
          <w:szCs w:val="32"/>
          <w:lang w:val="en-US" w:eastAsia="zh-CN" w:bidi="ar"/>
        </w:rPr>
        <w:t>1141.4392</w:t>
      </w:r>
      <w:r>
        <w:rPr>
          <w:rFonts w:hint="eastAsia" w:ascii="宋体" w:hAnsi="宋体" w:eastAsia="宋体" w:cs="Times New Roman"/>
          <w:color w:val="222222"/>
          <w:kern w:val="0"/>
          <w:sz w:val="32"/>
          <w:szCs w:val="32"/>
          <w:lang w:val="en-US" w:eastAsia="zh-CN" w:bidi="ar"/>
        </w:rPr>
        <w:t>万元，上级财政补助</w:t>
      </w:r>
      <w:r>
        <w:rPr>
          <w:rFonts w:hint="eastAsia" w:ascii="宋体" w:hAnsi="宋体" w:cs="Times New Roman"/>
          <w:color w:val="222222"/>
          <w:kern w:val="0"/>
          <w:sz w:val="32"/>
          <w:szCs w:val="32"/>
          <w:lang w:val="en-US" w:eastAsia="zh-CN" w:bidi="ar"/>
        </w:rPr>
        <w:t>236</w:t>
      </w:r>
      <w:r>
        <w:rPr>
          <w:rFonts w:hint="eastAsia" w:ascii="宋体" w:hAnsi="宋体" w:eastAsia="宋体" w:cs="Times New Roman"/>
          <w:color w:val="222222"/>
          <w:kern w:val="0"/>
          <w:sz w:val="32"/>
          <w:szCs w:val="32"/>
          <w:lang w:val="en-US" w:eastAsia="zh-CN" w:bidi="ar"/>
        </w:rPr>
        <w:t>万元；乡镇司法所20</w:t>
      </w:r>
      <w:r>
        <w:rPr>
          <w:rFonts w:hint="eastAsia" w:ascii="宋体" w:hAnsi="宋体" w:cs="Times New Roman"/>
          <w:color w:val="222222"/>
          <w:kern w:val="0"/>
          <w:sz w:val="32"/>
          <w:szCs w:val="32"/>
          <w:lang w:val="en-US" w:eastAsia="zh-CN" w:bidi="ar"/>
        </w:rPr>
        <w:t>20</w:t>
      </w:r>
      <w:r>
        <w:rPr>
          <w:rFonts w:hint="eastAsia" w:ascii="宋体" w:hAnsi="宋体" w:eastAsia="宋体" w:cs="Times New Roman"/>
          <w:color w:val="222222"/>
          <w:kern w:val="0"/>
          <w:sz w:val="32"/>
          <w:szCs w:val="32"/>
          <w:lang w:val="en-US" w:eastAsia="zh-CN" w:bidi="ar"/>
        </w:rPr>
        <w:t>年年初预算数</w:t>
      </w:r>
      <w:r>
        <w:rPr>
          <w:rFonts w:hint="eastAsia" w:ascii="宋体" w:hAnsi="宋体" w:cs="Times New Roman"/>
          <w:color w:val="222222"/>
          <w:kern w:val="0"/>
          <w:sz w:val="32"/>
          <w:szCs w:val="32"/>
          <w:lang w:val="en-US" w:eastAsia="zh-CN" w:bidi="ar"/>
        </w:rPr>
        <w:t>225.7962</w:t>
      </w:r>
      <w:r>
        <w:rPr>
          <w:rFonts w:hint="eastAsia" w:ascii="宋体" w:hAnsi="宋体" w:eastAsia="宋体" w:cs="Times New Roman"/>
          <w:color w:val="222222"/>
          <w:kern w:val="0"/>
          <w:sz w:val="32"/>
          <w:szCs w:val="32"/>
          <w:lang w:val="en-US" w:eastAsia="zh-CN" w:bidi="ar"/>
        </w:rPr>
        <w:t>万元，其中，经费拨款</w:t>
      </w:r>
      <w:r>
        <w:rPr>
          <w:rFonts w:hint="eastAsia" w:ascii="宋体" w:hAnsi="宋体" w:cs="Times New Roman"/>
          <w:color w:val="222222"/>
          <w:kern w:val="0"/>
          <w:sz w:val="32"/>
          <w:szCs w:val="32"/>
          <w:lang w:val="en-US" w:eastAsia="zh-CN" w:bidi="ar"/>
        </w:rPr>
        <w:t>225.7962</w:t>
      </w:r>
      <w:r>
        <w:rPr>
          <w:rFonts w:hint="eastAsia" w:ascii="宋体" w:hAnsi="宋体" w:eastAsia="宋体" w:cs="Times New Roman"/>
          <w:color w:val="222222"/>
          <w:kern w:val="0"/>
          <w:sz w:val="32"/>
          <w:szCs w:val="32"/>
          <w:lang w:val="en-US" w:eastAsia="zh-CN" w:bidi="ar"/>
        </w:rPr>
        <w:t>万元。</w:t>
      </w:r>
    </w:p>
    <w:p>
      <w:pPr>
        <w:widowControl/>
        <w:spacing w:line="580" w:lineRule="atLeast"/>
        <w:ind w:firstLine="640"/>
        <w:rPr>
          <w:rFonts w:hint="eastAsia" w:ascii="宋体" w:hAnsi="宋体"/>
          <w:color w:val="222222"/>
          <w:kern w:val="0"/>
          <w:sz w:val="32"/>
          <w:szCs w:val="32"/>
        </w:rPr>
      </w:pPr>
      <w:r>
        <w:rPr>
          <w:rFonts w:hint="eastAsia" w:ascii="宋体" w:hAnsi="宋体" w:eastAsia="宋体" w:cs="Times New Roman"/>
          <w:color w:val="222222"/>
          <w:kern w:val="0"/>
          <w:sz w:val="32"/>
          <w:szCs w:val="32"/>
          <w:lang w:val="en-US" w:eastAsia="zh-CN" w:bidi="ar"/>
        </w:rPr>
        <w:t>支出预算中司法局支出</w:t>
      </w:r>
      <w:r>
        <w:rPr>
          <w:rFonts w:hint="eastAsia" w:ascii="宋体" w:hAnsi="宋体" w:cs="Times New Roman"/>
          <w:color w:val="222222"/>
          <w:kern w:val="0"/>
          <w:sz w:val="32"/>
          <w:szCs w:val="32"/>
          <w:lang w:val="en-US" w:eastAsia="zh-CN" w:bidi="ar"/>
        </w:rPr>
        <w:t>1367.2354</w:t>
      </w:r>
      <w:r>
        <w:rPr>
          <w:rFonts w:hint="eastAsia" w:ascii="宋体" w:hAnsi="宋体" w:eastAsia="宋体" w:cs="Times New Roman"/>
          <w:color w:val="222222"/>
          <w:kern w:val="0"/>
          <w:sz w:val="32"/>
          <w:szCs w:val="32"/>
          <w:lang w:val="en-US" w:eastAsia="zh-CN" w:bidi="ar"/>
        </w:rPr>
        <w:t>万元，其中，基本支</w:t>
      </w:r>
      <w:r>
        <w:rPr>
          <w:rFonts w:hint="eastAsia" w:ascii="宋体" w:hAnsi="宋体"/>
          <w:color w:val="222222"/>
          <w:kern w:val="0"/>
          <w:sz w:val="32"/>
          <w:szCs w:val="32"/>
        </w:rPr>
        <w:t>出</w:t>
      </w:r>
      <w:r>
        <w:rPr>
          <w:rFonts w:hint="eastAsia" w:ascii="宋体" w:hAnsi="宋体"/>
          <w:color w:val="222222"/>
          <w:kern w:val="0"/>
          <w:sz w:val="32"/>
          <w:szCs w:val="32"/>
          <w:lang w:val="en-US" w:eastAsia="zh-CN"/>
        </w:rPr>
        <w:t>922.2354</w:t>
      </w:r>
      <w:r>
        <w:rPr>
          <w:rFonts w:hint="eastAsia" w:ascii="宋体" w:hAnsi="宋体"/>
          <w:color w:val="222222"/>
          <w:kern w:val="0"/>
          <w:sz w:val="32"/>
          <w:szCs w:val="32"/>
        </w:rPr>
        <w:t>万元，占支出预算</w:t>
      </w:r>
      <w:r>
        <w:rPr>
          <w:rFonts w:hint="eastAsia" w:ascii="宋体" w:hAnsi="宋体"/>
          <w:color w:val="222222"/>
          <w:kern w:val="0"/>
          <w:sz w:val="32"/>
          <w:szCs w:val="32"/>
          <w:lang w:val="en-US" w:eastAsia="zh-CN"/>
        </w:rPr>
        <w:t>67.45</w:t>
      </w:r>
      <w:r>
        <w:rPr>
          <w:rFonts w:hint="eastAsia" w:ascii="宋体" w:hAnsi="宋体"/>
          <w:color w:val="222222"/>
          <w:kern w:val="0"/>
          <w:sz w:val="32"/>
          <w:szCs w:val="32"/>
        </w:rPr>
        <w:t>%，项目支出</w:t>
      </w:r>
      <w:r>
        <w:rPr>
          <w:rFonts w:hint="eastAsia" w:ascii="宋体" w:hAnsi="宋体"/>
          <w:color w:val="222222"/>
          <w:kern w:val="0"/>
          <w:sz w:val="32"/>
          <w:szCs w:val="32"/>
          <w:lang w:val="en-US" w:eastAsia="zh-CN"/>
        </w:rPr>
        <w:t>445</w:t>
      </w:r>
      <w:r>
        <w:rPr>
          <w:rFonts w:hint="eastAsia" w:ascii="宋体" w:hAnsi="宋体"/>
          <w:color w:val="222222"/>
          <w:kern w:val="0"/>
          <w:sz w:val="32"/>
          <w:szCs w:val="32"/>
        </w:rPr>
        <w:t>万元，占支出预算</w:t>
      </w:r>
      <w:r>
        <w:rPr>
          <w:rFonts w:hint="eastAsia" w:ascii="宋体" w:hAnsi="宋体"/>
          <w:color w:val="222222"/>
          <w:kern w:val="0"/>
          <w:sz w:val="32"/>
          <w:szCs w:val="32"/>
          <w:lang w:val="en-US" w:eastAsia="zh-CN"/>
        </w:rPr>
        <w:t>32.55</w:t>
      </w:r>
      <w:r>
        <w:rPr>
          <w:rFonts w:hint="eastAsia" w:ascii="宋体" w:hAnsi="宋体"/>
          <w:color w:val="222222"/>
          <w:kern w:val="0"/>
          <w:sz w:val="32"/>
          <w:szCs w:val="32"/>
        </w:rPr>
        <w:t>%。</w:t>
      </w:r>
    </w:p>
    <w:p>
      <w:pPr>
        <w:widowControl/>
        <w:spacing w:line="580" w:lineRule="atLeast"/>
        <w:ind w:firstLine="643"/>
        <w:rPr>
          <w:rFonts w:hint="eastAsia" w:ascii="宋体" w:hAnsi="宋体"/>
          <w:b w:val="0"/>
          <w:bCs w:val="0"/>
          <w:color w:val="222222"/>
          <w:kern w:val="0"/>
          <w:sz w:val="32"/>
          <w:szCs w:val="32"/>
        </w:rPr>
      </w:pPr>
      <w:r>
        <w:rPr>
          <w:rFonts w:hint="eastAsia" w:ascii="宋体" w:hAnsi="宋体"/>
          <w:b w:val="0"/>
          <w:bCs w:val="0"/>
          <w:color w:val="222222"/>
          <w:kern w:val="0"/>
          <w:sz w:val="32"/>
          <w:szCs w:val="32"/>
        </w:rPr>
        <w:t>2</w:t>
      </w:r>
      <w:r>
        <w:rPr>
          <w:rFonts w:hint="eastAsia" w:ascii="宋体" w:hAnsi="宋体"/>
          <w:b w:val="0"/>
          <w:bCs w:val="0"/>
          <w:color w:val="222222"/>
          <w:kern w:val="0"/>
          <w:sz w:val="32"/>
          <w:szCs w:val="32"/>
          <w:lang w:eastAsia="zh-CN"/>
        </w:rPr>
        <w:t>.</w:t>
      </w:r>
      <w:r>
        <w:rPr>
          <w:rFonts w:hint="eastAsia" w:ascii="宋体" w:hAnsi="宋体"/>
          <w:b w:val="0"/>
          <w:bCs w:val="0"/>
          <w:color w:val="222222"/>
          <w:kern w:val="0"/>
          <w:sz w:val="32"/>
          <w:szCs w:val="32"/>
        </w:rPr>
        <w:t>本年度财政追加指标、上年结转资金、年度可用金额情况</w:t>
      </w:r>
    </w:p>
    <w:p>
      <w:pPr>
        <w:widowControl/>
        <w:spacing w:line="580" w:lineRule="atLeast"/>
        <w:ind w:firstLine="640"/>
        <w:rPr>
          <w:b w:val="0"/>
          <w:bCs w:val="0"/>
          <w:color w:val="222222"/>
          <w:kern w:val="0"/>
          <w:szCs w:val="21"/>
        </w:rPr>
      </w:pPr>
      <w:r>
        <w:rPr>
          <w:rFonts w:hint="eastAsia" w:ascii="宋体" w:hAnsi="宋体"/>
          <w:b w:val="0"/>
          <w:bCs w:val="0"/>
          <w:color w:val="222222"/>
          <w:kern w:val="0"/>
          <w:sz w:val="32"/>
          <w:szCs w:val="32"/>
        </w:rPr>
        <w:t>我局本年度财政追加指标、上年度局本级结转资金及年度可用指标情况如下：</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 xml:space="preserve">局全年可用预算指标    </w:t>
      </w:r>
    </w:p>
    <w:p>
      <w:pPr>
        <w:widowControl/>
        <w:spacing w:line="580" w:lineRule="atLeast"/>
        <w:rPr>
          <w:color w:val="222222"/>
          <w:kern w:val="0"/>
          <w:szCs w:val="21"/>
        </w:rPr>
      </w:pPr>
      <w:r>
        <w:rPr>
          <w:rFonts w:hint="eastAsia" w:ascii="宋体" w:hAnsi="宋体"/>
          <w:b/>
          <w:bCs/>
          <w:color w:val="222222"/>
          <w:kern w:val="0"/>
          <w:sz w:val="32"/>
          <w:szCs w:val="32"/>
        </w:rPr>
        <w:t>                    单位：万元</w:t>
      </w:r>
    </w:p>
    <w:tbl>
      <w:tblPr>
        <w:tblStyle w:val="4"/>
        <w:tblW w:w="13269" w:type="dxa"/>
        <w:tblInd w:w="150" w:type="dxa"/>
        <w:tblLayout w:type="fixed"/>
        <w:tblCellMar>
          <w:top w:w="0" w:type="dxa"/>
          <w:left w:w="0" w:type="dxa"/>
          <w:bottom w:w="0" w:type="dxa"/>
          <w:right w:w="0" w:type="dxa"/>
        </w:tblCellMar>
      </w:tblPr>
      <w:tblGrid>
        <w:gridCol w:w="2318"/>
        <w:gridCol w:w="2191"/>
        <w:gridCol w:w="2228"/>
        <w:gridCol w:w="2110"/>
        <w:gridCol w:w="2211"/>
        <w:gridCol w:w="2211"/>
      </w:tblGrid>
      <w:tr>
        <w:trPr>
          <w:gridAfter w:val="2"/>
          <w:wAfter w:w="4422" w:type="dxa"/>
          <w:trHeight w:val="450" w:hRule="atLeast"/>
        </w:trPr>
        <w:tc>
          <w:tcPr>
            <w:tcW w:w="23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 目</w:t>
            </w:r>
          </w:p>
        </w:tc>
        <w:tc>
          <w:tcPr>
            <w:tcW w:w="21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2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1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r>
      <w:tr>
        <w:trPr>
          <w:gridAfter w:val="2"/>
          <w:wAfter w:w="4422" w:type="dxa"/>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年初预算</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color w:val="222222"/>
                <w:kern w:val="0"/>
                <w:szCs w:val="21"/>
                <w:lang w:val="en-US"/>
              </w:rPr>
            </w:pPr>
            <w:r>
              <w:rPr>
                <w:rFonts w:hint="eastAsia" w:ascii="宋体" w:hAnsi="宋体"/>
                <w:color w:val="222222"/>
                <w:kern w:val="0"/>
                <w:sz w:val="22"/>
                <w:szCs w:val="22"/>
                <w:lang w:val="en-US" w:eastAsia="zh-CN"/>
              </w:rPr>
              <w:t>922.2354</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color w:val="222222"/>
                <w:kern w:val="0"/>
                <w:szCs w:val="21"/>
                <w:lang w:val="en-US" w:eastAsia="zh-CN"/>
              </w:rPr>
              <w:t>445</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宋体"/>
                <w:color w:val="222222"/>
                <w:kern w:val="0"/>
                <w:szCs w:val="21"/>
                <w:lang w:val="en-US" w:eastAsia="zh-CN"/>
              </w:rPr>
            </w:pPr>
            <w:r>
              <w:rPr>
                <w:rFonts w:hint="eastAsia" w:ascii="宋体" w:hAnsi="宋体"/>
                <w:b/>
                <w:bCs/>
                <w:color w:val="222222"/>
                <w:kern w:val="0"/>
                <w:sz w:val="22"/>
                <w:szCs w:val="22"/>
                <w:lang w:val="en-US" w:eastAsia="zh-CN"/>
              </w:rPr>
              <w:t>1367.2354</w:t>
            </w:r>
          </w:p>
        </w:tc>
      </w:tr>
      <w:tr>
        <w:tblPrEx>
          <w:tblCellMar>
            <w:top w:w="0" w:type="dxa"/>
            <w:left w:w="0" w:type="dxa"/>
            <w:bottom w:w="0" w:type="dxa"/>
            <w:right w:w="0" w:type="dxa"/>
          </w:tblCellMar>
        </w:tblPrEx>
        <w:trPr>
          <w:gridAfter w:val="2"/>
          <w:wAfter w:w="4422" w:type="dxa"/>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上年结转</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color w:val="222222"/>
                <w:kern w:val="0"/>
                <w:szCs w:val="21"/>
                <w:lang w:val="en-US" w:eastAsia="zh-CN"/>
              </w:rPr>
              <w:t>46.44</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0</w:t>
            </w: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宋体"/>
                <w:color w:val="222222"/>
                <w:kern w:val="0"/>
                <w:szCs w:val="21"/>
                <w:lang w:val="en-US" w:eastAsia="zh-CN"/>
              </w:rPr>
            </w:pPr>
            <w:r>
              <w:rPr>
                <w:rFonts w:hint="eastAsia"/>
                <w:color w:val="222222"/>
                <w:kern w:val="0"/>
                <w:szCs w:val="21"/>
                <w:lang w:val="en-US" w:eastAsia="zh-CN"/>
              </w:rPr>
              <w:t>46.44</w:t>
            </w:r>
          </w:p>
        </w:tc>
      </w:tr>
      <w:tr>
        <w:trPr>
          <w:gridAfter w:val="2"/>
          <w:wAfter w:w="4422" w:type="dxa"/>
          <w:trHeight w:val="450" w:hRule="atLeast"/>
        </w:trPr>
        <w:tc>
          <w:tcPr>
            <w:tcW w:w="2318" w:type="dxa"/>
            <w:tcBorders>
              <w:top w:val="nil"/>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本年追加</w:t>
            </w:r>
          </w:p>
        </w:tc>
        <w:tc>
          <w:tcPr>
            <w:tcW w:w="2191"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color w:val="222222"/>
                <w:kern w:val="0"/>
                <w:szCs w:val="21"/>
                <w:lang w:val="en-US" w:eastAsia="zh-CN"/>
              </w:rPr>
              <w:t>191.7846</w:t>
            </w:r>
          </w:p>
        </w:tc>
        <w:tc>
          <w:tcPr>
            <w:tcW w:w="2228"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宋体"/>
                <w:color w:val="222222"/>
                <w:kern w:val="0"/>
                <w:szCs w:val="21"/>
                <w:lang w:eastAsia="zh-CN"/>
              </w:rPr>
            </w:pPr>
            <w:r>
              <w:rPr>
                <w:rFonts w:hint="eastAsia" w:ascii="宋体" w:hAnsi="宋体"/>
                <w:color w:val="222222"/>
                <w:kern w:val="0"/>
                <w:sz w:val="22"/>
                <w:szCs w:val="22"/>
                <w:lang w:val="en-US" w:eastAsia="zh-CN"/>
              </w:rPr>
              <w:t>0</w:t>
            </w:r>
          </w:p>
        </w:tc>
        <w:tc>
          <w:tcPr>
            <w:tcW w:w="2110"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宋体"/>
                <w:color w:val="222222"/>
                <w:kern w:val="0"/>
                <w:szCs w:val="21"/>
                <w:lang w:val="en-US" w:eastAsia="zh-CN"/>
              </w:rPr>
            </w:pPr>
            <w:r>
              <w:rPr>
                <w:rFonts w:hint="eastAsia"/>
                <w:color w:val="222222"/>
                <w:kern w:val="0"/>
                <w:szCs w:val="21"/>
                <w:lang w:val="en-US" w:eastAsia="zh-CN"/>
              </w:rPr>
              <w:t>191.7846</w:t>
            </w:r>
          </w:p>
        </w:tc>
      </w:tr>
      <w:tr>
        <w:trPr>
          <w:gridAfter w:val="2"/>
          <w:wAfter w:w="4422" w:type="dxa"/>
          <w:trHeight w:val="450" w:hRule="atLeast"/>
        </w:trPr>
        <w:tc>
          <w:tcPr>
            <w:tcW w:w="2318" w:type="dxa"/>
            <w:tcBorders>
              <w:top w:val="single" w:color="auto" w:sz="4" w:space="0"/>
              <w:left w:val="single" w:color="auto" w:sz="4" w:space="0"/>
              <w:bottom w:val="single" w:color="auto" w:sz="4"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eastAsia="宋体"/>
                <w:color w:val="222222"/>
                <w:kern w:val="0"/>
                <w:szCs w:val="21"/>
                <w:lang w:eastAsia="zh-CN"/>
              </w:rPr>
            </w:pPr>
            <w:r>
              <w:rPr>
                <w:rFonts w:hint="eastAsia"/>
                <w:b/>
                <w:bCs/>
                <w:color w:val="222222"/>
                <w:kern w:val="0"/>
                <w:szCs w:val="21"/>
                <w:lang w:eastAsia="zh-CN"/>
              </w:rPr>
              <w:t>其他</w:t>
            </w:r>
            <w:r>
              <w:rPr>
                <w:rFonts w:hint="eastAsia" w:ascii="宋体" w:hAnsi="宋体"/>
                <w:b/>
                <w:bCs/>
                <w:color w:val="222222"/>
                <w:kern w:val="0"/>
                <w:sz w:val="22"/>
                <w:szCs w:val="22"/>
                <w:lang w:eastAsia="zh-CN"/>
              </w:rPr>
              <w:t>收入</w:t>
            </w:r>
          </w:p>
        </w:tc>
        <w:tc>
          <w:tcPr>
            <w:tcW w:w="2191"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宋体"/>
                <w:color w:val="222222"/>
                <w:kern w:val="0"/>
                <w:szCs w:val="21"/>
                <w:lang w:val="en-US" w:eastAsia="zh-CN"/>
              </w:rPr>
            </w:pPr>
            <w:r>
              <w:rPr>
                <w:rFonts w:hint="eastAsia"/>
                <w:color w:val="222222"/>
                <w:kern w:val="0"/>
                <w:szCs w:val="21"/>
                <w:lang w:val="en-US" w:eastAsia="zh-CN"/>
              </w:rPr>
              <w:t>5.56</w:t>
            </w:r>
          </w:p>
        </w:tc>
        <w:tc>
          <w:tcPr>
            <w:tcW w:w="2228"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宋体"/>
                <w:color w:val="222222"/>
                <w:kern w:val="0"/>
                <w:szCs w:val="21"/>
                <w:lang w:val="en-US" w:eastAsia="zh-CN"/>
              </w:rPr>
            </w:pPr>
            <w:r>
              <w:rPr>
                <w:rFonts w:hint="eastAsia"/>
                <w:color w:val="222222"/>
                <w:kern w:val="0"/>
                <w:szCs w:val="21"/>
                <w:lang w:val="en-US" w:eastAsia="zh-CN"/>
              </w:rPr>
              <w:t>0</w:t>
            </w:r>
          </w:p>
        </w:tc>
        <w:tc>
          <w:tcPr>
            <w:tcW w:w="211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ind w:firstLine="442"/>
              <w:jc w:val="center"/>
              <w:rPr>
                <w:rFonts w:hint="default" w:eastAsia="宋体"/>
                <w:color w:val="222222"/>
                <w:kern w:val="0"/>
                <w:szCs w:val="21"/>
                <w:lang w:val="en-US" w:eastAsia="zh-CN"/>
              </w:rPr>
            </w:pPr>
            <w:r>
              <w:rPr>
                <w:rFonts w:hint="eastAsia"/>
                <w:color w:val="222222"/>
                <w:kern w:val="0"/>
                <w:szCs w:val="21"/>
                <w:lang w:val="en-US" w:eastAsia="zh-CN"/>
              </w:rPr>
              <w:t>5.56</w:t>
            </w:r>
          </w:p>
        </w:tc>
      </w:tr>
      <w:tr>
        <w:trPr>
          <w:trHeight w:val="450" w:hRule="atLeast"/>
        </w:trPr>
        <w:tc>
          <w:tcPr>
            <w:tcW w:w="2318" w:type="dxa"/>
            <w:tcBorders>
              <w:top w:val="single" w:color="auto" w:sz="4"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firstLineChars="0"/>
              <w:jc w:val="center"/>
              <w:rPr>
                <w:rFonts w:hint="eastAsia" w:ascii="宋体" w:hAnsi="宋体"/>
                <w:b/>
                <w:bCs/>
                <w:color w:val="222222"/>
                <w:kern w:val="0"/>
                <w:sz w:val="22"/>
                <w:szCs w:val="22"/>
              </w:rPr>
            </w:pPr>
            <w:r>
              <w:rPr>
                <w:rFonts w:hint="eastAsia" w:ascii="宋体" w:hAnsi="宋体"/>
                <w:b/>
                <w:bCs/>
                <w:color w:val="222222"/>
                <w:kern w:val="0"/>
                <w:sz w:val="22"/>
                <w:szCs w:val="22"/>
              </w:rPr>
              <w:t>小 计</w:t>
            </w:r>
          </w:p>
        </w:tc>
        <w:tc>
          <w:tcPr>
            <w:tcW w:w="2191"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firstLineChars="0"/>
              <w:jc w:val="center"/>
              <w:rPr>
                <w:rFonts w:hint="default" w:ascii="宋体" w:hAnsi="宋体"/>
                <w:b/>
                <w:bCs/>
                <w:color w:val="222222"/>
                <w:kern w:val="0"/>
                <w:sz w:val="22"/>
                <w:szCs w:val="22"/>
                <w:lang w:val="en-US" w:eastAsia="zh-CN"/>
              </w:rPr>
            </w:pPr>
            <w:r>
              <w:rPr>
                <w:rFonts w:hint="eastAsia" w:ascii="宋体" w:hAnsi="宋体"/>
                <w:b/>
                <w:bCs/>
                <w:color w:val="222222"/>
                <w:kern w:val="0"/>
                <w:sz w:val="22"/>
                <w:szCs w:val="22"/>
                <w:lang w:val="en-US" w:eastAsia="zh-CN"/>
              </w:rPr>
              <w:t>1166.02</w:t>
            </w:r>
          </w:p>
        </w:tc>
        <w:tc>
          <w:tcPr>
            <w:tcW w:w="2228"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firstLineChars="0"/>
              <w:jc w:val="center"/>
              <w:rPr>
                <w:rFonts w:hint="default" w:ascii="宋体" w:hAnsi="宋体"/>
                <w:b/>
                <w:bCs/>
                <w:color w:val="222222"/>
                <w:kern w:val="0"/>
                <w:sz w:val="22"/>
                <w:szCs w:val="22"/>
                <w:lang w:val="en-US" w:eastAsia="zh-CN"/>
              </w:rPr>
            </w:pPr>
            <w:r>
              <w:rPr>
                <w:rFonts w:hint="eastAsia" w:ascii="宋体" w:hAnsi="宋体"/>
                <w:b/>
                <w:bCs/>
                <w:color w:val="222222"/>
                <w:kern w:val="0"/>
                <w:sz w:val="22"/>
                <w:szCs w:val="22"/>
                <w:lang w:val="en-US" w:eastAsia="zh-CN"/>
              </w:rPr>
              <w:t>444.08</w:t>
            </w:r>
          </w:p>
        </w:tc>
        <w:tc>
          <w:tcPr>
            <w:tcW w:w="2110"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firstLineChars="0"/>
              <w:jc w:val="center"/>
              <w:rPr>
                <w:rFonts w:hint="default" w:ascii="宋体" w:hAnsi="宋体"/>
                <w:b/>
                <w:bCs/>
                <w:color w:val="222222"/>
                <w:kern w:val="0"/>
                <w:sz w:val="22"/>
                <w:szCs w:val="22"/>
                <w:lang w:val="en-US" w:eastAsia="zh-CN"/>
              </w:rPr>
            </w:pPr>
            <w:r>
              <w:rPr>
                <w:rFonts w:hint="eastAsia" w:ascii="宋体" w:hAnsi="宋体"/>
                <w:b/>
                <w:bCs/>
                <w:color w:val="222222"/>
                <w:kern w:val="0"/>
                <w:sz w:val="22"/>
                <w:szCs w:val="22"/>
                <w:lang w:val="en-US" w:eastAsia="zh-CN"/>
              </w:rPr>
              <w:t>1610.1</w:t>
            </w:r>
          </w:p>
        </w:tc>
        <w:tc>
          <w:tcPr>
            <w:tcW w:w="2211" w:type="dxa"/>
            <w:vAlign w:val="center"/>
          </w:tcPr>
          <w:p>
            <w:pPr>
              <w:widowControl/>
              <w:ind w:firstLine="442" w:firstLineChars="0"/>
              <w:jc w:val="center"/>
            </w:pPr>
          </w:p>
        </w:tc>
        <w:tc>
          <w:tcPr>
            <w:tcW w:w="2211" w:type="dxa"/>
            <w:vAlign w:val="center"/>
          </w:tcPr>
          <w:p>
            <w:pPr>
              <w:widowControl/>
              <w:ind w:firstLine="442" w:firstLineChars="0"/>
              <w:jc w:val="center"/>
            </w:pPr>
          </w:p>
        </w:tc>
      </w:tr>
    </w:tbl>
    <w:p>
      <w:pPr>
        <w:widowControl/>
        <w:spacing w:line="580" w:lineRule="atLeast"/>
        <w:ind w:firstLine="640"/>
        <w:rPr>
          <w:color w:val="222222"/>
          <w:kern w:val="0"/>
          <w:szCs w:val="21"/>
        </w:rPr>
      </w:pPr>
      <w:r>
        <w:rPr>
          <w:rFonts w:hint="eastAsia" w:ascii="宋体" w:hAnsi="宋体"/>
          <w:color w:val="222222"/>
          <w:kern w:val="0"/>
          <w:sz w:val="32"/>
          <w:szCs w:val="32"/>
        </w:rPr>
        <w:t>从上表可以反映：我局20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年全年可用预算资金</w:t>
      </w:r>
      <w:r>
        <w:rPr>
          <w:rFonts w:hint="eastAsia" w:ascii="宋体" w:hAnsi="宋体"/>
          <w:color w:val="222222"/>
          <w:kern w:val="0"/>
          <w:sz w:val="32"/>
          <w:szCs w:val="32"/>
          <w:lang w:val="en-US" w:eastAsia="zh-CN"/>
        </w:rPr>
        <w:t>1166.02</w:t>
      </w:r>
      <w:r>
        <w:rPr>
          <w:rFonts w:hint="eastAsia" w:ascii="宋体" w:hAnsi="宋体"/>
          <w:color w:val="222222"/>
          <w:kern w:val="0"/>
          <w:sz w:val="32"/>
          <w:szCs w:val="32"/>
        </w:rPr>
        <w:t>万元，其中年初预算</w:t>
      </w:r>
      <w:r>
        <w:rPr>
          <w:rFonts w:hint="eastAsia" w:ascii="宋体" w:hAnsi="宋体"/>
          <w:color w:val="222222"/>
          <w:kern w:val="0"/>
          <w:sz w:val="32"/>
          <w:szCs w:val="32"/>
          <w:lang w:val="en-US" w:eastAsia="zh-CN"/>
        </w:rPr>
        <w:t>1367.2354</w:t>
      </w:r>
      <w:r>
        <w:rPr>
          <w:rFonts w:hint="eastAsia" w:ascii="宋体" w:hAnsi="宋体"/>
          <w:color w:val="222222"/>
          <w:kern w:val="0"/>
          <w:sz w:val="32"/>
          <w:szCs w:val="32"/>
        </w:rPr>
        <w:t>万元，</w:t>
      </w:r>
      <w:r>
        <w:rPr>
          <w:rFonts w:hint="eastAsia" w:ascii="宋体" w:hAnsi="宋体"/>
          <w:color w:val="222222"/>
          <w:kern w:val="0"/>
          <w:sz w:val="32"/>
          <w:szCs w:val="32"/>
          <w:lang w:eastAsia="zh-CN"/>
        </w:rPr>
        <w:t>其他收入</w:t>
      </w:r>
      <w:r>
        <w:rPr>
          <w:rFonts w:hint="eastAsia" w:ascii="宋体" w:hAnsi="宋体"/>
          <w:color w:val="222222"/>
          <w:kern w:val="0"/>
          <w:sz w:val="32"/>
          <w:szCs w:val="32"/>
          <w:lang w:val="en-US" w:eastAsia="zh-CN"/>
        </w:rPr>
        <w:t>5.56，</w:t>
      </w:r>
      <w:r>
        <w:rPr>
          <w:rFonts w:hint="eastAsia" w:ascii="宋体" w:hAnsi="宋体"/>
          <w:color w:val="222222"/>
          <w:kern w:val="0"/>
          <w:sz w:val="32"/>
          <w:szCs w:val="32"/>
        </w:rPr>
        <w:t>上年结转</w:t>
      </w:r>
      <w:r>
        <w:rPr>
          <w:rFonts w:hint="eastAsia" w:ascii="宋体" w:hAnsi="宋体"/>
          <w:color w:val="222222"/>
          <w:kern w:val="0"/>
          <w:sz w:val="32"/>
          <w:szCs w:val="32"/>
          <w:lang w:val="en-US" w:eastAsia="zh-CN"/>
        </w:rPr>
        <w:t>46.44</w:t>
      </w:r>
      <w:r>
        <w:rPr>
          <w:rFonts w:hint="eastAsia" w:ascii="宋体" w:hAnsi="宋体"/>
          <w:color w:val="222222"/>
          <w:kern w:val="0"/>
          <w:sz w:val="32"/>
          <w:szCs w:val="32"/>
        </w:rPr>
        <w:t>万元，本年追加资金</w:t>
      </w:r>
      <w:r>
        <w:rPr>
          <w:rFonts w:hint="eastAsia" w:ascii="宋体" w:hAnsi="宋体"/>
          <w:color w:val="222222"/>
          <w:kern w:val="0"/>
          <w:sz w:val="32"/>
          <w:szCs w:val="32"/>
          <w:lang w:val="en-US" w:eastAsia="zh-CN"/>
        </w:rPr>
        <w:t>191.7846</w:t>
      </w:r>
      <w:r>
        <w:rPr>
          <w:rFonts w:hint="eastAsia" w:ascii="宋体" w:hAnsi="宋体"/>
          <w:color w:val="222222"/>
          <w:kern w:val="0"/>
          <w:sz w:val="32"/>
          <w:szCs w:val="32"/>
        </w:rPr>
        <w:t>万元。</w:t>
      </w:r>
    </w:p>
    <w:p>
      <w:pPr>
        <w:widowControl/>
        <w:spacing w:line="580" w:lineRule="atLeast"/>
        <w:ind w:firstLine="643"/>
        <w:rPr>
          <w:rFonts w:hint="eastAsia" w:ascii="宋体" w:hAnsi="宋体"/>
          <w:color w:val="222222"/>
          <w:kern w:val="0"/>
          <w:sz w:val="32"/>
          <w:szCs w:val="32"/>
          <w:lang w:eastAsia="zh-CN"/>
        </w:rPr>
      </w:pPr>
      <w:r>
        <w:rPr>
          <w:rFonts w:hint="eastAsia" w:ascii="宋体" w:hAnsi="宋体"/>
          <w:color w:val="222222"/>
          <w:kern w:val="0"/>
          <w:sz w:val="32"/>
          <w:szCs w:val="32"/>
        </w:rPr>
        <w:t>我局追加预算指标主要为</w:t>
      </w:r>
      <w:r>
        <w:rPr>
          <w:rFonts w:hint="eastAsia" w:ascii="宋体" w:hAnsi="宋体"/>
          <w:color w:val="222222"/>
          <w:kern w:val="0"/>
          <w:sz w:val="32"/>
          <w:szCs w:val="32"/>
          <w:lang w:eastAsia="zh-CN"/>
        </w:rPr>
        <w:t>人员经费和日常公用经费支出。</w:t>
      </w:r>
    </w:p>
    <w:p>
      <w:pPr>
        <w:widowControl/>
        <w:spacing w:line="580" w:lineRule="atLeast"/>
        <w:ind w:firstLine="640"/>
        <w:rPr>
          <w:color w:val="222222"/>
          <w:kern w:val="0"/>
          <w:szCs w:val="21"/>
        </w:rPr>
      </w:pPr>
      <w:r>
        <w:rPr>
          <w:rFonts w:hint="eastAsia" w:ascii="宋体" w:hAnsi="宋体"/>
          <w:color w:val="222222"/>
          <w:kern w:val="0"/>
          <w:sz w:val="32"/>
          <w:szCs w:val="32"/>
        </w:rPr>
        <w:t>三、绩效评价工作情况</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（一）绩效评价目的</w:t>
      </w:r>
    </w:p>
    <w:p>
      <w:pPr>
        <w:widowControl/>
        <w:spacing w:line="580" w:lineRule="atLeast"/>
        <w:ind w:firstLine="640"/>
        <w:rPr>
          <w:color w:val="222222"/>
          <w:kern w:val="0"/>
          <w:szCs w:val="21"/>
        </w:rPr>
      </w:pPr>
      <w:r>
        <w:rPr>
          <w:rFonts w:hint="eastAsia" w:ascii="宋体" w:hAnsi="宋体"/>
          <w:color w:val="222222"/>
          <w:kern w:val="0"/>
          <w:sz w:val="32"/>
          <w:szCs w:val="32"/>
        </w:rPr>
        <w:t>本次绩效评价的目的是为了全面分析和综合评价我局本级财政预算资金的使用管理情况，为切实提高财政资金使用效益，强化预算支出的责任和效率提供参考依据。</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（二）绩效评价工作过程，主要包括前期准备、组织实施和分析评价等内容</w:t>
      </w:r>
    </w:p>
    <w:p>
      <w:pPr>
        <w:widowControl/>
        <w:spacing w:line="580" w:lineRule="atLeast"/>
        <w:ind w:firstLine="640"/>
        <w:rPr>
          <w:color w:val="222222"/>
          <w:kern w:val="0"/>
          <w:szCs w:val="21"/>
        </w:rPr>
      </w:pPr>
      <w:r>
        <w:rPr>
          <w:rFonts w:hint="eastAsia" w:ascii="宋体" w:hAnsi="宋体"/>
          <w:color w:val="222222"/>
          <w:kern w:val="0"/>
          <w:sz w:val="32"/>
          <w:szCs w:val="32"/>
        </w:rPr>
        <w:t>我们按照省财政厅绩效评价规程要求，第一阶段为前期准备：由我局资金财务处牵头，组织有关业务处室制定了详细的工作方案，明确处室责任，确定评价指标细则；第二阶段为处室自评：根据上一阶段任务布置，各处室按照要求展开自评工作，并将评价结果报资金财务处；第三阶段为定性终评，并出具评价报告：资金财务处在处室自评的基础上，查阅相关文件资料和财务凭证，对收集资料进行定量定性分析，综合评议后形成评价结论，出具绩效评价报告。</w:t>
      </w:r>
    </w:p>
    <w:p>
      <w:pPr>
        <w:widowControl/>
        <w:numPr>
          <w:ilvl w:val="0"/>
          <w:numId w:val="2"/>
        </w:numPr>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整体支出使用管理情况</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（一）基本支出使用管理情况</w:t>
      </w:r>
    </w:p>
    <w:p>
      <w:pPr>
        <w:widowControl/>
        <w:spacing w:line="580" w:lineRule="atLeast"/>
        <w:ind w:firstLine="640"/>
        <w:rPr>
          <w:color w:val="222222"/>
          <w:kern w:val="0"/>
          <w:szCs w:val="21"/>
        </w:rPr>
      </w:pPr>
      <w:r>
        <w:rPr>
          <w:rFonts w:hint="eastAsia" w:ascii="宋体" w:hAnsi="宋体"/>
          <w:color w:val="222222"/>
          <w:kern w:val="0"/>
          <w:sz w:val="32"/>
          <w:szCs w:val="32"/>
        </w:rPr>
        <w:t>我局基本支出的范围和主要用途包括局机关的人员经费和日常公用经费。具体包括：工资福利支出、对个人和家庭的补助、商品和服务支出、其他资本性支出。</w:t>
      </w:r>
      <w:r>
        <w:rPr>
          <w:rFonts w:hint="eastAsia" w:ascii="宋体" w:hAnsi="宋体"/>
          <w:color w:val="222222"/>
          <w:kern w:val="0"/>
          <w:sz w:val="32"/>
          <w:szCs w:val="32"/>
          <w:lang w:val="en-US" w:eastAsia="zh-CN"/>
        </w:rPr>
        <w:t>2020</w:t>
      </w:r>
      <w:r>
        <w:rPr>
          <w:rFonts w:hint="eastAsia" w:ascii="宋体" w:hAnsi="宋体"/>
          <w:color w:val="222222"/>
          <w:kern w:val="0"/>
          <w:sz w:val="32"/>
          <w:szCs w:val="32"/>
        </w:rPr>
        <w:t>年</w:t>
      </w:r>
      <w:r>
        <w:rPr>
          <w:rFonts w:hint="eastAsia" w:ascii="宋体" w:hAnsi="宋体"/>
          <w:color w:val="222222"/>
          <w:kern w:val="0"/>
          <w:sz w:val="32"/>
          <w:szCs w:val="32"/>
          <w:lang w:eastAsia="zh-CN"/>
        </w:rPr>
        <w:t>财政拨款</w:t>
      </w:r>
      <w:r>
        <w:rPr>
          <w:rFonts w:hint="eastAsia" w:ascii="宋体" w:hAnsi="宋体"/>
          <w:color w:val="222222"/>
          <w:kern w:val="0"/>
          <w:sz w:val="32"/>
          <w:szCs w:val="32"/>
        </w:rPr>
        <w:t>年初预算为</w:t>
      </w:r>
      <w:r>
        <w:rPr>
          <w:rFonts w:hint="eastAsia" w:ascii="宋体" w:hAnsi="宋体"/>
          <w:color w:val="222222"/>
          <w:kern w:val="0"/>
          <w:sz w:val="32"/>
          <w:szCs w:val="32"/>
          <w:lang w:val="en-US" w:eastAsia="zh-CN"/>
        </w:rPr>
        <w:t>1367.2354</w:t>
      </w:r>
      <w:r>
        <w:rPr>
          <w:rFonts w:hint="eastAsia" w:ascii="宋体" w:hAnsi="宋体"/>
          <w:color w:val="222222"/>
          <w:kern w:val="0"/>
          <w:sz w:val="32"/>
          <w:szCs w:val="32"/>
        </w:rPr>
        <w:t>万元，</w:t>
      </w:r>
      <w:r>
        <w:rPr>
          <w:rFonts w:hint="eastAsia" w:ascii="宋体" w:hAnsi="宋体"/>
          <w:color w:val="222222"/>
          <w:kern w:val="0"/>
          <w:sz w:val="32"/>
          <w:szCs w:val="32"/>
          <w:lang w:eastAsia="zh-CN"/>
        </w:rPr>
        <w:t>实际支出</w:t>
      </w:r>
      <w:r>
        <w:rPr>
          <w:rFonts w:hint="eastAsia" w:ascii="宋体" w:hAnsi="宋体"/>
          <w:color w:val="222222"/>
          <w:kern w:val="0"/>
          <w:sz w:val="32"/>
          <w:szCs w:val="32"/>
          <w:lang w:val="en-US" w:eastAsia="zh-CN"/>
        </w:rPr>
        <w:t>1610.1。</w:t>
      </w:r>
      <w:r>
        <w:rPr>
          <w:rFonts w:hint="eastAsia" w:ascii="宋体" w:hAnsi="宋体"/>
          <w:color w:val="222222"/>
          <w:kern w:val="0"/>
          <w:sz w:val="32"/>
          <w:szCs w:val="32"/>
        </w:rPr>
        <w:t>其中基本支出</w:t>
      </w:r>
      <w:r>
        <w:rPr>
          <w:rFonts w:hint="eastAsia" w:ascii="宋体" w:hAnsi="宋体"/>
          <w:color w:val="222222"/>
          <w:kern w:val="0"/>
          <w:sz w:val="32"/>
          <w:szCs w:val="32"/>
          <w:lang w:val="en-US" w:eastAsia="zh-CN"/>
        </w:rPr>
        <w:t>1166.02</w:t>
      </w:r>
      <w:r>
        <w:rPr>
          <w:rFonts w:hint="eastAsia" w:ascii="宋体" w:hAnsi="宋体"/>
          <w:color w:val="222222"/>
          <w:kern w:val="0"/>
          <w:sz w:val="32"/>
          <w:szCs w:val="32"/>
        </w:rPr>
        <w:t>万元，使用内容为人员经费和日常公用经费；项目支出</w:t>
      </w:r>
      <w:r>
        <w:rPr>
          <w:rFonts w:hint="eastAsia" w:ascii="宋体" w:hAnsi="宋体"/>
          <w:color w:val="222222"/>
          <w:kern w:val="0"/>
          <w:sz w:val="32"/>
          <w:szCs w:val="32"/>
          <w:lang w:val="en-US" w:eastAsia="zh-CN"/>
        </w:rPr>
        <w:t>444.08</w:t>
      </w:r>
      <w:r>
        <w:rPr>
          <w:rFonts w:hint="eastAsia" w:ascii="宋体" w:hAnsi="宋体"/>
          <w:color w:val="222222"/>
          <w:kern w:val="0"/>
          <w:sz w:val="32"/>
          <w:szCs w:val="32"/>
        </w:rPr>
        <w:t>万元，使用内容为业务工作专项。具体使用方向如下：</w:t>
      </w:r>
    </w:p>
    <w:tbl>
      <w:tblPr>
        <w:tblStyle w:val="4"/>
        <w:tblW w:w="8820" w:type="dxa"/>
        <w:tblInd w:w="108" w:type="dxa"/>
        <w:tblLayout w:type="fixed"/>
        <w:tblCellMar>
          <w:top w:w="0" w:type="dxa"/>
          <w:left w:w="0" w:type="dxa"/>
          <w:bottom w:w="0" w:type="dxa"/>
          <w:right w:w="0" w:type="dxa"/>
        </w:tblCellMar>
      </w:tblPr>
      <w:tblGrid>
        <w:gridCol w:w="3173"/>
        <w:gridCol w:w="2950"/>
        <w:gridCol w:w="2697"/>
      </w:tblGrid>
      <w:tr>
        <w:trPr>
          <w:trHeight w:val="480" w:hRule="atLeast"/>
        </w:trPr>
        <w:tc>
          <w:tcPr>
            <w:tcW w:w="31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支出项目</w:t>
            </w:r>
          </w:p>
        </w:tc>
        <w:tc>
          <w:tcPr>
            <w:tcW w:w="295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基本支出（万元）</w:t>
            </w:r>
          </w:p>
        </w:tc>
        <w:tc>
          <w:tcPr>
            <w:tcW w:w="26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项目支出（万元）</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988.34</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167.54</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309.53</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10.14</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1.84</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资本性支出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132.71</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其他资本性支出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宋体"/>
                <w:color w:val="222222"/>
                <w:kern w:val="0"/>
                <w:szCs w:val="21"/>
                <w:lang w:eastAsia="zh-CN"/>
              </w:rPr>
            </w:pPr>
            <w:r>
              <w:rPr>
                <w:rFonts w:hint="eastAsia" w:ascii="宋体" w:hAnsi="宋体"/>
                <w:color w:val="222222"/>
                <w:kern w:val="0"/>
                <w:sz w:val="22"/>
                <w:szCs w:val="22"/>
                <w:lang w:val="en-US" w:eastAsia="zh-CN"/>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1166.02</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宋体"/>
                <w:color w:val="222222"/>
                <w:kern w:val="0"/>
                <w:szCs w:val="21"/>
                <w:lang w:val="en-US" w:eastAsia="zh-CN"/>
              </w:rPr>
            </w:pPr>
            <w:r>
              <w:rPr>
                <w:rFonts w:hint="eastAsia"/>
                <w:color w:val="222222"/>
                <w:kern w:val="0"/>
                <w:szCs w:val="21"/>
                <w:lang w:val="en-US" w:eastAsia="zh-CN"/>
              </w:rPr>
              <w:t>444.08</w:t>
            </w:r>
          </w:p>
        </w:tc>
      </w:tr>
    </w:tbl>
    <w:p>
      <w:pPr>
        <w:widowControl/>
        <w:spacing w:beforeLines="0" w:afterLines="0" w:line="520" w:lineRule="exact"/>
        <w:ind w:firstLine="560" w:firstLineChars="200"/>
        <w:rPr>
          <w:rFonts w:hint="eastAsia"/>
          <w:sz w:val="28"/>
        </w:rPr>
      </w:pPr>
      <w:r>
        <w:rPr>
          <w:rFonts w:hint="eastAsia"/>
          <w:sz w:val="28"/>
        </w:rPr>
        <w:t>在预算资金管理方面，我局制定了预算管理办法，内部财务管理制度，会计核算管理制度。所有开支遵循“先计划、后审批、再支出”的程序，所有项目的开支坚持领导集体会审决策，具体开支项目有经手人、股室领导、分管领导、主要领导签字后方能报销。</w:t>
      </w:r>
    </w:p>
    <w:p>
      <w:pPr>
        <w:widowControl/>
        <w:spacing w:line="640" w:lineRule="atLeast"/>
        <w:ind w:firstLine="643"/>
        <w:rPr>
          <w:rFonts w:hint="eastAsia"/>
          <w:b w:val="0"/>
          <w:bCs w:val="0"/>
          <w:sz w:val="28"/>
        </w:rPr>
      </w:pPr>
      <w:r>
        <w:rPr>
          <w:rFonts w:hint="eastAsia" w:ascii="宋体" w:hAnsi="宋体"/>
          <w:b w:val="0"/>
          <w:bCs w:val="0"/>
          <w:color w:val="222222"/>
          <w:kern w:val="0"/>
          <w:sz w:val="32"/>
          <w:szCs w:val="32"/>
        </w:rPr>
        <w:t>（二）“三公”经费使用管理情况</w:t>
      </w:r>
    </w:p>
    <w:p>
      <w:pPr>
        <w:widowControl/>
        <w:spacing w:line="580" w:lineRule="atLeast"/>
        <w:ind w:firstLine="640"/>
        <w:rPr>
          <w:color w:val="222222"/>
          <w:kern w:val="0"/>
          <w:szCs w:val="21"/>
        </w:rPr>
      </w:pPr>
      <w:r>
        <w:rPr>
          <w:rFonts w:hint="eastAsia" w:ascii="宋体" w:hAnsi="宋体"/>
          <w:color w:val="222222"/>
          <w:kern w:val="0"/>
          <w:sz w:val="32"/>
          <w:szCs w:val="32"/>
        </w:rPr>
        <w:t>我局20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年“三公”经费预算金额为</w:t>
      </w:r>
      <w:r>
        <w:rPr>
          <w:rFonts w:hint="eastAsia" w:ascii="宋体" w:hAnsi="宋体"/>
          <w:color w:val="222222"/>
          <w:kern w:val="0"/>
          <w:sz w:val="32"/>
          <w:szCs w:val="32"/>
          <w:lang w:val="en-US" w:eastAsia="zh-CN"/>
        </w:rPr>
        <w:t>12.05</w:t>
      </w:r>
      <w:r>
        <w:rPr>
          <w:rFonts w:hint="eastAsia" w:ascii="宋体" w:hAnsi="宋体"/>
          <w:color w:val="222222"/>
          <w:kern w:val="0"/>
          <w:sz w:val="32"/>
          <w:szCs w:val="32"/>
        </w:rPr>
        <w:t>万元，全部为财政拨款资金，并在我局门户网站进行了公示。</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lang w:val="en-US" w:eastAsia="zh-CN"/>
        </w:rPr>
        <w:t>1</w:t>
      </w:r>
      <w:r>
        <w:rPr>
          <w:rFonts w:hint="eastAsia" w:ascii="宋体" w:hAnsi="宋体"/>
          <w:b w:val="0"/>
          <w:bCs w:val="0"/>
          <w:color w:val="222222"/>
          <w:kern w:val="0"/>
          <w:sz w:val="32"/>
          <w:szCs w:val="32"/>
        </w:rPr>
        <w:t>．“三公”经费预算执行情况（单位：万元）</w:t>
      </w:r>
    </w:p>
    <w:tbl>
      <w:tblPr>
        <w:tblStyle w:val="4"/>
        <w:tblW w:w="8839" w:type="dxa"/>
        <w:tblInd w:w="276" w:type="dxa"/>
        <w:tblLayout w:type="fixed"/>
        <w:tblCellMar>
          <w:top w:w="0" w:type="dxa"/>
          <w:left w:w="0" w:type="dxa"/>
          <w:bottom w:w="0" w:type="dxa"/>
          <w:right w:w="0" w:type="dxa"/>
        </w:tblCellMar>
      </w:tblPr>
      <w:tblGrid>
        <w:gridCol w:w="1381"/>
        <w:gridCol w:w="2428"/>
        <w:gridCol w:w="2360"/>
        <w:gridCol w:w="2670"/>
      </w:tblGrid>
      <w:tr>
        <w:tblPrEx>
          <w:tblCellMar>
            <w:top w:w="0" w:type="dxa"/>
            <w:left w:w="0" w:type="dxa"/>
            <w:bottom w:w="0" w:type="dxa"/>
            <w:right w:w="0" w:type="dxa"/>
          </w:tblCellMar>
        </w:tblPrEx>
        <w:trPr>
          <w:trHeight w:val="585" w:hRule="atLeast"/>
        </w:trPr>
        <w:tc>
          <w:tcPr>
            <w:tcW w:w="138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费用项目</w:t>
            </w:r>
          </w:p>
        </w:tc>
        <w:tc>
          <w:tcPr>
            <w:tcW w:w="24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预算金额</w:t>
            </w:r>
          </w:p>
        </w:tc>
        <w:tc>
          <w:tcPr>
            <w:tcW w:w="236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决算金额</w:t>
            </w:r>
          </w:p>
        </w:tc>
        <w:tc>
          <w:tcPr>
            <w:tcW w:w="267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增加额（预-决）</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公务接待</w:t>
            </w:r>
          </w:p>
        </w:tc>
        <w:tc>
          <w:tcPr>
            <w:tcW w:w="24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5</w:t>
            </w:r>
          </w:p>
        </w:tc>
        <w:tc>
          <w:tcPr>
            <w:tcW w:w="236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color w:val="222222"/>
                <w:kern w:val="0"/>
                <w:szCs w:val="21"/>
                <w:lang w:val="en-US" w:eastAsia="zh-CN"/>
              </w:rPr>
              <w:t>4.06</w:t>
            </w:r>
          </w:p>
        </w:tc>
        <w:tc>
          <w:tcPr>
            <w:tcW w:w="26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-0.94</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公车运行</w:t>
            </w:r>
          </w:p>
        </w:tc>
        <w:tc>
          <w:tcPr>
            <w:tcW w:w="24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6</w:t>
            </w:r>
          </w:p>
        </w:tc>
        <w:tc>
          <w:tcPr>
            <w:tcW w:w="236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2.08</w:t>
            </w:r>
          </w:p>
        </w:tc>
        <w:tc>
          <w:tcPr>
            <w:tcW w:w="26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-3.92</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公车购置</w:t>
            </w:r>
          </w:p>
        </w:tc>
        <w:tc>
          <w:tcPr>
            <w:tcW w:w="24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0</w:t>
            </w:r>
          </w:p>
        </w:tc>
        <w:tc>
          <w:tcPr>
            <w:tcW w:w="236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6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因公出国</w:t>
            </w:r>
          </w:p>
        </w:tc>
        <w:tc>
          <w:tcPr>
            <w:tcW w:w="24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olor w:val="222222"/>
                <w:kern w:val="0"/>
                <w:szCs w:val="21"/>
                <w:lang w:eastAsia="zh-CN"/>
              </w:rPr>
            </w:pPr>
            <w:r>
              <w:rPr>
                <w:rFonts w:hint="eastAsia" w:ascii="宋体" w:hAnsi="宋体"/>
                <w:color w:val="222222"/>
                <w:kern w:val="0"/>
                <w:sz w:val="22"/>
                <w:szCs w:val="22"/>
                <w:lang w:val="en-US" w:eastAsia="zh-CN"/>
              </w:rPr>
              <w:t>0</w:t>
            </w:r>
          </w:p>
        </w:tc>
        <w:tc>
          <w:tcPr>
            <w:tcW w:w="236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6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合计</w:t>
            </w:r>
          </w:p>
        </w:tc>
        <w:tc>
          <w:tcPr>
            <w:tcW w:w="24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color w:val="222222"/>
                <w:kern w:val="0"/>
                <w:szCs w:val="21"/>
                <w:lang w:val="en-US" w:eastAsia="zh-CN"/>
              </w:rPr>
              <w:t>11</w:t>
            </w:r>
          </w:p>
        </w:tc>
        <w:tc>
          <w:tcPr>
            <w:tcW w:w="236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color w:val="222222"/>
                <w:kern w:val="0"/>
                <w:szCs w:val="21"/>
                <w:lang w:val="en-US" w:eastAsia="zh-CN"/>
              </w:rPr>
              <w:t>6.14</w:t>
            </w:r>
          </w:p>
        </w:tc>
        <w:tc>
          <w:tcPr>
            <w:tcW w:w="267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-4.86</w:t>
            </w:r>
          </w:p>
        </w:tc>
      </w:tr>
    </w:tbl>
    <w:p>
      <w:pPr>
        <w:widowControl/>
        <w:spacing w:beforeLines="0" w:afterLines="0" w:line="520" w:lineRule="exact"/>
        <w:ind w:firstLine="800" w:firstLineChars="250"/>
        <w:rPr>
          <w:rFonts w:hint="eastAsia"/>
          <w:sz w:val="28"/>
        </w:rPr>
      </w:pPr>
      <w:r>
        <w:rPr>
          <w:rFonts w:hint="eastAsia" w:ascii="宋体" w:hAnsi="宋体"/>
          <w:color w:val="222222"/>
          <w:kern w:val="0"/>
          <w:sz w:val="32"/>
          <w:szCs w:val="32"/>
        </w:rPr>
        <w:t>我局20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年度“三公”经费预算</w:t>
      </w:r>
      <w:r>
        <w:rPr>
          <w:rFonts w:hint="eastAsia" w:ascii="宋体" w:hAnsi="宋体"/>
          <w:color w:val="222222"/>
          <w:kern w:val="0"/>
          <w:sz w:val="32"/>
          <w:szCs w:val="32"/>
          <w:lang w:val="en-US" w:eastAsia="zh-CN"/>
        </w:rPr>
        <w:t>11</w:t>
      </w:r>
      <w:r>
        <w:rPr>
          <w:rFonts w:hint="eastAsia" w:ascii="宋体" w:hAnsi="宋体"/>
          <w:color w:val="222222"/>
          <w:kern w:val="0"/>
          <w:sz w:val="32"/>
          <w:szCs w:val="32"/>
        </w:rPr>
        <w:t>万元，实际支出</w:t>
      </w:r>
      <w:r>
        <w:rPr>
          <w:rFonts w:hint="eastAsia" w:ascii="宋体" w:hAnsi="宋体"/>
          <w:color w:val="222222"/>
          <w:kern w:val="0"/>
          <w:sz w:val="32"/>
          <w:szCs w:val="32"/>
          <w:lang w:val="en-US" w:eastAsia="zh-CN"/>
        </w:rPr>
        <w:t>6.14</w:t>
      </w:r>
      <w:r>
        <w:rPr>
          <w:rFonts w:hint="eastAsia" w:ascii="宋体" w:hAnsi="宋体"/>
          <w:color w:val="222222"/>
          <w:kern w:val="0"/>
          <w:sz w:val="32"/>
          <w:szCs w:val="32"/>
        </w:rPr>
        <w:t>万元，结余</w:t>
      </w:r>
      <w:r>
        <w:rPr>
          <w:rFonts w:hint="eastAsia" w:ascii="宋体" w:hAnsi="宋体"/>
          <w:color w:val="222222"/>
          <w:kern w:val="0"/>
          <w:sz w:val="32"/>
          <w:szCs w:val="32"/>
          <w:lang w:val="en-US" w:eastAsia="zh-CN"/>
        </w:rPr>
        <w:t>4.86</w:t>
      </w:r>
      <w:r>
        <w:rPr>
          <w:rFonts w:hint="eastAsia" w:ascii="宋体" w:hAnsi="宋体"/>
          <w:color w:val="222222"/>
          <w:kern w:val="0"/>
          <w:sz w:val="32"/>
          <w:szCs w:val="32"/>
        </w:rPr>
        <w:t>万元。</w:t>
      </w:r>
    </w:p>
    <w:p>
      <w:pPr>
        <w:widowControl/>
        <w:spacing w:line="580" w:lineRule="atLeast"/>
        <w:ind w:firstLine="640"/>
        <w:rPr>
          <w:color w:val="222222"/>
          <w:kern w:val="0"/>
          <w:szCs w:val="21"/>
        </w:rPr>
      </w:pP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lang w:val="en-US" w:eastAsia="zh-CN"/>
        </w:rPr>
        <w:t>2</w:t>
      </w:r>
      <w:r>
        <w:rPr>
          <w:rFonts w:hint="eastAsia" w:ascii="宋体" w:hAnsi="宋体"/>
          <w:b w:val="0"/>
          <w:bCs w:val="0"/>
          <w:color w:val="222222"/>
          <w:kern w:val="0"/>
          <w:sz w:val="32"/>
          <w:szCs w:val="32"/>
        </w:rPr>
        <w:t>．“三公”经费与上年对比情况（单位：万元）</w:t>
      </w:r>
    </w:p>
    <w:tbl>
      <w:tblPr>
        <w:tblStyle w:val="4"/>
        <w:tblW w:w="10053" w:type="dxa"/>
        <w:jc w:val="center"/>
        <w:tblLayout w:type="fixed"/>
        <w:tblCellMar>
          <w:top w:w="0" w:type="dxa"/>
          <w:left w:w="0" w:type="dxa"/>
          <w:bottom w:w="0" w:type="dxa"/>
          <w:right w:w="0" w:type="dxa"/>
        </w:tblCellMar>
      </w:tblPr>
      <w:tblGrid>
        <w:gridCol w:w="2537"/>
        <w:gridCol w:w="2505"/>
        <w:gridCol w:w="2505"/>
        <w:gridCol w:w="2506"/>
      </w:tblGrid>
      <w:tr>
        <w:tblPrEx>
          <w:tblCellMar>
            <w:top w:w="0" w:type="dxa"/>
            <w:left w:w="0" w:type="dxa"/>
            <w:bottom w:w="0" w:type="dxa"/>
            <w:right w:w="0" w:type="dxa"/>
          </w:tblCellMar>
        </w:tblPrEx>
        <w:trPr>
          <w:trHeight w:val="615" w:hRule="atLeast"/>
          <w:jc w:val="center"/>
        </w:trPr>
        <w:tc>
          <w:tcPr>
            <w:tcW w:w="25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费用项目</w:t>
            </w:r>
          </w:p>
        </w:tc>
        <w:tc>
          <w:tcPr>
            <w:tcW w:w="250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20</w:t>
            </w:r>
            <w:r>
              <w:rPr>
                <w:rFonts w:hint="eastAsia" w:ascii="宋体" w:hAnsi="宋体"/>
                <w:b/>
                <w:bCs/>
                <w:color w:val="222222"/>
                <w:kern w:val="0"/>
                <w:sz w:val="22"/>
                <w:szCs w:val="22"/>
                <w:lang w:val="en-US" w:eastAsia="zh-CN"/>
              </w:rPr>
              <w:t>19</w:t>
            </w:r>
            <w:r>
              <w:rPr>
                <w:rFonts w:hint="eastAsia" w:ascii="宋体" w:hAnsi="宋体"/>
                <w:b/>
                <w:bCs/>
                <w:color w:val="222222"/>
                <w:kern w:val="0"/>
                <w:sz w:val="22"/>
                <w:szCs w:val="22"/>
              </w:rPr>
              <w:t>年决算数</w:t>
            </w:r>
          </w:p>
        </w:tc>
        <w:tc>
          <w:tcPr>
            <w:tcW w:w="250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20</w:t>
            </w:r>
            <w:r>
              <w:rPr>
                <w:rFonts w:hint="eastAsia" w:ascii="宋体" w:hAnsi="宋体"/>
                <w:b/>
                <w:bCs/>
                <w:color w:val="222222"/>
                <w:kern w:val="0"/>
                <w:sz w:val="22"/>
                <w:szCs w:val="22"/>
                <w:lang w:val="en-US" w:eastAsia="zh-CN"/>
              </w:rPr>
              <w:t>20</w:t>
            </w:r>
            <w:r>
              <w:rPr>
                <w:rFonts w:hint="eastAsia" w:ascii="宋体" w:hAnsi="宋体"/>
                <w:b/>
                <w:bCs/>
                <w:color w:val="222222"/>
                <w:kern w:val="0"/>
                <w:sz w:val="22"/>
                <w:szCs w:val="22"/>
              </w:rPr>
              <w:t>年决算数</w:t>
            </w:r>
          </w:p>
        </w:tc>
        <w:tc>
          <w:tcPr>
            <w:tcW w:w="250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增减情况（20</w:t>
            </w:r>
            <w:r>
              <w:rPr>
                <w:rFonts w:hint="eastAsia" w:ascii="宋体" w:hAnsi="宋体"/>
                <w:b/>
                <w:bCs/>
                <w:color w:val="222222"/>
                <w:kern w:val="0"/>
                <w:sz w:val="22"/>
                <w:szCs w:val="22"/>
                <w:lang w:val="en-US" w:eastAsia="zh-CN"/>
              </w:rPr>
              <w:t>20</w:t>
            </w:r>
            <w:r>
              <w:rPr>
                <w:rFonts w:hint="eastAsia" w:ascii="宋体" w:hAnsi="宋体"/>
                <w:b/>
                <w:bCs/>
                <w:color w:val="222222"/>
                <w:kern w:val="0"/>
                <w:sz w:val="22"/>
                <w:szCs w:val="22"/>
              </w:rPr>
              <w:t>-201</w:t>
            </w:r>
            <w:r>
              <w:rPr>
                <w:rFonts w:hint="eastAsia" w:ascii="宋体" w:hAnsi="宋体"/>
                <w:b/>
                <w:bCs/>
                <w:color w:val="222222"/>
                <w:kern w:val="0"/>
                <w:sz w:val="22"/>
                <w:szCs w:val="22"/>
                <w:lang w:val="en-US" w:eastAsia="zh-CN"/>
              </w:rPr>
              <w:t>9</w:t>
            </w:r>
            <w:r>
              <w:rPr>
                <w:rFonts w:hint="eastAsia" w:ascii="宋体" w:hAnsi="宋体"/>
                <w:b/>
                <w:bCs/>
                <w:color w:val="222222"/>
                <w:kern w:val="0"/>
                <w:sz w:val="22"/>
                <w:szCs w:val="22"/>
              </w:rPr>
              <w:t>）</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公务接待费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5.29</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4.06</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-1.23</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公车运行维护费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4.08</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2.08</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-2</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因公出国费用</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olor w:val="222222"/>
                <w:kern w:val="0"/>
                <w:szCs w:val="21"/>
                <w:lang w:eastAsia="zh-CN"/>
              </w:rPr>
            </w:pPr>
            <w:r>
              <w:rPr>
                <w:rFonts w:hint="eastAsia" w:ascii="宋体" w:hAnsi="宋体"/>
                <w:color w:val="222222"/>
                <w:kern w:val="0"/>
                <w:sz w:val="22"/>
                <w:szCs w:val="22"/>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olor w:val="222222"/>
                <w:kern w:val="0"/>
                <w:szCs w:val="21"/>
                <w:lang w:eastAsia="zh-CN"/>
              </w:rPr>
            </w:pPr>
            <w:r>
              <w:rPr>
                <w:rFonts w:hint="eastAsia" w:ascii="宋体" w:hAnsi="宋体"/>
                <w:color w:val="222222"/>
                <w:kern w:val="0"/>
                <w:sz w:val="22"/>
                <w:szCs w:val="22"/>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公务车购置费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合计</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9.37</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6.14</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olor w:val="222222"/>
                <w:kern w:val="0"/>
                <w:szCs w:val="21"/>
                <w:lang w:val="en-US" w:eastAsia="zh-CN"/>
              </w:rPr>
            </w:pPr>
            <w:r>
              <w:rPr>
                <w:rFonts w:hint="eastAsia" w:ascii="宋体" w:hAnsi="宋体"/>
                <w:color w:val="222222"/>
                <w:kern w:val="0"/>
                <w:sz w:val="22"/>
                <w:szCs w:val="22"/>
                <w:lang w:val="en-US" w:eastAsia="zh-CN"/>
              </w:rPr>
              <w:t>-3.23</w:t>
            </w:r>
          </w:p>
        </w:tc>
      </w:tr>
    </w:tbl>
    <w:p>
      <w:pPr>
        <w:widowControl/>
        <w:spacing w:beforeLines="0" w:afterLines="0" w:line="520" w:lineRule="exact"/>
        <w:ind w:firstLine="800" w:firstLineChars="250"/>
        <w:rPr>
          <w:rFonts w:hint="eastAsia" w:ascii="宋体" w:hAnsi="宋体"/>
          <w:color w:val="222222"/>
          <w:kern w:val="0"/>
          <w:sz w:val="32"/>
          <w:szCs w:val="32"/>
        </w:rPr>
      </w:pPr>
      <w:r>
        <w:rPr>
          <w:rFonts w:hint="eastAsia" w:ascii="宋体" w:hAnsi="宋体"/>
          <w:color w:val="222222"/>
          <w:kern w:val="0"/>
          <w:sz w:val="32"/>
          <w:szCs w:val="32"/>
        </w:rPr>
        <w:t>从上表反映，本年“三公”经费较上年有所减少，减少金额为</w:t>
      </w:r>
      <w:r>
        <w:rPr>
          <w:rFonts w:hint="eastAsia" w:ascii="宋体" w:hAnsi="宋体"/>
          <w:color w:val="222222"/>
          <w:kern w:val="0"/>
          <w:sz w:val="32"/>
          <w:szCs w:val="32"/>
          <w:lang w:val="en-US" w:eastAsia="zh-CN"/>
        </w:rPr>
        <w:t>3.23</w:t>
      </w:r>
      <w:r>
        <w:rPr>
          <w:rFonts w:hint="eastAsia" w:ascii="宋体" w:hAnsi="宋体"/>
          <w:color w:val="222222"/>
          <w:kern w:val="0"/>
          <w:sz w:val="32"/>
          <w:szCs w:val="32"/>
        </w:rPr>
        <w:t>万元，</w:t>
      </w:r>
      <w:r>
        <w:rPr>
          <w:rFonts w:hint="eastAsia" w:ascii="宋体" w:hAnsi="宋体"/>
          <w:color w:val="222222"/>
          <w:kern w:val="0"/>
          <w:sz w:val="32"/>
          <w:szCs w:val="32"/>
          <w:lang w:eastAsia="zh-CN"/>
        </w:rPr>
        <w:t>一方面，</w:t>
      </w:r>
      <w:r>
        <w:rPr>
          <w:rFonts w:hint="eastAsia" w:ascii="宋体" w:hAnsi="宋体"/>
          <w:color w:val="222222"/>
          <w:kern w:val="0"/>
          <w:sz w:val="32"/>
          <w:szCs w:val="32"/>
        </w:rPr>
        <w:t>在“三公经费”使用管理上，制订三项管理制度，先申报，后严格审批</w:t>
      </w:r>
      <w:r>
        <w:rPr>
          <w:rFonts w:hint="eastAsia" w:ascii="宋体" w:hAnsi="宋体"/>
          <w:color w:val="222222"/>
          <w:kern w:val="0"/>
          <w:sz w:val="32"/>
          <w:szCs w:val="32"/>
          <w:lang w:val="en-US"/>
        </w:rPr>
        <w:t>，</w:t>
      </w:r>
      <w:r>
        <w:rPr>
          <w:rFonts w:hint="eastAsia" w:ascii="宋体" w:hAnsi="宋体"/>
          <w:color w:val="222222"/>
          <w:kern w:val="0"/>
          <w:sz w:val="32"/>
          <w:szCs w:val="32"/>
        </w:rPr>
        <w:t>“三公经费”总体控制较好</w:t>
      </w:r>
      <w:r>
        <w:rPr>
          <w:rFonts w:hint="eastAsia" w:ascii="宋体" w:hAnsi="宋体"/>
          <w:color w:val="222222"/>
          <w:kern w:val="0"/>
          <w:sz w:val="32"/>
          <w:szCs w:val="32"/>
          <w:lang w:eastAsia="zh-CN"/>
        </w:rPr>
        <w:t>，另一方面，由于我单位年底未能及时报账，导致有些</w:t>
      </w:r>
      <w:r>
        <w:rPr>
          <w:rFonts w:hint="eastAsia" w:ascii="宋体" w:hAnsi="宋体"/>
          <w:color w:val="222222"/>
          <w:kern w:val="0"/>
          <w:sz w:val="32"/>
          <w:szCs w:val="32"/>
          <w:lang w:val="en-US" w:eastAsia="zh-CN"/>
        </w:rPr>
        <w:t>2020年度的</w:t>
      </w:r>
      <w:r>
        <w:rPr>
          <w:rFonts w:hint="eastAsia" w:ascii="宋体" w:hAnsi="宋体"/>
          <w:color w:val="222222"/>
          <w:kern w:val="0"/>
          <w:sz w:val="32"/>
          <w:szCs w:val="32"/>
          <w:lang w:eastAsia="zh-CN"/>
        </w:rPr>
        <w:t>票据未在该年度报</w:t>
      </w:r>
      <w:r>
        <w:rPr>
          <w:rFonts w:hint="eastAsia" w:ascii="宋体" w:hAnsi="宋体"/>
          <w:color w:val="222222"/>
          <w:kern w:val="0"/>
          <w:sz w:val="32"/>
          <w:szCs w:val="32"/>
        </w:rPr>
        <w:t>。</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（三）专项支出</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1.专项资金安排，落实情况：</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年专项资金收入</w:t>
      </w:r>
      <w:r>
        <w:rPr>
          <w:rFonts w:hint="eastAsia" w:ascii="宋体" w:hAnsi="宋体"/>
          <w:color w:val="222222"/>
          <w:kern w:val="0"/>
          <w:sz w:val="32"/>
          <w:szCs w:val="32"/>
          <w:lang w:val="en-US" w:eastAsia="zh-CN"/>
        </w:rPr>
        <w:t>374</w:t>
      </w:r>
      <w:r>
        <w:rPr>
          <w:rFonts w:hint="eastAsia" w:ascii="宋体" w:hAnsi="宋体"/>
          <w:color w:val="222222"/>
          <w:kern w:val="0"/>
          <w:sz w:val="32"/>
          <w:szCs w:val="32"/>
          <w:lang w:val="en-US"/>
        </w:rPr>
        <w:t>万</w:t>
      </w:r>
      <w:r>
        <w:rPr>
          <w:rFonts w:hint="eastAsia" w:ascii="宋体" w:hAnsi="宋体"/>
          <w:color w:val="222222"/>
          <w:kern w:val="0"/>
          <w:sz w:val="32"/>
          <w:szCs w:val="32"/>
        </w:rPr>
        <w:t>。其中：①市财政年初预算安排</w:t>
      </w:r>
      <w:r>
        <w:rPr>
          <w:rFonts w:hint="eastAsia" w:ascii="宋体" w:hAnsi="宋体"/>
          <w:color w:val="222222"/>
          <w:kern w:val="0"/>
          <w:sz w:val="32"/>
          <w:szCs w:val="32"/>
          <w:lang w:val="en-US" w:eastAsia="zh-CN"/>
        </w:rPr>
        <w:t>168</w:t>
      </w:r>
      <w:r>
        <w:rPr>
          <w:rFonts w:hint="eastAsia" w:ascii="宋体" w:hAnsi="宋体"/>
          <w:color w:val="222222"/>
          <w:kern w:val="0"/>
          <w:sz w:val="32"/>
          <w:szCs w:val="32"/>
          <w:lang w:val="en-US"/>
        </w:rPr>
        <w:t>万</w:t>
      </w:r>
      <w:r>
        <w:rPr>
          <w:rFonts w:hint="eastAsia" w:ascii="宋体" w:hAnsi="宋体"/>
          <w:color w:val="222222"/>
          <w:kern w:val="0"/>
          <w:sz w:val="32"/>
          <w:szCs w:val="32"/>
        </w:rPr>
        <w:t>元，其中社区矫正</w:t>
      </w:r>
      <w:r>
        <w:rPr>
          <w:rFonts w:hint="eastAsia" w:ascii="宋体" w:hAnsi="宋体"/>
          <w:color w:val="222222"/>
          <w:kern w:val="0"/>
          <w:sz w:val="32"/>
          <w:szCs w:val="32"/>
          <w:lang w:val="en-US" w:eastAsia="zh-CN"/>
        </w:rPr>
        <w:t>90</w:t>
      </w:r>
      <w:r>
        <w:rPr>
          <w:rFonts w:hint="eastAsia" w:ascii="宋体" w:hAnsi="宋体"/>
          <w:color w:val="222222"/>
          <w:kern w:val="0"/>
          <w:sz w:val="32"/>
          <w:szCs w:val="32"/>
          <w:lang w:val="en-US"/>
        </w:rPr>
        <w:t>万元、矛盾调处中心15万元、村民调解15万元、村民法制学校25万元</w:t>
      </w:r>
      <w:r>
        <w:rPr>
          <w:rFonts w:hint="eastAsia" w:ascii="宋体" w:hAnsi="宋体"/>
          <w:color w:val="222222"/>
          <w:kern w:val="0"/>
          <w:sz w:val="32"/>
          <w:szCs w:val="32"/>
          <w:lang w:val="en-US" w:eastAsia="zh-CN"/>
        </w:rPr>
        <w:t>、普法宣传7万元、法律援助7万元、坟山纠纷1万元、三调联动5万元、行政案件应诉调查9万、调解费5万、法律顾问团6万、专案工作经费7万、法制培训10万、执法换证和信息系统管理6万</w:t>
      </w:r>
      <w:r>
        <w:rPr>
          <w:rFonts w:hint="eastAsia" w:ascii="宋体" w:hAnsi="宋体"/>
          <w:color w:val="222222"/>
          <w:kern w:val="0"/>
          <w:sz w:val="32"/>
          <w:szCs w:val="32"/>
        </w:rPr>
        <w:t>。实际到位资金</w:t>
      </w:r>
      <w:r>
        <w:rPr>
          <w:rFonts w:hint="eastAsia" w:ascii="宋体" w:hAnsi="宋体"/>
          <w:color w:val="222222"/>
          <w:kern w:val="0"/>
          <w:sz w:val="32"/>
          <w:szCs w:val="32"/>
          <w:lang w:val="en-US" w:eastAsia="zh-CN"/>
        </w:rPr>
        <w:t>168</w:t>
      </w:r>
      <w:r>
        <w:rPr>
          <w:rFonts w:hint="eastAsia" w:ascii="宋体" w:hAnsi="宋体"/>
          <w:color w:val="222222"/>
          <w:kern w:val="0"/>
          <w:sz w:val="32"/>
          <w:szCs w:val="32"/>
          <w:lang w:val="en-US"/>
        </w:rPr>
        <w:t>万</w:t>
      </w:r>
      <w:r>
        <w:rPr>
          <w:rFonts w:hint="eastAsia" w:ascii="宋体" w:hAnsi="宋体"/>
          <w:color w:val="222222"/>
          <w:kern w:val="0"/>
          <w:sz w:val="32"/>
          <w:szCs w:val="32"/>
        </w:rPr>
        <w:t>元，到位率100%。②中央财政专项</w:t>
      </w:r>
      <w:r>
        <w:rPr>
          <w:rFonts w:hint="eastAsia" w:ascii="宋体" w:hAnsi="宋体"/>
          <w:color w:val="222222"/>
          <w:kern w:val="0"/>
          <w:sz w:val="32"/>
          <w:szCs w:val="32"/>
          <w:lang w:eastAsia="zh-CN"/>
        </w:rPr>
        <w:t>资金下达</w:t>
      </w:r>
      <w:r>
        <w:rPr>
          <w:rFonts w:hint="eastAsia" w:ascii="宋体" w:hAnsi="宋体"/>
          <w:color w:val="222222"/>
          <w:kern w:val="0"/>
          <w:sz w:val="32"/>
          <w:szCs w:val="32"/>
          <w:lang w:val="en-US" w:eastAsia="zh-CN"/>
        </w:rPr>
        <w:t>206</w:t>
      </w:r>
      <w:r>
        <w:rPr>
          <w:rFonts w:hint="eastAsia" w:ascii="宋体" w:hAnsi="宋体"/>
          <w:color w:val="222222"/>
          <w:kern w:val="0"/>
          <w:sz w:val="32"/>
          <w:szCs w:val="32"/>
          <w:lang w:val="en-US"/>
        </w:rPr>
        <w:t>万元，</w:t>
      </w:r>
      <w:r>
        <w:rPr>
          <w:rFonts w:hint="eastAsia" w:ascii="宋体" w:hAnsi="宋体"/>
          <w:color w:val="222222"/>
          <w:kern w:val="0"/>
          <w:sz w:val="32"/>
          <w:szCs w:val="32"/>
        </w:rPr>
        <w:t>其中：办案经费</w:t>
      </w:r>
      <w:r>
        <w:rPr>
          <w:rFonts w:hint="eastAsia" w:ascii="宋体" w:hAnsi="宋体"/>
          <w:color w:val="222222"/>
          <w:kern w:val="0"/>
          <w:sz w:val="32"/>
          <w:szCs w:val="32"/>
          <w:lang w:val="en-US" w:eastAsia="zh-CN"/>
        </w:rPr>
        <w:t>110</w:t>
      </w:r>
      <w:r>
        <w:rPr>
          <w:rFonts w:hint="eastAsia" w:ascii="宋体" w:hAnsi="宋体"/>
          <w:color w:val="222222"/>
          <w:kern w:val="0"/>
          <w:sz w:val="32"/>
          <w:szCs w:val="32"/>
          <w:lang w:val="en-US"/>
        </w:rPr>
        <w:t>万</w:t>
      </w:r>
      <w:r>
        <w:rPr>
          <w:rFonts w:hint="eastAsia" w:ascii="宋体" w:hAnsi="宋体"/>
          <w:color w:val="222222"/>
          <w:kern w:val="0"/>
          <w:sz w:val="32"/>
          <w:szCs w:val="32"/>
        </w:rPr>
        <w:t>元，装备费</w:t>
      </w:r>
      <w:r>
        <w:rPr>
          <w:rFonts w:hint="eastAsia" w:ascii="宋体" w:hAnsi="宋体"/>
          <w:color w:val="222222"/>
          <w:kern w:val="0"/>
          <w:sz w:val="32"/>
          <w:szCs w:val="32"/>
          <w:lang w:val="en-US" w:eastAsia="zh-CN"/>
        </w:rPr>
        <w:t>46</w:t>
      </w:r>
      <w:r>
        <w:rPr>
          <w:rFonts w:hint="eastAsia" w:ascii="宋体" w:hAnsi="宋体"/>
          <w:color w:val="222222"/>
          <w:kern w:val="0"/>
          <w:sz w:val="32"/>
          <w:szCs w:val="32"/>
          <w:lang w:val="en-US"/>
        </w:rPr>
        <w:t>万元</w:t>
      </w:r>
      <w:r>
        <w:rPr>
          <w:rFonts w:hint="eastAsia" w:ascii="宋体" w:hAnsi="宋体"/>
          <w:color w:val="222222"/>
          <w:kern w:val="0"/>
          <w:sz w:val="32"/>
          <w:szCs w:val="32"/>
        </w:rPr>
        <w:t>，</w:t>
      </w:r>
      <w:r>
        <w:rPr>
          <w:rFonts w:hint="eastAsia" w:ascii="宋体" w:hAnsi="宋体"/>
          <w:color w:val="222222"/>
          <w:kern w:val="0"/>
          <w:sz w:val="32"/>
          <w:szCs w:val="32"/>
          <w:lang w:val="en-US"/>
        </w:rPr>
        <w:t>预备费</w:t>
      </w:r>
      <w:r>
        <w:rPr>
          <w:rFonts w:hint="eastAsia" w:ascii="宋体" w:hAnsi="宋体"/>
          <w:color w:val="222222"/>
          <w:kern w:val="0"/>
          <w:sz w:val="32"/>
          <w:szCs w:val="32"/>
          <w:lang w:val="en-US" w:eastAsia="zh-CN"/>
        </w:rPr>
        <w:t>50</w:t>
      </w:r>
      <w:r>
        <w:rPr>
          <w:rFonts w:hint="eastAsia" w:ascii="宋体" w:hAnsi="宋体"/>
          <w:color w:val="222222"/>
          <w:kern w:val="0"/>
          <w:sz w:val="32"/>
          <w:szCs w:val="32"/>
          <w:lang w:val="en-US"/>
        </w:rPr>
        <w:t>万元.</w:t>
      </w:r>
      <w:r>
        <w:rPr>
          <w:rFonts w:hint="eastAsia" w:ascii="宋体" w:hAnsi="宋体"/>
          <w:color w:val="222222"/>
          <w:kern w:val="0"/>
          <w:sz w:val="32"/>
          <w:szCs w:val="32"/>
        </w:rPr>
        <w:t>实际到位资金</w:t>
      </w:r>
      <w:r>
        <w:rPr>
          <w:rFonts w:hint="eastAsia" w:ascii="宋体" w:hAnsi="宋体"/>
          <w:color w:val="222222"/>
          <w:kern w:val="0"/>
          <w:sz w:val="32"/>
          <w:szCs w:val="32"/>
          <w:lang w:val="en-US" w:eastAsia="zh-CN"/>
        </w:rPr>
        <w:t>206</w:t>
      </w:r>
      <w:r>
        <w:rPr>
          <w:rFonts w:hint="eastAsia" w:ascii="宋体" w:hAnsi="宋体"/>
          <w:color w:val="222222"/>
          <w:kern w:val="0"/>
          <w:sz w:val="32"/>
          <w:szCs w:val="32"/>
          <w:lang w:val="en-US"/>
        </w:rPr>
        <w:t>万</w:t>
      </w:r>
      <w:r>
        <w:rPr>
          <w:rFonts w:hint="eastAsia" w:ascii="宋体" w:hAnsi="宋体"/>
          <w:color w:val="222222"/>
          <w:kern w:val="0"/>
          <w:sz w:val="32"/>
          <w:szCs w:val="32"/>
        </w:rPr>
        <w:t>元，到位率</w:t>
      </w:r>
      <w:r>
        <w:rPr>
          <w:rFonts w:hint="eastAsia" w:ascii="宋体" w:hAnsi="宋体"/>
          <w:color w:val="222222"/>
          <w:kern w:val="0"/>
          <w:sz w:val="32"/>
          <w:szCs w:val="32"/>
          <w:lang w:val="en-US" w:eastAsia="zh-CN"/>
        </w:rPr>
        <w:t>100</w:t>
      </w:r>
      <w:r>
        <w:rPr>
          <w:rFonts w:hint="eastAsia" w:ascii="宋体" w:hAnsi="宋体"/>
          <w:color w:val="222222"/>
          <w:kern w:val="0"/>
          <w:sz w:val="32"/>
          <w:szCs w:val="32"/>
        </w:rPr>
        <w:t>%。</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2.专项资金使用情况</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年专项资金总开支</w:t>
      </w:r>
      <w:r>
        <w:rPr>
          <w:rFonts w:hint="eastAsia" w:ascii="宋体" w:hAnsi="宋体"/>
          <w:color w:val="222222"/>
          <w:kern w:val="0"/>
          <w:sz w:val="32"/>
          <w:szCs w:val="32"/>
          <w:lang w:val="en-US" w:eastAsia="zh-CN"/>
        </w:rPr>
        <w:t>444.07</w:t>
      </w:r>
      <w:r>
        <w:rPr>
          <w:rFonts w:hint="eastAsia" w:ascii="宋体" w:hAnsi="宋体"/>
          <w:color w:val="222222"/>
          <w:kern w:val="0"/>
          <w:sz w:val="32"/>
          <w:szCs w:val="32"/>
          <w:lang w:val="en-US"/>
        </w:rPr>
        <w:t>万元</w:t>
      </w:r>
      <w:r>
        <w:rPr>
          <w:rFonts w:hint="eastAsia" w:ascii="宋体" w:hAnsi="宋体"/>
          <w:color w:val="222222"/>
          <w:kern w:val="0"/>
          <w:sz w:val="32"/>
          <w:szCs w:val="32"/>
        </w:rPr>
        <w:t xml:space="preserve"> 。其中：</w:t>
      </w:r>
      <w:r>
        <w:rPr>
          <w:rFonts w:hint="eastAsia" w:ascii="宋体" w:hAnsi="宋体"/>
          <w:color w:val="222222"/>
          <w:kern w:val="0"/>
          <w:sz w:val="32"/>
          <w:szCs w:val="32"/>
          <w:lang w:eastAsia="zh-CN"/>
        </w:rPr>
        <w:t>一般行政管理事务</w:t>
      </w:r>
      <w:r>
        <w:rPr>
          <w:rFonts w:hint="eastAsia" w:ascii="宋体" w:hAnsi="宋体"/>
          <w:color w:val="222222"/>
          <w:kern w:val="0"/>
          <w:sz w:val="32"/>
          <w:szCs w:val="32"/>
          <w:lang w:val="en-US" w:eastAsia="zh-CN"/>
        </w:rPr>
        <w:t>25.21万元，基层司法业务4.62万元，法律援助10.61万元，社区矫正68.26万元，其他司法支出320.02万元，其他公共安全支出15.35万元。</w:t>
      </w:r>
      <w:r>
        <w:rPr>
          <w:rFonts w:hint="eastAsia" w:ascii="宋体" w:hAnsi="宋体"/>
          <w:color w:val="222222"/>
          <w:kern w:val="0"/>
          <w:sz w:val="32"/>
          <w:szCs w:val="32"/>
        </w:rPr>
        <w:t xml:space="preserve"> </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3.专项资金管理和组织实施情况</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①项目支出实行严格的财务审批制度，按项目类别分门列账，所有开支遵循“先计划、后审批，再支出”的程序，严格落实一支笔审批制度。</w:t>
      </w:r>
    </w:p>
    <w:p>
      <w:pPr>
        <w:widowControl/>
        <w:spacing w:beforeLines="0" w:afterLines="0" w:line="520" w:lineRule="exact"/>
        <w:ind w:firstLine="640" w:firstLineChars="200"/>
        <w:rPr>
          <w:rFonts w:hint="eastAsia" w:ascii="宋体" w:hAnsi="宋体"/>
          <w:color w:val="222222"/>
          <w:kern w:val="0"/>
          <w:sz w:val="32"/>
          <w:szCs w:val="32"/>
        </w:rPr>
      </w:pP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②成立了项目实施领导小组，对于资金超过20万元的，已制定项目实施方案，严格按方案实施，定期对项目资金的使用情况进行公布。</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③成立局财务会审小组，所有项目支出必须经过财务会审小组审核后方能报账。</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④坚持政府采购制度，对于纳入政府采购名录的采购，全部办理政府采购手续进行采购。</w:t>
      </w:r>
    </w:p>
    <w:p>
      <w:pPr>
        <w:widowControl/>
        <w:spacing w:beforeLines="0" w:afterLines="0" w:line="520" w:lineRule="exact"/>
        <w:ind w:firstLine="640" w:firstLineChars="200"/>
        <w:rPr>
          <w:rFonts w:hint="eastAsia" w:ascii="宋体" w:hAnsi="宋体"/>
          <w:color w:val="222222"/>
          <w:kern w:val="0"/>
          <w:sz w:val="32"/>
          <w:szCs w:val="32"/>
        </w:rPr>
      </w:pPr>
      <w:r>
        <w:rPr>
          <w:rFonts w:hint="eastAsia" w:ascii="宋体" w:hAnsi="宋体"/>
          <w:color w:val="222222"/>
          <w:kern w:val="0"/>
          <w:sz w:val="32"/>
          <w:szCs w:val="32"/>
        </w:rPr>
        <w:t>⑤建立项目检查，验收制度。项目实施过程中，定期进行检查监督，项目完成后进行验收、结算。</w:t>
      </w:r>
    </w:p>
    <w:p>
      <w:pPr>
        <w:widowControl/>
        <w:spacing w:line="580" w:lineRule="atLeast"/>
        <w:ind w:firstLine="640"/>
        <w:rPr>
          <w:color w:val="222222"/>
          <w:kern w:val="0"/>
          <w:szCs w:val="21"/>
        </w:rPr>
      </w:pPr>
      <w:r>
        <w:rPr>
          <w:rFonts w:hint="eastAsia" w:ascii="宋体" w:hAnsi="宋体"/>
          <w:color w:val="222222"/>
          <w:kern w:val="0"/>
          <w:sz w:val="32"/>
          <w:szCs w:val="32"/>
        </w:rPr>
        <w:t>五、部门整体支出绩效评价</w:t>
      </w:r>
    </w:p>
    <w:p>
      <w:pPr>
        <w:widowControl/>
        <w:spacing w:line="580" w:lineRule="atLeast"/>
        <w:ind w:firstLine="640"/>
        <w:rPr>
          <w:color w:val="222222"/>
          <w:kern w:val="0"/>
          <w:szCs w:val="21"/>
        </w:rPr>
      </w:pPr>
      <w:r>
        <w:rPr>
          <w:rFonts w:hint="eastAsia" w:ascii="宋体" w:hAnsi="宋体"/>
          <w:color w:val="222222"/>
          <w:kern w:val="0"/>
          <w:sz w:val="32"/>
          <w:szCs w:val="32"/>
        </w:rPr>
        <w:t>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根据局年初工作规划和重点性工作，围绕省委、省政府全面建成小康社会的发展蓝图，积极履职，强化管理，较好的完成了年度工作目标。通过加强预算收支管理，不断建立健全内部管理制度，梳理内部管理流程，部门整体支出管理情况得到提升。根据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年度部门整体支出状况的概述和分析，部门整体支出绩效情况如下：</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（一）经济效益评价</w:t>
      </w:r>
    </w:p>
    <w:p>
      <w:pPr>
        <w:widowControl/>
        <w:spacing w:beforeLines="0" w:afterLines="0" w:line="520" w:lineRule="exact"/>
        <w:ind w:firstLine="640" w:firstLineChars="200"/>
        <w:rPr>
          <w:color w:val="222222"/>
          <w:kern w:val="0"/>
          <w:szCs w:val="21"/>
        </w:rPr>
      </w:pPr>
      <w:r>
        <w:rPr>
          <w:rFonts w:hint="eastAsia" w:ascii="宋体" w:hAnsi="宋体"/>
          <w:b w:val="0"/>
          <w:bCs w:val="0"/>
          <w:color w:val="222222"/>
          <w:kern w:val="0"/>
          <w:sz w:val="32"/>
          <w:szCs w:val="32"/>
        </w:rPr>
        <w:t>1. 本年预算配置控制较好。</w:t>
      </w:r>
      <w:r>
        <w:rPr>
          <w:rFonts w:hint="eastAsia" w:ascii="宋体" w:hAnsi="宋体"/>
          <w:color w:val="222222"/>
          <w:kern w:val="0"/>
          <w:sz w:val="32"/>
          <w:szCs w:val="32"/>
        </w:rPr>
        <w:t>财政供养人员控制在预算编制以内，编制内在职人员控制率小于100%；“三公”经费预算总额较上年减少</w:t>
      </w:r>
      <w:r>
        <w:rPr>
          <w:rFonts w:hint="eastAsia" w:ascii="宋体" w:hAnsi="宋体"/>
          <w:color w:val="222222"/>
          <w:kern w:val="0"/>
          <w:sz w:val="32"/>
          <w:szCs w:val="32"/>
          <w:lang w:val="en-US" w:eastAsia="zh-CN"/>
        </w:rPr>
        <w:t>34</w:t>
      </w:r>
      <w:r>
        <w:rPr>
          <w:rFonts w:hint="eastAsia" w:ascii="宋体" w:hAnsi="宋体"/>
          <w:color w:val="222222"/>
          <w:kern w:val="0"/>
          <w:sz w:val="32"/>
          <w:szCs w:val="32"/>
        </w:rPr>
        <w:t>%。</w:t>
      </w:r>
    </w:p>
    <w:p>
      <w:pPr>
        <w:widowControl/>
        <w:spacing w:line="580" w:lineRule="atLeast"/>
        <w:ind w:firstLine="640"/>
        <w:rPr>
          <w:rFonts w:hint="eastAsia"/>
          <w:sz w:val="28"/>
        </w:rPr>
      </w:pPr>
      <w:r>
        <w:rPr>
          <w:rFonts w:hint="eastAsia" w:ascii="宋体" w:hAnsi="宋体"/>
          <w:b w:val="0"/>
          <w:bCs w:val="0"/>
          <w:color w:val="222222"/>
          <w:kern w:val="0"/>
          <w:sz w:val="32"/>
          <w:szCs w:val="32"/>
        </w:rPr>
        <w:t>2. 预算执行方面</w:t>
      </w:r>
      <w:r>
        <w:rPr>
          <w:rFonts w:hint="eastAsia"/>
          <w:sz w:val="28"/>
        </w:rPr>
        <w:t>:</w:t>
      </w:r>
      <w:r>
        <w:rPr>
          <w:rFonts w:hint="eastAsia" w:ascii="宋体" w:hAnsi="宋体"/>
          <w:color w:val="222222"/>
          <w:kern w:val="0"/>
          <w:sz w:val="32"/>
          <w:szCs w:val="32"/>
        </w:rPr>
        <w:t>我局在执行上严格遵守各项财经纪律</w:t>
      </w:r>
      <w:r>
        <w:rPr>
          <w:rFonts w:hint="eastAsia" w:ascii="宋体" w:hAnsi="宋体"/>
          <w:color w:val="222222"/>
          <w:kern w:val="0"/>
          <w:sz w:val="32"/>
          <w:szCs w:val="32"/>
          <w:lang w:eastAsia="zh-CN"/>
        </w:rPr>
        <w:t>，</w:t>
      </w:r>
      <w:r>
        <w:rPr>
          <w:rFonts w:hint="eastAsia" w:ascii="宋体" w:hAnsi="宋体"/>
          <w:color w:val="222222"/>
          <w:kern w:val="0"/>
          <w:sz w:val="32"/>
          <w:szCs w:val="32"/>
        </w:rPr>
        <w:t>预算安排的基本支出保障了我局正常的工作运转</w:t>
      </w:r>
      <w:r>
        <w:rPr>
          <w:rFonts w:hint="eastAsia" w:ascii="宋体" w:hAnsi="宋体"/>
          <w:b w:val="0"/>
          <w:bCs w:val="0"/>
          <w:color w:val="222222"/>
          <w:kern w:val="0"/>
          <w:sz w:val="32"/>
          <w:szCs w:val="32"/>
        </w:rPr>
        <w:t>，保障了职工工资,津补贴的及时足额发放,没有出现拖欠职工工资,离退休费用等现象</w:t>
      </w:r>
      <w:r>
        <w:rPr>
          <w:rFonts w:hint="eastAsia"/>
          <w:sz w:val="28"/>
          <w:lang w:eastAsia="zh-CN"/>
        </w:rPr>
        <w:t>。</w:t>
      </w:r>
      <w:r>
        <w:rPr>
          <w:rFonts w:hint="eastAsia" w:ascii="宋体" w:hAnsi="宋体"/>
          <w:color w:val="222222"/>
          <w:kern w:val="0"/>
          <w:sz w:val="32"/>
          <w:szCs w:val="32"/>
        </w:rPr>
        <w:t>各项工作开展顺利,有多项工作被司法厅及市委、市政府评为先进,司法各项指标得到了增长。</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（二）效率性评价和有效性评价</w:t>
      </w:r>
      <w:bookmarkStart w:id="0" w:name="_GoBack"/>
      <w:bookmarkEnd w:id="0"/>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我局在专项资金使用管理方面，真正做到了资金管理有方、使用有效，充分发挥了政法专项资金的使用效益。</w:t>
      </w:r>
    </w:p>
    <w:p>
      <w:pPr>
        <w:pStyle w:val="2"/>
        <w:widowControl/>
        <w:spacing w:line="560" w:lineRule="exact"/>
        <w:ind w:firstLine="640" w:firstLineChars="200"/>
        <w:jc w:val="both"/>
        <w:rPr>
          <w:rFonts w:hint="eastAsia" w:ascii="宋体" w:hAnsi="宋体" w:eastAsia="宋体" w:cs="Times New Roman"/>
          <w:color w:val="222222"/>
          <w:kern w:val="0"/>
          <w:sz w:val="32"/>
          <w:szCs w:val="32"/>
          <w:lang w:val="en-US" w:eastAsia="zh-CN" w:bidi="ar-SA"/>
        </w:rPr>
      </w:pPr>
      <w:r>
        <w:rPr>
          <w:rFonts w:hint="eastAsia" w:ascii="宋体" w:hAnsi="宋体" w:eastAsia="宋体" w:cs="Times New Roman"/>
          <w:color w:val="222222"/>
          <w:kern w:val="0"/>
          <w:sz w:val="32"/>
          <w:szCs w:val="32"/>
          <w:lang w:val="en-US" w:eastAsia="zh-CN" w:bidi="ar-SA"/>
        </w:rPr>
        <w:t>1、法律援助工作方面：提供法律咨询900余人次，共办理法律援助案件</w:t>
      </w:r>
      <w:r>
        <w:rPr>
          <w:rFonts w:hint="eastAsia" w:ascii="仿宋" w:hAnsi="仿宋" w:eastAsia="仿宋" w:cs="仿宋"/>
          <w:sz w:val="32"/>
          <w:szCs w:val="32"/>
          <w:lang w:val="en-US" w:eastAsia="zh-CN"/>
        </w:rPr>
        <w:t>413</w:t>
      </w:r>
      <w:r>
        <w:rPr>
          <w:rFonts w:hint="eastAsia" w:ascii="宋体" w:hAnsi="宋体" w:eastAsia="宋体" w:cs="Times New Roman"/>
          <w:color w:val="222222"/>
          <w:kern w:val="0"/>
          <w:sz w:val="32"/>
          <w:szCs w:val="32"/>
          <w:lang w:val="en-US" w:eastAsia="zh-CN" w:bidi="ar-SA"/>
        </w:rPr>
        <w:t>件。</w:t>
      </w:r>
    </w:p>
    <w:p>
      <w:pPr>
        <w:widowControl/>
        <w:spacing w:line="580" w:lineRule="atLeast"/>
        <w:ind w:firstLine="640"/>
        <w:rPr>
          <w:rFonts w:hint="eastAsia" w:ascii="宋体" w:hAnsi="宋体"/>
          <w:color w:val="222222"/>
          <w:kern w:val="0"/>
          <w:sz w:val="32"/>
          <w:szCs w:val="32"/>
          <w:lang w:val="en-US" w:eastAsia="zh-CN"/>
        </w:rPr>
      </w:pPr>
      <w:r>
        <w:rPr>
          <w:rFonts w:hint="eastAsia" w:ascii="宋体" w:hAnsi="宋体"/>
          <w:color w:val="222222"/>
          <w:kern w:val="0"/>
          <w:sz w:val="32"/>
          <w:szCs w:val="32"/>
          <w:lang w:val="en-US" w:eastAsia="zh-CN"/>
        </w:rPr>
        <w:t>2、社区矫正工作方面：2020全</w:t>
      </w:r>
      <w:r>
        <w:rPr>
          <w:rFonts w:hint="eastAsia" w:ascii="宋体" w:hAnsi="宋体"/>
          <w:color w:val="222222"/>
          <w:kern w:val="0"/>
          <w:sz w:val="32"/>
          <w:szCs w:val="32"/>
        </w:rPr>
        <w:t>年社区矫正人数</w:t>
      </w:r>
      <w:r>
        <w:rPr>
          <w:rFonts w:hint="eastAsia" w:ascii="宋体" w:hAnsi="宋体"/>
          <w:color w:val="222222"/>
          <w:kern w:val="0"/>
          <w:sz w:val="32"/>
          <w:szCs w:val="32"/>
          <w:lang w:val="en-US" w:eastAsia="zh-CN"/>
        </w:rPr>
        <w:t>400</w:t>
      </w:r>
      <w:r>
        <w:rPr>
          <w:rFonts w:hint="eastAsia" w:ascii="宋体" w:hAnsi="宋体"/>
          <w:color w:val="222222"/>
          <w:kern w:val="0"/>
          <w:sz w:val="32"/>
          <w:szCs w:val="32"/>
        </w:rPr>
        <w:t>人</w:t>
      </w:r>
      <w:r>
        <w:rPr>
          <w:rFonts w:hint="eastAsia" w:ascii="宋体" w:hAnsi="宋体"/>
          <w:color w:val="222222"/>
          <w:kern w:val="0"/>
          <w:sz w:val="32"/>
          <w:szCs w:val="32"/>
          <w:lang w:eastAsia="zh-CN"/>
        </w:rPr>
        <w:t>上下</w:t>
      </w:r>
      <w:r>
        <w:rPr>
          <w:rFonts w:hint="eastAsia" w:ascii="宋体" w:hAnsi="宋体"/>
          <w:color w:val="222222"/>
          <w:kern w:val="0"/>
          <w:sz w:val="32"/>
          <w:szCs w:val="32"/>
        </w:rPr>
        <w:t>，近年来社区矫正工作在册矫正人员多、管理难度大的情况下能做到社区矫正监管各环节“零失误”</w:t>
      </w:r>
      <w:r>
        <w:rPr>
          <w:rFonts w:hint="eastAsia" w:ascii="宋体" w:hAnsi="宋体"/>
          <w:color w:val="222222"/>
          <w:kern w:val="0"/>
          <w:sz w:val="32"/>
          <w:szCs w:val="32"/>
          <w:lang w:eastAsia="zh-CN"/>
        </w:rPr>
        <w:t>，</w:t>
      </w:r>
      <w:r>
        <w:rPr>
          <w:rFonts w:hint="eastAsia" w:ascii="宋体" w:hAnsi="宋体"/>
          <w:color w:val="222222"/>
          <w:kern w:val="0"/>
          <w:sz w:val="32"/>
          <w:szCs w:val="32"/>
        </w:rPr>
        <w:t>有力地维护了地方的社会治安稳定。</w:t>
      </w:r>
    </w:p>
    <w:p>
      <w:pPr>
        <w:widowControl/>
        <w:spacing w:line="580" w:lineRule="atLeast"/>
        <w:ind w:firstLine="640"/>
        <w:rPr>
          <w:rFonts w:hint="default" w:ascii="宋体" w:hAnsi="宋体"/>
          <w:color w:val="222222"/>
          <w:kern w:val="0"/>
          <w:sz w:val="32"/>
          <w:szCs w:val="32"/>
          <w:lang w:val="en-US" w:eastAsia="zh-CN"/>
        </w:rPr>
      </w:pPr>
      <w:r>
        <w:rPr>
          <w:rFonts w:hint="eastAsia" w:ascii="宋体" w:hAnsi="宋体"/>
          <w:color w:val="222222"/>
          <w:kern w:val="0"/>
          <w:sz w:val="32"/>
          <w:szCs w:val="32"/>
          <w:lang w:val="en-US" w:eastAsia="zh-CN"/>
        </w:rPr>
        <w:t>3、公共法律服务工作站建设方面：在我市公共法律服务站、点全面建成基础上，推进公共法律服务中心（站、点）规范化管理，积极整合司法行政职能和公共法律服务资源，理顺管理体制、工作机制，合理配备人员力量，让人民群众获得实实在在的公共法律服务。</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lang w:val="en-US" w:eastAsia="zh-CN"/>
        </w:rPr>
        <w:t>4、人民调解工作方面：调解矛盾2097件，及时发放人民调解“以奖代补”经费，保障并促进人民调解工作的顺利开展。</w:t>
      </w:r>
    </w:p>
    <w:p>
      <w:pPr>
        <w:widowControl/>
        <w:spacing w:line="580" w:lineRule="atLeast"/>
        <w:ind w:firstLine="643"/>
        <w:rPr>
          <w:b w:val="0"/>
          <w:bCs w:val="0"/>
          <w:color w:val="222222"/>
          <w:kern w:val="0"/>
          <w:szCs w:val="21"/>
        </w:rPr>
      </w:pPr>
      <w:r>
        <w:rPr>
          <w:rFonts w:hint="eastAsia" w:ascii="宋体" w:hAnsi="宋体"/>
          <w:b w:val="0"/>
          <w:bCs w:val="0"/>
          <w:color w:val="222222"/>
          <w:kern w:val="0"/>
          <w:sz w:val="32"/>
          <w:szCs w:val="32"/>
        </w:rPr>
        <w:t>（三）社会公众满意度评价</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年，全局干部职工在局党组的正确领导下，</w:t>
      </w:r>
      <w:r>
        <w:rPr>
          <w:rFonts w:hint="eastAsia" w:ascii="宋体" w:hAnsi="宋体"/>
          <w:color w:val="222222"/>
          <w:kern w:val="0"/>
          <w:sz w:val="32"/>
          <w:szCs w:val="32"/>
          <w:lang w:val="en-US"/>
        </w:rPr>
        <w:t>创先争优，被评为先进单位</w:t>
      </w:r>
      <w:r>
        <w:rPr>
          <w:rFonts w:hint="eastAsia" w:ascii="宋体" w:hAnsi="宋体"/>
          <w:color w:val="222222"/>
          <w:kern w:val="0"/>
          <w:sz w:val="32"/>
          <w:szCs w:val="32"/>
        </w:rPr>
        <w:t>，满意度为100%。</w:t>
      </w:r>
    </w:p>
    <w:p>
      <w:pPr>
        <w:widowControl/>
        <w:spacing w:line="580" w:lineRule="atLeast"/>
        <w:ind w:firstLine="640"/>
        <w:rPr>
          <w:color w:val="222222"/>
          <w:kern w:val="0"/>
          <w:szCs w:val="21"/>
        </w:rPr>
      </w:pPr>
      <w:r>
        <w:rPr>
          <w:rFonts w:hint="eastAsia" w:ascii="宋体" w:hAnsi="宋体"/>
          <w:color w:val="222222"/>
          <w:kern w:val="0"/>
          <w:sz w:val="32"/>
          <w:szCs w:val="32"/>
        </w:rPr>
        <w:t>六、存在的主要问题</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通过自我评价，我们发现有以下问题：</w:t>
      </w:r>
    </w:p>
    <w:p>
      <w:pPr>
        <w:widowControl/>
        <w:spacing w:line="580" w:lineRule="atLeast"/>
        <w:ind w:firstLine="640"/>
        <w:rPr>
          <w:rFonts w:hint="eastAsia" w:ascii="宋体" w:hAnsi="宋体"/>
          <w:color w:val="222222"/>
          <w:kern w:val="0"/>
          <w:sz w:val="32"/>
          <w:szCs w:val="32"/>
          <w:lang w:val="en-US"/>
        </w:rPr>
      </w:pPr>
      <w:r>
        <w:rPr>
          <w:rFonts w:hint="eastAsia" w:ascii="宋体" w:hAnsi="宋体"/>
          <w:color w:val="222222"/>
          <w:kern w:val="0"/>
          <w:sz w:val="32"/>
          <w:szCs w:val="32"/>
          <w:lang w:val="en-US"/>
        </w:rPr>
        <w:t>1、部分项目支出预算编制中，经济科目设置错误。</w:t>
      </w:r>
    </w:p>
    <w:p>
      <w:pPr>
        <w:widowControl/>
        <w:spacing w:line="580" w:lineRule="atLeast"/>
        <w:ind w:firstLine="640"/>
        <w:rPr>
          <w:rFonts w:hint="default" w:ascii="宋体" w:hAnsi="宋体"/>
          <w:color w:val="222222"/>
          <w:kern w:val="0"/>
          <w:sz w:val="32"/>
          <w:szCs w:val="32"/>
          <w:lang w:val="en-US" w:eastAsia="zh-CN"/>
        </w:rPr>
      </w:pPr>
      <w:r>
        <w:rPr>
          <w:rFonts w:hint="eastAsia" w:ascii="宋体" w:hAnsi="宋体"/>
          <w:color w:val="222222"/>
          <w:kern w:val="0"/>
          <w:sz w:val="32"/>
          <w:szCs w:val="32"/>
          <w:lang w:val="en-US"/>
        </w:rPr>
        <w:t>2、</w:t>
      </w:r>
      <w:r>
        <w:rPr>
          <w:rFonts w:hint="eastAsia" w:ascii="宋体" w:hAnsi="宋体"/>
          <w:color w:val="222222"/>
          <w:kern w:val="0"/>
          <w:sz w:val="32"/>
          <w:szCs w:val="32"/>
        </w:rPr>
        <w:t>由于预算经费少，单位支出需要的资金较大，满足不了基本的业务开展，因此，为保稳定，自行调整挤占项目经费。</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七、有关建议</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针对上述存在的问题及我局整体支出管理工作的需要，拟实施的改进措施如下</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1.细化预算编制工作，认真做好预算的编制。全面编制预算项目，优先保障固定性的、相对刚性的费用支出项目，尽量压缩变动性的、有控制空间的费用项目，进一步提高预算编制的科学性、严谨性和可控性。</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2.加强财务管理，严格财务审核。在费用报账支付时，按照预算规定的费用项目和用途进行资金使用审核、列报支付、财务核算，杜绝超支现象的发生。</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3.持续抓好“三公”经费的控制和管理。严格控制“三公”经费的规模和比例，把关“三公”经费支出的审核、审批，杜绝挪用和挤占其他预算资金行为；进一步细化“三公”经费的管理，合理压缩“三公”经费支出。</w:t>
      </w:r>
    </w:p>
    <w:p>
      <w:pPr>
        <w:widowControl/>
        <w:spacing w:line="580" w:lineRule="atLeast"/>
        <w:ind w:firstLine="640"/>
        <w:rPr>
          <w:rFonts w:hint="eastAsia" w:ascii="宋体" w:hAnsi="宋体"/>
          <w:color w:val="222222"/>
          <w:kern w:val="0"/>
          <w:sz w:val="32"/>
          <w:szCs w:val="32"/>
        </w:rPr>
      </w:pPr>
      <w:r>
        <w:rPr>
          <w:rFonts w:hint="eastAsia" w:ascii="宋体" w:hAnsi="宋体"/>
          <w:color w:val="222222"/>
          <w:kern w:val="0"/>
          <w:sz w:val="32"/>
          <w:szCs w:val="32"/>
        </w:rPr>
        <w:t>4.加强项目开展进度的跟踪，开展项目绩效评价，确保项目绩效目标的完成。</w:t>
      </w:r>
    </w:p>
    <w:p>
      <w:pPr>
        <w:widowControl/>
        <w:spacing w:line="580" w:lineRule="atLeast"/>
        <w:ind w:firstLine="3846" w:firstLineChars="1202"/>
        <w:rPr>
          <w:rFonts w:hint="eastAsia" w:ascii="宋体" w:hAnsi="宋体"/>
          <w:color w:val="222222"/>
          <w:kern w:val="0"/>
          <w:sz w:val="32"/>
          <w:szCs w:val="32"/>
          <w:lang w:val="en-US" w:eastAsia="zh-CN"/>
        </w:rPr>
      </w:pPr>
      <w:r>
        <w:rPr>
          <w:rFonts w:hint="eastAsia" w:ascii="宋体" w:hAnsi="宋体"/>
          <w:color w:val="222222"/>
          <w:kern w:val="0"/>
          <w:sz w:val="32"/>
          <w:szCs w:val="32"/>
          <w:lang w:val="en-US" w:eastAsia="zh-CN"/>
        </w:rPr>
        <w:t xml:space="preserve">    </w:t>
      </w:r>
    </w:p>
    <w:p>
      <w:pPr>
        <w:widowControl/>
        <w:spacing w:line="580" w:lineRule="atLeast"/>
        <w:ind w:firstLine="3846" w:firstLineChars="1202"/>
        <w:rPr>
          <w:rFonts w:hint="eastAsia" w:ascii="宋体" w:hAnsi="宋体"/>
          <w:color w:val="222222"/>
          <w:kern w:val="0"/>
          <w:sz w:val="32"/>
          <w:szCs w:val="32"/>
          <w:lang w:val="en-US" w:eastAsia="zh-CN"/>
        </w:rPr>
      </w:pPr>
    </w:p>
    <w:p>
      <w:pPr>
        <w:widowControl/>
        <w:spacing w:line="580" w:lineRule="atLeast"/>
        <w:ind w:firstLine="4480" w:firstLineChars="1400"/>
        <w:rPr>
          <w:rFonts w:hint="eastAsia" w:eastAsia="宋体"/>
          <w:color w:val="222222"/>
          <w:kern w:val="0"/>
          <w:szCs w:val="21"/>
          <w:lang w:eastAsia="zh-CN"/>
        </w:rPr>
      </w:pPr>
      <w:r>
        <w:rPr>
          <w:rFonts w:hint="eastAsia" w:ascii="宋体" w:hAnsi="宋体"/>
          <w:color w:val="222222"/>
          <w:kern w:val="0"/>
          <w:sz w:val="32"/>
          <w:szCs w:val="32"/>
          <w:lang w:val="en-US" w:eastAsia="zh-CN"/>
        </w:rPr>
        <w:t xml:space="preserve">   </w:t>
      </w:r>
      <w:r>
        <w:rPr>
          <w:rFonts w:hint="eastAsia" w:ascii="宋体" w:hAnsi="宋体"/>
          <w:color w:val="222222"/>
          <w:kern w:val="0"/>
          <w:sz w:val="32"/>
          <w:szCs w:val="32"/>
        </w:rPr>
        <w:t>湖南省</w:t>
      </w:r>
      <w:r>
        <w:rPr>
          <w:rFonts w:hint="eastAsia" w:ascii="宋体" w:hAnsi="宋体"/>
          <w:color w:val="222222"/>
          <w:kern w:val="0"/>
          <w:sz w:val="32"/>
          <w:szCs w:val="32"/>
          <w:lang w:eastAsia="zh-CN"/>
        </w:rPr>
        <w:t>武冈市司法局</w:t>
      </w:r>
    </w:p>
    <w:p>
      <w:r>
        <w:rPr>
          <w:rFonts w:hint="eastAsia" w:ascii="宋体" w:hAnsi="宋体"/>
          <w:color w:val="222222"/>
          <w:kern w:val="0"/>
          <w:sz w:val="32"/>
          <w:szCs w:val="32"/>
        </w:rPr>
        <w:t>          </w:t>
      </w:r>
      <w:r>
        <w:rPr>
          <w:rFonts w:hint="eastAsia" w:ascii="宋体" w:hAnsi="宋体"/>
          <w:color w:val="222222"/>
          <w:kern w:val="0"/>
          <w:sz w:val="32"/>
          <w:szCs w:val="32"/>
          <w:lang w:val="en-US" w:eastAsia="zh-CN"/>
        </w:rPr>
        <w:t xml:space="preserve">       </w:t>
      </w:r>
      <w:r>
        <w:rPr>
          <w:rFonts w:hint="eastAsia" w:ascii="宋体" w:hAnsi="宋体"/>
          <w:color w:val="222222"/>
          <w:kern w:val="0"/>
          <w:sz w:val="32"/>
          <w:szCs w:val="32"/>
        </w:rPr>
        <w:t>   20</w:t>
      </w:r>
      <w:r>
        <w:rPr>
          <w:rFonts w:hint="eastAsia" w:ascii="宋体" w:hAnsi="宋体"/>
          <w:color w:val="222222"/>
          <w:kern w:val="0"/>
          <w:sz w:val="32"/>
          <w:szCs w:val="32"/>
          <w:lang w:val="en-US" w:eastAsia="zh-CN"/>
        </w:rPr>
        <w:t>20</w:t>
      </w:r>
      <w:r>
        <w:rPr>
          <w:rFonts w:hint="eastAsia" w:ascii="宋体" w:hAnsi="宋体"/>
          <w:color w:val="222222"/>
          <w:kern w:val="0"/>
          <w:sz w:val="32"/>
          <w:szCs w:val="32"/>
        </w:rPr>
        <w:t>年</w:t>
      </w:r>
      <w:r>
        <w:rPr>
          <w:rFonts w:hint="eastAsia" w:ascii="宋体" w:hAnsi="宋体"/>
          <w:color w:val="222222"/>
          <w:kern w:val="0"/>
          <w:sz w:val="32"/>
          <w:szCs w:val="32"/>
          <w:lang w:val="en-US" w:eastAsia="zh-CN"/>
        </w:rPr>
        <w:t>9</w:t>
      </w:r>
      <w:r>
        <w:rPr>
          <w:rFonts w:hint="eastAsia" w:ascii="宋体" w:hAnsi="宋体"/>
          <w:color w:val="222222"/>
          <w:kern w:val="0"/>
          <w:sz w:val="32"/>
          <w:szCs w:val="32"/>
        </w:rPr>
        <w:t>月</w:t>
      </w:r>
      <w:r>
        <w:rPr>
          <w:rFonts w:hint="eastAsia" w:ascii="宋体" w:hAnsi="宋体"/>
          <w:color w:val="222222"/>
          <w:kern w:val="0"/>
          <w:sz w:val="32"/>
          <w:szCs w:val="32"/>
          <w:lang w:val="en-US" w:eastAsia="zh-CN"/>
        </w:rPr>
        <w:t>15</w:t>
      </w:r>
      <w:r>
        <w:rPr>
          <w:rFonts w:hint="eastAsia" w:ascii="宋体" w:hAnsi="宋体"/>
          <w:color w:val="222222"/>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20942"/>
    <w:multiLevelType w:val="singleLevel"/>
    <w:tmpl w:val="D7B20942"/>
    <w:lvl w:ilvl="0" w:tentative="0">
      <w:start w:val="1"/>
      <w:numFmt w:val="chineseCounting"/>
      <w:suff w:val="nothing"/>
      <w:lvlText w:val="%1、"/>
      <w:lvlJc w:val="left"/>
      <w:rPr>
        <w:rFonts w:hint="eastAsia"/>
      </w:rPr>
    </w:lvl>
  </w:abstractNum>
  <w:abstractNum w:abstractNumId="1">
    <w:nsid w:val="149E353D"/>
    <w:multiLevelType w:val="singleLevel"/>
    <w:tmpl w:val="149E353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639DF"/>
    <w:rsid w:val="472639DF"/>
    <w:rsid w:val="79C4419B"/>
    <w:rsid w:val="7CE04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nhideWhenUsed/>
    <w:qFormat/>
    <w:uiPriority w:val="99"/>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PingFang SC" w:hAnsi="PingFang SC" w:eastAsia="PingFang SC" w:cs="PingFang SC"/>
      <w:kern w:val="0"/>
      <w:sz w:val="24"/>
      <w:szCs w:val="24"/>
      <w:lang w:val="en-US" w:eastAsia="zh-CN" w:bidi="ar"/>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2021-09-15T03:43:00Z</dcterms:created>
  <dc:creator>Administrator</dc:creator>
  <cp:lastModifiedBy>Administrator</cp:lastModifiedBy>
  <cp:lastPrinted>2021-09-15T03:48:00Z</cp:lastPrinted>
  <dcterms:modified xsi:type="dcterms:W3CDTF">2021-09-15T09:54:58Z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C860DC9233EE4A11855D5908A675F3B4</vt:lpwstr>
  </property>
</Properties>
</file>