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firstLine="482" w:firstLineChars="100"/>
        <w:rPr>
          <w:rFonts w:hint="eastAsia"/>
          <w:b/>
          <w:sz w:val="48"/>
          <w:szCs w:val="48"/>
        </w:rPr>
      </w:pPr>
    </w:p>
    <w:p>
      <w:pPr>
        <w:spacing w:line="800" w:lineRule="exact"/>
        <w:ind w:firstLine="482" w:firstLineChars="100"/>
        <w:rPr>
          <w:rFonts w:hint="eastAsia"/>
          <w:b/>
          <w:sz w:val="48"/>
          <w:szCs w:val="48"/>
        </w:rPr>
      </w:pPr>
      <w:r>
        <w:rPr>
          <w:rFonts w:hint="eastAsia"/>
          <w:b/>
          <w:sz w:val="48"/>
          <w:szCs w:val="48"/>
        </w:rPr>
        <w:t xml:space="preserve">                                                                                           </w:t>
      </w:r>
    </w:p>
    <w:p>
      <w:pPr>
        <w:spacing w:line="800" w:lineRule="exact"/>
        <w:ind w:firstLine="482" w:firstLineChars="100"/>
        <w:rPr>
          <w:rFonts w:hint="eastAsia"/>
          <w:b/>
          <w:sz w:val="48"/>
          <w:szCs w:val="48"/>
        </w:rPr>
      </w:pPr>
    </w:p>
    <w:p>
      <w:pPr>
        <w:spacing w:line="800" w:lineRule="exact"/>
        <w:ind w:firstLine="482" w:firstLineChars="100"/>
        <w:rPr>
          <w:rFonts w:hint="eastAsia"/>
          <w:b/>
          <w:sz w:val="48"/>
          <w:szCs w:val="48"/>
        </w:rPr>
      </w:pPr>
    </w:p>
    <w:p>
      <w:pPr>
        <w:pStyle w:val="2"/>
        <w:keepNext/>
        <w:keepLines/>
        <w:pageBreakBefore w:val="0"/>
        <w:widowControl w:val="0"/>
        <w:kinsoku/>
        <w:wordWrap/>
        <w:overflowPunct/>
        <w:topLinePunct w:val="0"/>
        <w:autoSpaceDE/>
        <w:autoSpaceDN/>
        <w:bidi w:val="0"/>
        <w:adjustRightInd/>
        <w:snapToGrid/>
        <w:spacing w:before="0"/>
        <w:jc w:val="center"/>
        <w:textAlignment w:val="auto"/>
        <w:rPr>
          <w:rFonts w:hint="eastAsia" w:ascii="黑体" w:hAnsi="黑体" w:eastAsia="黑体" w:cs="黑体"/>
          <w:b/>
          <w:bCs w:val="0"/>
        </w:rPr>
      </w:pPr>
      <w:r>
        <w:rPr>
          <w:rFonts w:hint="eastAsia" w:ascii="黑体" w:hAnsi="黑体" w:eastAsia="黑体" w:cs="黑体"/>
          <w:b/>
          <w:bCs w:val="0"/>
          <w:lang w:val="en-US" w:eastAsia="zh-CN"/>
        </w:rPr>
        <w:t>2020</w:t>
      </w:r>
      <w:r>
        <w:rPr>
          <w:rFonts w:hint="eastAsia" w:ascii="黑体" w:hAnsi="黑体" w:eastAsia="黑体" w:cs="黑体"/>
          <w:b/>
          <w:bCs w:val="0"/>
        </w:rPr>
        <w:t>年</w:t>
      </w:r>
      <w:r>
        <w:rPr>
          <w:rFonts w:hint="eastAsia" w:ascii="黑体" w:hAnsi="黑体" w:eastAsia="黑体" w:cs="黑体"/>
          <w:b/>
          <w:bCs w:val="0"/>
          <w:sz w:val="44"/>
          <w:szCs w:val="44"/>
        </w:rPr>
        <w:t>武冈市环境卫生服务中心</w:t>
      </w:r>
      <w:r>
        <w:rPr>
          <w:rFonts w:hint="eastAsia" w:ascii="黑体" w:hAnsi="黑体" w:eastAsia="黑体" w:cs="黑体"/>
          <w:b/>
          <w:bCs w:val="0"/>
        </w:rPr>
        <w:t>部门整体支出绩效</w:t>
      </w:r>
      <w:r>
        <w:rPr>
          <w:rFonts w:hint="eastAsia" w:ascii="黑体" w:hAnsi="黑体" w:eastAsia="黑体" w:cs="黑体"/>
          <w:b/>
          <w:bCs w:val="0"/>
          <w:lang w:eastAsia="zh-CN"/>
        </w:rPr>
        <w:t>评价</w:t>
      </w:r>
      <w:r>
        <w:rPr>
          <w:rFonts w:hint="eastAsia" w:ascii="黑体" w:hAnsi="黑体" w:eastAsia="黑体" w:cs="黑体"/>
          <w:b/>
          <w:bCs w:val="0"/>
        </w:rPr>
        <w:t>报告</w:t>
      </w:r>
    </w:p>
    <w:p>
      <w:pPr>
        <w:keepNext w:val="0"/>
        <w:keepLines w:val="0"/>
        <w:pageBreakBefore w:val="0"/>
        <w:widowControl/>
        <w:kinsoku/>
        <w:wordWrap/>
        <w:overflowPunct/>
        <w:topLinePunct w:val="0"/>
        <w:autoSpaceDE/>
        <w:autoSpaceDN/>
        <w:bidi w:val="0"/>
        <w:adjustRightInd/>
        <w:snapToGrid/>
        <w:spacing w:line="580" w:lineRule="exact"/>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市财政局：</w:t>
      </w:r>
    </w:p>
    <w:p>
      <w:pPr>
        <w:keepNext w:val="0"/>
        <w:keepLines w:val="0"/>
        <w:pageBreakBefore w:val="0"/>
        <w:widowControl/>
        <w:kinsoku/>
        <w:wordWrap/>
        <w:overflowPunct/>
        <w:topLinePunct w:val="0"/>
        <w:autoSpaceDE/>
        <w:autoSpaceDN/>
        <w:bidi w:val="0"/>
        <w:adjustRightInd/>
        <w:snapToGrid/>
        <w:spacing w:line="580" w:lineRule="exact"/>
        <w:ind w:firstLine="64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按照市财政局关于绩效评价文件要求，现将我中心部门整体支出绩效评价情况报告如下：</w:t>
      </w:r>
    </w:p>
    <w:p>
      <w:pPr>
        <w:pStyle w:val="9"/>
        <w:numPr>
          <w:ilvl w:val="0"/>
          <w:numId w:val="1"/>
        </w:numPr>
        <w:ind w:firstLineChars="0"/>
        <w:rPr>
          <w:rFonts w:ascii="仿宋" w:hAnsi="仿宋" w:eastAsia="仿宋"/>
          <w:sz w:val="32"/>
          <w:szCs w:val="32"/>
        </w:rPr>
      </w:pPr>
      <w:r>
        <w:rPr>
          <w:rFonts w:hint="eastAsia" w:ascii="仿宋" w:hAnsi="仿宋" w:eastAsia="仿宋"/>
          <w:color w:val="222222"/>
          <w:kern w:val="0"/>
          <w:sz w:val="32"/>
          <w:szCs w:val="32"/>
        </w:rPr>
        <w:t>基本情况:</w:t>
      </w:r>
    </w:p>
    <w:p>
      <w:pPr>
        <w:pStyle w:val="9"/>
        <w:numPr>
          <w:ilvl w:val="0"/>
          <w:numId w:val="2"/>
        </w:numPr>
        <w:ind w:left="1710" w:leftChars="0" w:firstLineChars="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机构、人员构成</w:t>
      </w:r>
    </w:p>
    <w:p>
      <w:pPr>
        <w:widowControl w:val="0"/>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武冈市</w:t>
      </w:r>
      <w:r>
        <w:rPr>
          <w:rFonts w:hint="eastAsia" w:ascii="仿宋" w:hAnsi="仿宋" w:eastAsia="仿宋"/>
          <w:sz w:val="32"/>
          <w:szCs w:val="32"/>
          <w:lang w:eastAsia="zh-CN"/>
        </w:rPr>
        <w:t>环境卫生服务中心</w:t>
      </w:r>
      <w:r>
        <w:rPr>
          <w:rFonts w:hint="eastAsia" w:ascii="仿宋" w:hAnsi="仿宋" w:eastAsia="仿宋"/>
          <w:sz w:val="32"/>
          <w:szCs w:val="32"/>
        </w:rPr>
        <w:t>是市</w:t>
      </w:r>
      <w:r>
        <w:rPr>
          <w:rFonts w:hint="eastAsia" w:ascii="仿宋" w:hAnsi="仿宋" w:eastAsia="仿宋"/>
          <w:sz w:val="32"/>
          <w:szCs w:val="32"/>
          <w:lang w:eastAsia="zh-CN"/>
        </w:rPr>
        <w:t>城市管理和综合执法局二级机构</w:t>
      </w:r>
      <w:r>
        <w:rPr>
          <w:rFonts w:hint="eastAsia" w:ascii="仿宋" w:hAnsi="仿宋" w:eastAsia="仿宋"/>
          <w:sz w:val="32"/>
          <w:szCs w:val="32"/>
        </w:rPr>
        <w:t>，为</w:t>
      </w:r>
      <w:r>
        <w:rPr>
          <w:rFonts w:hint="eastAsia" w:ascii="仿宋" w:hAnsi="仿宋" w:eastAsia="仿宋"/>
          <w:sz w:val="32"/>
          <w:szCs w:val="32"/>
          <w:lang w:eastAsia="zh-CN"/>
        </w:rPr>
        <w:t>副</w:t>
      </w:r>
      <w:r>
        <w:rPr>
          <w:rFonts w:hint="eastAsia" w:ascii="仿宋" w:hAnsi="仿宋" w:eastAsia="仿宋"/>
          <w:sz w:val="32"/>
          <w:szCs w:val="32"/>
        </w:rPr>
        <w:t>科级。</w:t>
      </w:r>
    </w:p>
    <w:p>
      <w:pPr>
        <w:widowControl/>
        <w:spacing w:line="600" w:lineRule="exact"/>
        <w:ind w:firstLine="960" w:firstLineChars="300"/>
        <w:rPr>
          <w:rFonts w:hint="eastAsia" w:ascii="仿宋" w:hAnsi="仿宋" w:eastAsia="仿宋" w:cs="仿宋"/>
          <w:b w:val="0"/>
          <w:bCs w:val="0"/>
          <w:sz w:val="32"/>
          <w:szCs w:val="32"/>
          <w:lang w:eastAsia="zh-CN"/>
        </w:rPr>
      </w:pPr>
      <w:r>
        <w:rPr>
          <w:rFonts w:hint="eastAsia" w:ascii="仿宋" w:hAnsi="仿宋" w:eastAsia="仿宋"/>
          <w:sz w:val="32"/>
          <w:szCs w:val="32"/>
          <w:lang w:val="en-US" w:eastAsia="zh-CN"/>
        </w:rPr>
        <w:t>1、</w:t>
      </w:r>
      <w:r>
        <w:rPr>
          <w:rFonts w:hint="eastAsia" w:ascii="仿宋" w:hAnsi="仿宋" w:eastAsia="仿宋"/>
          <w:sz w:val="32"/>
          <w:szCs w:val="32"/>
        </w:rPr>
        <w:t>内设机构：</w:t>
      </w:r>
      <w:r>
        <w:rPr>
          <w:rFonts w:hint="eastAsia" w:ascii="仿宋" w:hAnsi="仿宋" w:eastAsia="仿宋" w:cs="仿宋"/>
          <w:bCs/>
          <w:kern w:val="0"/>
          <w:sz w:val="32"/>
          <w:szCs w:val="32"/>
        </w:rPr>
        <w:t>办公室、城乡垃圾无害化管理站、环卫质量监管考核股、收费股、渣土管理中队、城区禁止燃放烟花爆竹中队。</w:t>
      </w:r>
    </w:p>
    <w:p>
      <w:pPr>
        <w:ind w:firstLine="960" w:firstLineChars="300"/>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lang w:val="en-US" w:eastAsia="zh-CN"/>
        </w:rPr>
        <w:t>2</w:t>
      </w:r>
      <w:r>
        <w:rPr>
          <w:rFonts w:hint="eastAsia" w:ascii="仿宋" w:hAnsi="仿宋" w:eastAsia="仿宋"/>
          <w:sz w:val="32"/>
          <w:szCs w:val="32"/>
        </w:rPr>
        <w:t>、人员基本情况：</w:t>
      </w:r>
      <w:r>
        <w:rPr>
          <w:rFonts w:hint="eastAsia" w:ascii="仿宋" w:hAnsi="仿宋" w:eastAsia="仿宋"/>
          <w:sz w:val="32"/>
          <w:szCs w:val="32"/>
          <w:lang w:eastAsia="zh-CN"/>
        </w:rPr>
        <w:t>我中心机关本级纳入预算，单位编制</w:t>
      </w:r>
      <w:r>
        <w:rPr>
          <w:rFonts w:hint="eastAsia" w:ascii="仿宋" w:hAnsi="仿宋" w:eastAsia="仿宋"/>
          <w:sz w:val="32"/>
          <w:szCs w:val="32"/>
          <w:lang w:val="en-US" w:eastAsia="zh-CN"/>
        </w:rPr>
        <w:t>106人。2020年年初</w:t>
      </w:r>
      <w:r>
        <w:rPr>
          <w:rFonts w:hint="eastAsia" w:ascii="仿宋" w:hAnsi="仿宋" w:eastAsia="仿宋"/>
          <w:sz w:val="32"/>
          <w:szCs w:val="32"/>
          <w:lang w:eastAsia="zh-CN"/>
        </w:rPr>
        <w:t>预算实有人数为</w:t>
      </w:r>
      <w:r>
        <w:rPr>
          <w:rFonts w:hint="eastAsia" w:ascii="仿宋" w:hAnsi="仿宋" w:eastAsia="仿宋"/>
          <w:color w:val="000000" w:themeColor="text1"/>
          <w:sz w:val="32"/>
          <w:szCs w:val="32"/>
          <w14:textFill>
            <w14:solidFill>
              <w14:schemeClr w14:val="tx1"/>
            </w14:solidFill>
          </w14:textFill>
        </w:rPr>
        <w:t>在职人员</w:t>
      </w:r>
      <w:r>
        <w:rPr>
          <w:rFonts w:hint="eastAsia" w:ascii="仿宋" w:hAnsi="仿宋" w:eastAsia="仿宋"/>
          <w:color w:val="000000" w:themeColor="text1"/>
          <w:sz w:val="32"/>
          <w:szCs w:val="32"/>
          <w:lang w:val="en-US" w:eastAsia="zh-CN"/>
          <w14:textFill>
            <w14:solidFill>
              <w14:schemeClr w14:val="tx1"/>
            </w14:solidFill>
          </w14:textFill>
        </w:rPr>
        <w:t>103</w:t>
      </w:r>
      <w:r>
        <w:rPr>
          <w:rFonts w:hint="eastAsia" w:ascii="仿宋" w:hAnsi="仿宋" w:eastAsia="仿宋"/>
          <w:color w:val="000000" w:themeColor="text1"/>
          <w:sz w:val="32"/>
          <w:szCs w:val="32"/>
          <w14:textFill>
            <w14:solidFill>
              <w14:schemeClr w14:val="tx1"/>
            </w14:solidFill>
          </w14:textFill>
        </w:rPr>
        <w:t>人、退休人员</w:t>
      </w:r>
      <w:r>
        <w:rPr>
          <w:rFonts w:hint="eastAsia" w:ascii="仿宋" w:hAnsi="仿宋" w:eastAsia="仿宋"/>
          <w:color w:val="000000" w:themeColor="text1"/>
          <w:sz w:val="32"/>
          <w:szCs w:val="32"/>
          <w:lang w:val="en-US" w:eastAsia="zh-CN"/>
          <w14:textFill>
            <w14:solidFill>
              <w14:schemeClr w14:val="tx1"/>
            </w14:solidFill>
          </w14:textFill>
        </w:rPr>
        <w:t>34</w:t>
      </w:r>
      <w:r>
        <w:rPr>
          <w:rFonts w:hint="eastAsia" w:ascii="仿宋" w:hAnsi="仿宋" w:eastAsia="仿宋"/>
          <w:color w:val="000000" w:themeColor="text1"/>
          <w:sz w:val="32"/>
          <w:szCs w:val="32"/>
          <w14:textFill>
            <w14:solidFill>
              <w14:schemeClr w14:val="tx1"/>
            </w14:solidFill>
          </w14:textFill>
        </w:rPr>
        <w:t>人。</w:t>
      </w:r>
    </w:p>
    <w:p>
      <w:pPr>
        <w:ind w:firstLine="640" w:firstLineChars="200"/>
        <w:rPr>
          <w:rFonts w:ascii="仿宋" w:hAnsi="仿宋" w:eastAsia="仿宋"/>
          <w:sz w:val="32"/>
          <w:szCs w:val="32"/>
        </w:rPr>
      </w:pPr>
      <w:r>
        <w:rPr>
          <w:rFonts w:hint="eastAsia" w:ascii="仿宋" w:hAnsi="仿宋" w:eastAsia="仿宋"/>
          <w:sz w:val="32"/>
          <w:szCs w:val="32"/>
        </w:rPr>
        <w:t>二</w:t>
      </w:r>
      <w:r>
        <w:rPr>
          <w:rFonts w:hint="eastAsia" w:ascii="仿宋" w:hAnsi="仿宋" w:eastAsia="仿宋"/>
          <w:sz w:val="32"/>
          <w:szCs w:val="32"/>
          <w:lang w:eastAsia="zh-CN"/>
        </w:rPr>
        <w:t>、</w:t>
      </w:r>
      <w:r>
        <w:rPr>
          <w:rFonts w:hint="eastAsia" w:ascii="仿宋" w:hAnsi="仿宋" w:eastAsia="仿宋"/>
          <w:sz w:val="32"/>
          <w:szCs w:val="32"/>
        </w:rPr>
        <w:t>单位主要职责</w:t>
      </w:r>
    </w:p>
    <w:p>
      <w:pPr>
        <w:widowControl w:val="0"/>
        <w:spacing w:after="0" w:line="360" w:lineRule="auto"/>
        <w:ind w:firstLine="960" w:firstLineChars="300"/>
        <w:jc w:val="both"/>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cs="仿宋"/>
          <w:sz w:val="32"/>
          <w:szCs w:val="32"/>
        </w:rPr>
        <w:t>负责</w:t>
      </w:r>
      <w:r>
        <w:rPr>
          <w:rFonts w:hint="eastAsia" w:ascii="仿宋" w:hAnsi="仿宋" w:eastAsia="仿宋" w:cs="仿宋"/>
          <w:sz w:val="32"/>
          <w:szCs w:val="32"/>
          <w:lang w:eastAsia="zh-CN"/>
        </w:rPr>
        <w:t>贯</w:t>
      </w:r>
      <w:r>
        <w:rPr>
          <w:rFonts w:hint="eastAsia" w:ascii="仿宋" w:hAnsi="仿宋" w:eastAsia="仿宋" w:cs="仿宋"/>
          <w:sz w:val="32"/>
          <w:szCs w:val="32"/>
        </w:rPr>
        <w:t>彻执行国家和地方政府</w:t>
      </w:r>
      <w:r>
        <w:rPr>
          <w:rFonts w:hint="eastAsia" w:ascii="仿宋" w:hAnsi="仿宋" w:eastAsia="仿宋" w:cs="仿宋"/>
          <w:sz w:val="32"/>
          <w:szCs w:val="32"/>
          <w:lang w:eastAsia="zh-CN"/>
        </w:rPr>
        <w:t>颁布</w:t>
      </w:r>
      <w:r>
        <w:rPr>
          <w:rFonts w:hint="eastAsia" w:ascii="仿宋" w:hAnsi="仿宋" w:eastAsia="仿宋" w:cs="仿宋"/>
          <w:sz w:val="32"/>
          <w:szCs w:val="32"/>
        </w:rPr>
        <w:t>的城市市容和环境卫生管理方面的方针、政策和法律、法规、规章</w:t>
      </w:r>
      <w:r>
        <w:rPr>
          <w:rFonts w:hint="eastAsia" w:ascii="仿宋" w:hAnsi="仿宋" w:eastAsia="仿宋"/>
          <w:sz w:val="32"/>
          <w:szCs w:val="32"/>
          <w:lang w:eastAsia="zh-CN"/>
        </w:rPr>
        <w:t>。</w:t>
      </w:r>
    </w:p>
    <w:p>
      <w:pPr>
        <w:numPr>
          <w:ilvl w:val="0"/>
          <w:numId w:val="0"/>
        </w:numPr>
        <w:ind w:firstLine="960" w:firstLineChars="300"/>
        <w:rPr>
          <w:rFonts w:hint="eastAsia" w:ascii="仿宋" w:hAnsi="仿宋" w:eastAsia="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负责市区环境卫生专业规划的编制、环卫作业监督办法的制定</w:t>
      </w:r>
      <w:r>
        <w:rPr>
          <w:rFonts w:hint="eastAsia" w:ascii="仿宋" w:hAnsi="仿宋" w:eastAsia="仿宋"/>
          <w:sz w:val="32"/>
          <w:szCs w:val="32"/>
          <w:lang w:eastAsia="zh-CN"/>
        </w:rPr>
        <w:t>。</w:t>
      </w:r>
    </w:p>
    <w:p>
      <w:pPr>
        <w:widowControl w:val="0"/>
        <w:spacing w:after="0" w:line="360" w:lineRule="auto"/>
        <w:ind w:firstLine="960" w:firstLineChars="300"/>
        <w:jc w:val="both"/>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cs="仿宋"/>
          <w:sz w:val="32"/>
          <w:szCs w:val="32"/>
        </w:rPr>
        <w:t>负责对市区环境卫生设施规划用地和公共环卫设施的监</w:t>
      </w:r>
      <w:r>
        <w:rPr>
          <w:rFonts w:hint="eastAsia" w:ascii="仿宋" w:hAnsi="仿宋" w:eastAsia="仿宋" w:cs="仿宋"/>
          <w:sz w:val="32"/>
          <w:szCs w:val="32"/>
          <w:lang w:eastAsia="zh-CN"/>
        </w:rPr>
        <w:t>督</w:t>
      </w:r>
      <w:r>
        <w:rPr>
          <w:rFonts w:hint="eastAsia" w:ascii="仿宋" w:hAnsi="仿宋" w:eastAsia="仿宋" w:cs="仿宋"/>
          <w:sz w:val="32"/>
          <w:szCs w:val="32"/>
        </w:rPr>
        <w:t>管</w:t>
      </w:r>
      <w:r>
        <w:rPr>
          <w:rFonts w:hint="eastAsia" w:ascii="仿宋" w:hAnsi="仿宋" w:eastAsia="仿宋" w:cs="仿宋"/>
          <w:sz w:val="32"/>
          <w:szCs w:val="32"/>
          <w:lang w:eastAsia="zh-CN"/>
        </w:rPr>
        <w:t>理</w:t>
      </w:r>
      <w:r>
        <w:rPr>
          <w:rFonts w:hint="eastAsia" w:ascii="仿宋" w:hAnsi="仿宋" w:eastAsia="仿宋" w:cs="仿宋"/>
          <w:sz w:val="32"/>
          <w:szCs w:val="32"/>
        </w:rPr>
        <w:t>，依法查处违</w:t>
      </w:r>
      <w:r>
        <w:rPr>
          <w:rFonts w:hint="eastAsia" w:ascii="仿宋" w:hAnsi="仿宋" w:eastAsia="仿宋" w:cs="仿宋"/>
          <w:sz w:val="32"/>
          <w:szCs w:val="32"/>
          <w:lang w:eastAsia="zh-CN"/>
        </w:rPr>
        <w:t>反</w:t>
      </w:r>
      <w:r>
        <w:rPr>
          <w:rFonts w:hint="eastAsia" w:ascii="仿宋" w:hAnsi="仿宋" w:eastAsia="仿宋" w:cs="仿宋"/>
          <w:sz w:val="32"/>
          <w:szCs w:val="32"/>
        </w:rPr>
        <w:t>市容环境卫生管理的行为</w:t>
      </w:r>
      <w:r>
        <w:rPr>
          <w:rFonts w:hint="eastAsia" w:ascii="仿宋" w:hAnsi="仿宋" w:eastAsia="仿宋"/>
          <w:sz w:val="32"/>
          <w:szCs w:val="32"/>
          <w:lang w:eastAsia="zh-CN"/>
        </w:rPr>
        <w:t>。</w:t>
      </w:r>
    </w:p>
    <w:p>
      <w:pPr>
        <w:widowControl w:val="0"/>
        <w:spacing w:after="0" w:line="360" w:lineRule="auto"/>
        <w:ind w:firstLine="960" w:firstLineChars="300"/>
        <w:jc w:val="both"/>
        <w:rPr>
          <w:rFonts w:hint="eastAsia" w:ascii="仿宋" w:hAnsi="仿宋" w:eastAsia="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负责城市生活垃圾处理费的征收和管理工作</w:t>
      </w:r>
      <w:r>
        <w:rPr>
          <w:rFonts w:hint="eastAsia" w:ascii="仿宋" w:hAnsi="仿宋" w:eastAsia="仿宋"/>
          <w:sz w:val="32"/>
          <w:szCs w:val="32"/>
          <w:lang w:eastAsia="zh-CN"/>
        </w:rPr>
        <w:t>。</w:t>
      </w:r>
    </w:p>
    <w:p>
      <w:pPr>
        <w:widowControl w:val="0"/>
        <w:spacing w:after="0" w:line="360" w:lineRule="auto"/>
        <w:ind w:firstLine="960" w:firstLineChars="300"/>
        <w:jc w:val="both"/>
        <w:rPr>
          <w:rFonts w:hint="eastAsia" w:ascii="仿宋" w:hAnsi="仿宋" w:eastAsia="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负责环卫工作经费测算及监</w:t>
      </w:r>
      <w:r>
        <w:rPr>
          <w:rFonts w:hint="eastAsia" w:ascii="仿宋" w:hAnsi="仿宋" w:eastAsia="仿宋" w:cs="仿宋"/>
          <w:sz w:val="32"/>
          <w:szCs w:val="32"/>
          <w:lang w:eastAsia="zh-CN"/>
        </w:rPr>
        <w:t>督</w:t>
      </w:r>
      <w:r>
        <w:rPr>
          <w:rFonts w:hint="eastAsia" w:ascii="仿宋" w:hAnsi="仿宋" w:eastAsia="仿宋" w:cs="仿宋"/>
          <w:sz w:val="32"/>
          <w:szCs w:val="32"/>
        </w:rPr>
        <w:t>管</w:t>
      </w:r>
      <w:r>
        <w:rPr>
          <w:rFonts w:hint="eastAsia" w:ascii="仿宋" w:hAnsi="仿宋" w:eastAsia="仿宋" w:cs="仿宋"/>
          <w:sz w:val="32"/>
          <w:szCs w:val="32"/>
          <w:lang w:eastAsia="zh-CN"/>
        </w:rPr>
        <w:t>理</w:t>
      </w:r>
      <w:r>
        <w:rPr>
          <w:rFonts w:hint="eastAsia" w:ascii="仿宋" w:hAnsi="仿宋" w:eastAsia="仿宋" w:cs="仿宋"/>
          <w:sz w:val="32"/>
          <w:szCs w:val="32"/>
        </w:rPr>
        <w:t>工作</w:t>
      </w:r>
      <w:r>
        <w:rPr>
          <w:rFonts w:hint="eastAsia" w:ascii="仿宋" w:hAnsi="仿宋" w:eastAsia="仿宋"/>
          <w:sz w:val="32"/>
          <w:szCs w:val="32"/>
          <w:lang w:eastAsia="zh-CN"/>
        </w:rPr>
        <w:t>。</w:t>
      </w:r>
    </w:p>
    <w:p>
      <w:pPr>
        <w:widowControl w:val="0"/>
        <w:spacing w:after="0" w:line="360" w:lineRule="auto"/>
        <w:ind w:firstLine="960" w:firstLineChars="300"/>
        <w:jc w:val="both"/>
        <w:rPr>
          <w:rFonts w:hint="eastAsia" w:ascii="仿宋" w:hAnsi="仿宋" w:eastAsia="仿宋" w:cs="仿宋"/>
          <w:sz w:val="32"/>
          <w:szCs w:val="32"/>
          <w:lang w:eastAsia="zh-CN"/>
        </w:rPr>
      </w:pPr>
      <w:r>
        <w:rPr>
          <w:rFonts w:hint="eastAsia" w:ascii="仿宋" w:hAnsi="仿宋" w:eastAsia="仿宋"/>
          <w:sz w:val="32"/>
          <w:szCs w:val="32"/>
          <w:lang w:val="en-US" w:eastAsia="zh-CN"/>
        </w:rPr>
        <w:t>6、</w:t>
      </w:r>
      <w:r>
        <w:rPr>
          <w:rFonts w:hint="eastAsia" w:ascii="仿宋" w:hAnsi="仿宋" w:eastAsia="仿宋" w:cs="仿宋"/>
          <w:sz w:val="32"/>
          <w:szCs w:val="32"/>
        </w:rPr>
        <w:t>负责环卫基础设施建设、维护年度计划的编制汇总，并做好工程质量的检查验收工作</w:t>
      </w:r>
      <w:r>
        <w:rPr>
          <w:rFonts w:hint="eastAsia" w:ascii="仿宋" w:hAnsi="仿宋" w:eastAsia="仿宋" w:cs="仿宋"/>
          <w:sz w:val="32"/>
          <w:szCs w:val="32"/>
          <w:lang w:eastAsia="zh-CN"/>
        </w:rPr>
        <w:t>。</w:t>
      </w:r>
    </w:p>
    <w:p>
      <w:pPr>
        <w:widowControl w:val="0"/>
        <w:spacing w:after="0" w:line="360" w:lineRule="auto"/>
        <w:ind w:firstLine="960" w:firstLineChars="300"/>
        <w:jc w:val="both"/>
        <w:rPr>
          <w:rFonts w:hint="eastAsia" w:ascii="仿宋" w:hAnsi="仿宋" w:eastAsia="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负责全市性重大活动的市容环卫保障的组织、协调</w:t>
      </w:r>
      <w:r>
        <w:rPr>
          <w:rFonts w:hint="eastAsia" w:ascii="仿宋" w:hAnsi="仿宋" w:eastAsia="仿宋"/>
          <w:sz w:val="32"/>
          <w:szCs w:val="32"/>
          <w:lang w:eastAsia="zh-CN"/>
        </w:rPr>
        <w:t>。</w:t>
      </w:r>
    </w:p>
    <w:p>
      <w:pPr>
        <w:widowControl w:val="0"/>
        <w:spacing w:after="0" w:line="360" w:lineRule="auto"/>
        <w:ind w:firstLine="960" w:firstLineChars="300"/>
        <w:jc w:val="both"/>
        <w:rPr>
          <w:rFonts w:hint="eastAsia" w:ascii="仿宋" w:hAnsi="仿宋" w:eastAsia="仿宋"/>
          <w:sz w:val="32"/>
          <w:szCs w:val="32"/>
          <w:lang w:eastAsia="zh-CN"/>
        </w:rPr>
      </w:pPr>
      <w:r>
        <w:rPr>
          <w:rFonts w:hint="eastAsia" w:ascii="仿宋" w:hAnsi="仿宋" w:eastAsia="仿宋"/>
          <w:sz w:val="32"/>
          <w:szCs w:val="32"/>
          <w:lang w:val="en-US" w:eastAsia="zh-CN"/>
        </w:rPr>
        <w:t>8、</w:t>
      </w:r>
      <w:r>
        <w:rPr>
          <w:rFonts w:hint="eastAsia" w:ascii="仿宋" w:hAnsi="仿宋" w:eastAsia="仿宋" w:cs="仿宋"/>
          <w:sz w:val="32"/>
          <w:szCs w:val="32"/>
        </w:rPr>
        <w:t>负责对城乡垃圾无害化管理的监</w:t>
      </w:r>
      <w:r>
        <w:rPr>
          <w:rFonts w:hint="eastAsia" w:ascii="仿宋" w:hAnsi="仿宋" w:eastAsia="仿宋" w:cs="仿宋"/>
          <w:sz w:val="32"/>
          <w:szCs w:val="32"/>
          <w:lang w:eastAsia="zh-CN"/>
        </w:rPr>
        <w:t>督</w:t>
      </w:r>
      <w:r>
        <w:rPr>
          <w:rFonts w:hint="eastAsia" w:ascii="仿宋" w:hAnsi="仿宋" w:eastAsia="仿宋" w:cs="仿宋"/>
          <w:sz w:val="32"/>
          <w:szCs w:val="32"/>
        </w:rPr>
        <w:t>管</w:t>
      </w:r>
      <w:r>
        <w:rPr>
          <w:rFonts w:hint="eastAsia" w:ascii="仿宋" w:hAnsi="仿宋" w:eastAsia="仿宋" w:cs="仿宋"/>
          <w:sz w:val="32"/>
          <w:szCs w:val="32"/>
          <w:lang w:eastAsia="zh-CN"/>
        </w:rPr>
        <w:t>理</w:t>
      </w:r>
      <w:r>
        <w:rPr>
          <w:rFonts w:hint="eastAsia" w:ascii="仿宋" w:hAnsi="仿宋" w:eastAsia="仿宋" w:cs="仿宋"/>
          <w:sz w:val="32"/>
          <w:szCs w:val="32"/>
        </w:rPr>
        <w:t>工作</w:t>
      </w:r>
      <w:r>
        <w:rPr>
          <w:rFonts w:hint="eastAsia" w:ascii="仿宋" w:hAnsi="仿宋" w:eastAsia="仿宋"/>
          <w:sz w:val="32"/>
          <w:szCs w:val="32"/>
          <w:lang w:eastAsia="zh-CN"/>
        </w:rPr>
        <w:t>。</w:t>
      </w:r>
    </w:p>
    <w:p>
      <w:pPr>
        <w:widowControl w:val="0"/>
        <w:spacing w:after="0" w:line="360" w:lineRule="auto"/>
        <w:ind w:firstLine="960" w:firstLineChars="300"/>
        <w:jc w:val="both"/>
        <w:rPr>
          <w:rFonts w:hint="eastAsia" w:ascii="仿宋" w:hAnsi="仿宋" w:eastAsia="仿宋"/>
          <w:sz w:val="32"/>
          <w:szCs w:val="32"/>
          <w:lang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rPr>
        <w:t>负责对环卫服务公司的清扫保洁、清运等工作的</w:t>
      </w:r>
      <w:r>
        <w:rPr>
          <w:rFonts w:hint="eastAsia" w:ascii="仿宋" w:hAnsi="仿宋" w:eastAsia="仿宋" w:cs="仿宋"/>
          <w:sz w:val="32"/>
          <w:szCs w:val="32"/>
          <w:lang w:eastAsia="zh-CN"/>
        </w:rPr>
        <w:t>监督管理</w:t>
      </w:r>
      <w:r>
        <w:rPr>
          <w:rFonts w:hint="eastAsia" w:ascii="仿宋" w:hAnsi="仿宋" w:eastAsia="仿宋" w:cs="仿宋"/>
          <w:sz w:val="32"/>
          <w:szCs w:val="32"/>
        </w:rPr>
        <w:t>考核</w:t>
      </w:r>
      <w:r>
        <w:rPr>
          <w:rFonts w:hint="eastAsia" w:ascii="仿宋" w:hAnsi="仿宋" w:eastAsia="仿宋"/>
          <w:sz w:val="32"/>
          <w:szCs w:val="32"/>
          <w:lang w:eastAsia="zh-CN"/>
        </w:rPr>
        <w:t>。</w:t>
      </w:r>
    </w:p>
    <w:p>
      <w:pPr>
        <w:widowControl w:val="0"/>
        <w:spacing w:after="0" w:line="360" w:lineRule="auto"/>
        <w:ind w:firstLine="960" w:firstLineChars="300"/>
        <w:jc w:val="both"/>
        <w:rPr>
          <w:rFonts w:hint="eastAsia" w:ascii="仿宋" w:hAnsi="仿宋" w:eastAsia="仿宋"/>
          <w:sz w:val="32"/>
          <w:szCs w:val="32"/>
          <w:lang w:eastAsia="zh-CN"/>
        </w:rPr>
      </w:pPr>
      <w:r>
        <w:rPr>
          <w:rFonts w:hint="eastAsia" w:ascii="仿宋" w:hAnsi="仿宋" w:eastAsia="仿宋"/>
          <w:sz w:val="32"/>
          <w:szCs w:val="32"/>
          <w:lang w:val="en-US" w:eastAsia="zh-CN"/>
        </w:rPr>
        <w:t>10、</w:t>
      </w:r>
      <w:r>
        <w:rPr>
          <w:rFonts w:hint="eastAsia" w:ascii="仿宋" w:hAnsi="仿宋" w:eastAsia="仿宋"/>
          <w:sz w:val="32"/>
          <w:szCs w:val="32"/>
          <w:lang w:eastAsia="zh-CN"/>
        </w:rPr>
        <w:t>负责对生活垃圾处理费收支结算、预算编报、审核及待遇计发，机关的财务管理、内部控制及政府采购手续申报工作。</w:t>
      </w:r>
    </w:p>
    <w:p>
      <w:pPr>
        <w:widowControl w:val="0"/>
        <w:spacing w:after="0" w:line="360" w:lineRule="auto"/>
        <w:ind w:firstLine="960" w:firstLineChars="300"/>
        <w:jc w:val="both"/>
        <w:rPr>
          <w:rFonts w:ascii="仿宋" w:hAnsi="仿宋" w:eastAsia="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完成上级交办的其他工作任务</w:t>
      </w:r>
      <w:r>
        <w:rPr>
          <w:rFonts w:hint="eastAsia" w:ascii="仿宋" w:hAnsi="仿宋" w:eastAsia="仿宋"/>
          <w:sz w:val="32"/>
          <w:szCs w:val="32"/>
          <w:lang w:eastAsia="zh-CN"/>
        </w:rPr>
        <w:t xml:space="preserve">。 </w:t>
      </w:r>
    </w:p>
    <w:p>
      <w:pPr>
        <w:pStyle w:val="9"/>
        <w:numPr>
          <w:ilvl w:val="0"/>
          <w:numId w:val="2"/>
        </w:numPr>
        <w:ind w:left="1710" w:leftChars="0" w:firstLineChars="0"/>
        <w:rPr>
          <w:rFonts w:ascii="仿宋" w:hAnsi="仿宋" w:eastAsia="仿宋"/>
          <w:sz w:val="32"/>
          <w:szCs w:val="32"/>
        </w:rPr>
      </w:pPr>
      <w:r>
        <w:rPr>
          <w:rFonts w:hint="eastAsia" w:ascii="仿宋" w:hAnsi="仿宋" w:eastAsia="仿宋"/>
          <w:sz w:val="32"/>
          <w:szCs w:val="32"/>
        </w:rPr>
        <w:t>部门内部控制及厉行节约制度建设情况</w:t>
      </w:r>
    </w:p>
    <w:p>
      <w:pPr>
        <w:ind w:firstLine="645"/>
        <w:rPr>
          <w:rFonts w:ascii="仿宋" w:hAnsi="仿宋" w:eastAsia="仿宋"/>
          <w:sz w:val="32"/>
          <w:szCs w:val="32"/>
        </w:rPr>
      </w:pPr>
      <w:r>
        <w:rPr>
          <w:rFonts w:hint="eastAsia" w:ascii="仿宋" w:hAnsi="仿宋" w:eastAsia="仿宋"/>
          <w:sz w:val="32"/>
          <w:szCs w:val="32"/>
        </w:rPr>
        <w:t>1、高度重视预算支出绩效评价工作，成立了以</w:t>
      </w:r>
      <w:r>
        <w:rPr>
          <w:rFonts w:hint="eastAsia" w:ascii="仿宋" w:hAnsi="仿宋" w:eastAsia="仿宋"/>
          <w:sz w:val="32"/>
          <w:szCs w:val="32"/>
          <w:lang w:eastAsia="zh-CN"/>
        </w:rPr>
        <w:t>肖体伟主任</w:t>
      </w:r>
      <w:r>
        <w:rPr>
          <w:rFonts w:hint="eastAsia" w:ascii="仿宋" w:hAnsi="仿宋" w:eastAsia="仿宋"/>
          <w:sz w:val="32"/>
          <w:szCs w:val="32"/>
        </w:rPr>
        <w:t>为组长，其他</w:t>
      </w:r>
      <w:r>
        <w:rPr>
          <w:rFonts w:hint="eastAsia" w:ascii="仿宋" w:hAnsi="仿宋" w:eastAsia="仿宋"/>
          <w:sz w:val="32"/>
          <w:szCs w:val="32"/>
          <w:lang w:eastAsia="zh-CN"/>
        </w:rPr>
        <w:t>中心</w:t>
      </w:r>
      <w:r>
        <w:rPr>
          <w:rFonts w:hint="eastAsia" w:ascii="仿宋" w:hAnsi="仿宋" w:eastAsia="仿宋"/>
          <w:sz w:val="32"/>
          <w:szCs w:val="32"/>
        </w:rPr>
        <w:t>领导为副组长，股室主要负责人为成员的预算支出绩效评价领导小组，明确各职能股室的评价责任，进一步强化各股室对财政预算支出管理意识。</w:t>
      </w:r>
    </w:p>
    <w:p>
      <w:pPr>
        <w:ind w:firstLine="645"/>
        <w:rPr>
          <w:rFonts w:ascii="仿宋" w:hAnsi="仿宋" w:eastAsia="仿宋"/>
          <w:sz w:val="32"/>
          <w:szCs w:val="32"/>
        </w:rPr>
      </w:pPr>
      <w:r>
        <w:rPr>
          <w:rFonts w:hint="eastAsia" w:ascii="仿宋" w:hAnsi="仿宋" w:eastAsia="仿宋"/>
          <w:sz w:val="32"/>
          <w:szCs w:val="32"/>
        </w:rPr>
        <w:t>2、加强对国家、省级财政预算资金管理方面制度的学习培训，不断提高各职能股室的业务工作能力，组织</w:t>
      </w:r>
      <w:r>
        <w:rPr>
          <w:rFonts w:hint="eastAsia" w:ascii="仿宋" w:hAnsi="仿宋" w:eastAsia="仿宋"/>
          <w:sz w:val="32"/>
          <w:szCs w:val="32"/>
          <w:lang w:eastAsia="zh-CN"/>
        </w:rPr>
        <w:t>中心</w:t>
      </w:r>
      <w:r>
        <w:rPr>
          <w:rFonts w:hint="eastAsia" w:ascii="仿宋" w:hAnsi="仿宋" w:eastAsia="仿宋"/>
          <w:sz w:val="32"/>
          <w:szCs w:val="32"/>
        </w:rPr>
        <w:t>机关人员学习市政府出台的培训费、会议费、差旅费、公务接待等管理办法。</w:t>
      </w:r>
    </w:p>
    <w:p>
      <w:pPr>
        <w:ind w:firstLine="645"/>
        <w:rPr>
          <w:rFonts w:hint="eastAsia" w:ascii="仿宋" w:hAnsi="仿宋" w:eastAsia="仿宋"/>
          <w:sz w:val="32"/>
          <w:szCs w:val="32"/>
          <w:lang w:eastAsia="zh-CN"/>
        </w:rPr>
      </w:pPr>
      <w:r>
        <w:rPr>
          <w:rFonts w:hint="eastAsia" w:ascii="仿宋" w:hAnsi="仿宋" w:eastAsia="仿宋"/>
          <w:sz w:val="32"/>
          <w:szCs w:val="32"/>
        </w:rPr>
        <w:t>3、建立了机关整体支出管理方面的内控制度，并不断进行完善和修订。对招待费、公务用车、等支出进行了有效管控</w:t>
      </w:r>
      <w:r>
        <w:rPr>
          <w:rFonts w:hint="eastAsia" w:ascii="仿宋" w:hAnsi="仿宋" w:eastAsia="仿宋"/>
          <w:sz w:val="32"/>
          <w:szCs w:val="32"/>
          <w:lang w:eastAsia="zh-CN"/>
        </w:rPr>
        <w:t>。</w:t>
      </w:r>
    </w:p>
    <w:p>
      <w:pPr>
        <w:ind w:firstLine="645"/>
        <w:rPr>
          <w:rFonts w:ascii="仿宋" w:hAnsi="仿宋" w:eastAsia="仿宋"/>
          <w:sz w:val="32"/>
          <w:szCs w:val="32"/>
        </w:rPr>
      </w:pPr>
      <w:r>
        <w:rPr>
          <w:rFonts w:hint="eastAsia" w:ascii="仿宋" w:hAnsi="仿宋" w:eastAsia="仿宋"/>
          <w:sz w:val="32"/>
          <w:szCs w:val="32"/>
        </w:rPr>
        <w:t>4、重新修订了固定资产管理制度，固定资产按照财政要求由专人负责动态管理，做到账账、账实、账卡相符。</w:t>
      </w:r>
    </w:p>
    <w:p>
      <w:pPr>
        <w:ind w:firstLine="645"/>
        <w:rPr>
          <w:rFonts w:hint="eastAsia" w:ascii="仿宋_GB2312" w:hAnsi="方正大标宋简体" w:eastAsia="仿宋_GB2312"/>
          <w:sz w:val="28"/>
          <w:szCs w:val="28"/>
          <w:lang w:eastAsia="zh-CN"/>
        </w:rPr>
      </w:pPr>
      <w:r>
        <w:rPr>
          <w:rFonts w:hint="eastAsia" w:ascii="仿宋" w:hAnsi="仿宋" w:eastAsia="仿宋"/>
          <w:sz w:val="32"/>
          <w:szCs w:val="32"/>
        </w:rPr>
        <w:t>5、严格制度执行，特别是“三公”经费的预算控制。严格招待费用审核审批程序，“三公”经费较好地控制在预算范围之内。</w:t>
      </w:r>
    </w:p>
    <w:p>
      <w:pPr>
        <w:pStyle w:val="4"/>
        <w:keepNext w:val="0"/>
        <w:keepLines w:val="0"/>
        <w:pageBreakBefore w:val="0"/>
        <w:widowControl/>
        <w:kinsoku/>
        <w:wordWrap/>
        <w:overflowPunct/>
        <w:topLinePunct w:val="0"/>
        <w:autoSpaceDE/>
        <w:autoSpaceDN/>
        <w:bidi w:val="0"/>
        <w:adjustRightInd/>
        <w:snapToGrid/>
        <w:spacing w:before="95" w:beforeLines="30" w:after="95" w:afterLines="30" w:line="580" w:lineRule="exact"/>
        <w:ind w:firstLine="710" w:firstLineChars="221"/>
        <w:jc w:val="both"/>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三、部门整体支出规模及使用方向、内容</w:t>
      </w:r>
    </w:p>
    <w:p>
      <w:pPr>
        <w:pStyle w:val="4"/>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（一）2020年总收支预算情况</w:t>
      </w:r>
    </w:p>
    <w:p>
      <w:pPr>
        <w:pStyle w:val="4"/>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我中心收入预算为</w:t>
      </w:r>
      <w:r>
        <w:rPr>
          <w:rFonts w:hint="eastAsia" w:ascii="仿宋" w:hAnsi="仿宋" w:eastAsia="仿宋"/>
          <w:sz w:val="32"/>
          <w:szCs w:val="32"/>
          <w:lang w:val="en-US" w:eastAsia="zh-CN"/>
        </w:rPr>
        <w:t>3798.00</w:t>
      </w:r>
      <w:r>
        <w:rPr>
          <w:rFonts w:hint="eastAsia" w:ascii="仿宋" w:hAnsi="仿宋" w:eastAsia="仿宋" w:cs="仿宋"/>
          <w:kern w:val="2"/>
          <w:sz w:val="32"/>
          <w:szCs w:val="32"/>
          <w:lang w:val="en-US" w:eastAsia="zh-CN" w:bidi="ar-SA"/>
        </w:rPr>
        <w:t>万元，其中一般公共预算财政拨款3798.00万元，政府性基金预算财政拨款0万元，国有资本经营预算财政拨款0万元。支出预算3798.00万元，其中，基本支出1015.10万元，占中心支出预算26.73%，项目支出2782.90万元，占中心支出预算73.27%。</w:t>
      </w:r>
    </w:p>
    <w:p>
      <w:pPr>
        <w:pStyle w:val="4"/>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（二）整体支出使用范围、方向和内容</w:t>
      </w:r>
    </w:p>
    <w:p>
      <w:pPr>
        <w:keepNext w:val="0"/>
        <w:keepLines w:val="0"/>
        <w:pageBreakBefore w:val="0"/>
        <w:widowControl/>
        <w:kinsoku/>
        <w:wordWrap/>
        <w:overflowPunct/>
        <w:topLinePunct w:val="0"/>
        <w:autoSpaceDE/>
        <w:autoSpaceDN/>
        <w:bidi w:val="0"/>
        <w:adjustRightInd/>
        <w:snapToGrid/>
        <w:spacing w:line="580" w:lineRule="exact"/>
        <w:ind w:firstLine="640"/>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lang w:eastAsia="zh-CN"/>
        </w:rPr>
        <w:t>2020</w:t>
      </w:r>
      <w:r>
        <w:rPr>
          <w:rFonts w:hint="eastAsia" w:ascii="仿宋" w:hAnsi="仿宋" w:eastAsia="仿宋" w:cs="仿宋"/>
          <w:color w:val="222222"/>
          <w:kern w:val="0"/>
          <w:sz w:val="32"/>
          <w:szCs w:val="32"/>
        </w:rPr>
        <w:t>年年初预算为</w:t>
      </w:r>
      <w:r>
        <w:rPr>
          <w:rFonts w:hint="eastAsia" w:ascii="仿宋" w:hAnsi="仿宋" w:eastAsia="仿宋"/>
          <w:sz w:val="32"/>
          <w:szCs w:val="32"/>
          <w:lang w:val="en-US" w:eastAsia="zh-CN"/>
        </w:rPr>
        <w:t>3798.00</w:t>
      </w:r>
      <w:r>
        <w:rPr>
          <w:rFonts w:hint="eastAsia" w:ascii="仿宋" w:hAnsi="仿宋" w:eastAsia="仿宋" w:cs="仿宋"/>
          <w:color w:val="222222"/>
          <w:kern w:val="0"/>
          <w:sz w:val="32"/>
          <w:szCs w:val="32"/>
        </w:rPr>
        <w:t>万元，其中基本支出</w:t>
      </w:r>
      <w:r>
        <w:rPr>
          <w:rFonts w:hint="eastAsia" w:ascii="仿宋" w:hAnsi="仿宋" w:eastAsia="仿宋" w:cs="仿宋"/>
          <w:kern w:val="2"/>
          <w:sz w:val="32"/>
          <w:szCs w:val="32"/>
          <w:lang w:val="en-US" w:eastAsia="zh-CN" w:bidi="ar-SA"/>
        </w:rPr>
        <w:t>1015.10</w:t>
      </w:r>
      <w:r>
        <w:rPr>
          <w:rFonts w:hint="eastAsia" w:ascii="仿宋" w:hAnsi="仿宋" w:eastAsia="仿宋" w:cs="仿宋"/>
          <w:color w:val="222222"/>
          <w:kern w:val="0"/>
          <w:sz w:val="32"/>
          <w:szCs w:val="32"/>
        </w:rPr>
        <w:t>万元，使用内容为人员经费和日常公用经费；项目支出</w:t>
      </w:r>
      <w:r>
        <w:rPr>
          <w:rFonts w:hint="eastAsia" w:ascii="仿宋" w:hAnsi="仿宋" w:eastAsia="仿宋" w:cs="仿宋"/>
          <w:kern w:val="2"/>
          <w:sz w:val="32"/>
          <w:szCs w:val="32"/>
          <w:lang w:val="en-US" w:eastAsia="zh-CN" w:bidi="ar-SA"/>
        </w:rPr>
        <w:t>2782.90</w:t>
      </w:r>
      <w:r>
        <w:rPr>
          <w:rFonts w:hint="eastAsia" w:ascii="仿宋" w:hAnsi="仿宋" w:eastAsia="仿宋" w:cs="仿宋"/>
          <w:color w:val="222222"/>
          <w:kern w:val="0"/>
          <w:sz w:val="32"/>
          <w:szCs w:val="32"/>
        </w:rPr>
        <w:t>万元，使用内容为业务工作专项</w:t>
      </w:r>
      <w:r>
        <w:rPr>
          <w:rFonts w:hint="eastAsia" w:ascii="仿宋" w:hAnsi="仿宋" w:eastAsia="仿宋" w:cs="仿宋"/>
          <w:color w:val="222222"/>
          <w:kern w:val="0"/>
          <w:sz w:val="32"/>
          <w:szCs w:val="32"/>
          <w:lang w:eastAsia="zh-CN"/>
        </w:rPr>
        <w:t>（主要</w:t>
      </w:r>
      <w:r>
        <w:rPr>
          <w:rFonts w:hint="eastAsia" w:ascii="仿宋" w:hAnsi="仿宋" w:eastAsia="仿宋"/>
          <w:sz w:val="32"/>
          <w:szCs w:val="32"/>
        </w:rPr>
        <w:t>城乡社区环境卫生外包服务</w:t>
      </w:r>
      <w:r>
        <w:rPr>
          <w:rFonts w:hint="eastAsia" w:ascii="仿宋" w:hAnsi="仿宋" w:eastAsia="仿宋" w:cs="仿宋"/>
          <w:color w:val="222222"/>
          <w:kern w:val="0"/>
          <w:sz w:val="32"/>
          <w:szCs w:val="32"/>
          <w:lang w:eastAsia="zh-CN"/>
        </w:rPr>
        <w:t>相关支出）</w:t>
      </w:r>
      <w:r>
        <w:rPr>
          <w:rFonts w:hint="eastAsia" w:ascii="仿宋" w:hAnsi="仿宋" w:eastAsia="仿宋" w:cs="仿宋"/>
          <w:color w:val="222222"/>
          <w:kern w:val="0"/>
          <w:sz w:val="32"/>
          <w:szCs w:val="32"/>
        </w:rPr>
        <w:t>。具体使用方向如下：</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73"/>
        <w:gridCol w:w="2950"/>
        <w:gridCol w:w="2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173"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jc w:val="center"/>
              <w:textAlignment w:val="auto"/>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支出项目</w:t>
            </w:r>
          </w:p>
        </w:tc>
        <w:tc>
          <w:tcPr>
            <w:tcW w:w="2950"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jc w:val="center"/>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基本支出（万元）</w:t>
            </w:r>
          </w:p>
        </w:tc>
        <w:tc>
          <w:tcPr>
            <w:tcW w:w="2697"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jc w:val="center"/>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项目支出（万元）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173"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jc w:val="center"/>
              <w:textAlignment w:val="auto"/>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工资福利支出</w:t>
            </w:r>
          </w:p>
        </w:tc>
        <w:tc>
          <w:tcPr>
            <w:tcW w:w="2950"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jc w:val="center"/>
              <w:textAlignment w:val="center"/>
              <w:rPr>
                <w:rFonts w:hint="default" w:ascii="仿宋" w:hAnsi="仿宋" w:eastAsia="仿宋" w:cs="仿宋"/>
                <w:b w:val="0"/>
                <w:bCs w:val="0"/>
                <w:color w:val="222222"/>
                <w:kern w:val="0"/>
                <w:sz w:val="28"/>
                <w:szCs w:val="28"/>
                <w:lang w:val="en-US"/>
              </w:rPr>
            </w:pPr>
            <w:r>
              <w:rPr>
                <w:rFonts w:hint="eastAsia" w:ascii="仿宋" w:hAnsi="仿宋" w:eastAsia="仿宋" w:cs="仿宋"/>
                <w:b w:val="0"/>
                <w:bCs w:val="0"/>
                <w:i w:val="0"/>
                <w:color w:val="000000"/>
                <w:kern w:val="0"/>
                <w:sz w:val="28"/>
                <w:szCs w:val="28"/>
                <w:u w:val="none"/>
                <w:lang w:val="en-US" w:eastAsia="zh-CN" w:bidi="ar"/>
              </w:rPr>
              <w:t>820.01</w:t>
            </w:r>
          </w:p>
        </w:tc>
        <w:tc>
          <w:tcPr>
            <w:tcW w:w="2697"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jc w:val="center"/>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173"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jc w:val="center"/>
              <w:textAlignment w:val="auto"/>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商品和服务支出</w:t>
            </w:r>
          </w:p>
        </w:tc>
        <w:tc>
          <w:tcPr>
            <w:tcW w:w="2950"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jc w:val="center"/>
              <w:textAlignment w:val="center"/>
              <w:rPr>
                <w:rFonts w:hint="default" w:ascii="仿宋" w:hAnsi="仿宋" w:eastAsia="仿宋" w:cs="仿宋"/>
                <w:b w:val="0"/>
                <w:bCs w:val="0"/>
                <w:color w:val="222222"/>
                <w:kern w:val="0"/>
                <w:sz w:val="28"/>
                <w:szCs w:val="28"/>
                <w:lang w:val="en-US"/>
              </w:rPr>
            </w:pPr>
            <w:r>
              <w:rPr>
                <w:rFonts w:hint="eastAsia" w:ascii="仿宋" w:hAnsi="仿宋" w:eastAsia="仿宋" w:cs="仿宋"/>
                <w:b w:val="0"/>
                <w:bCs w:val="0"/>
                <w:i w:val="0"/>
                <w:color w:val="000000"/>
                <w:kern w:val="0"/>
                <w:sz w:val="28"/>
                <w:szCs w:val="28"/>
                <w:u w:val="none"/>
                <w:lang w:val="en-US" w:eastAsia="zh-CN" w:bidi="ar"/>
              </w:rPr>
              <w:t>118.00</w:t>
            </w:r>
          </w:p>
        </w:tc>
        <w:tc>
          <w:tcPr>
            <w:tcW w:w="2697"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jc w:val="center"/>
              <w:rPr>
                <w:rFonts w:hint="default" w:ascii="仿宋" w:hAnsi="仿宋" w:eastAsia="仿宋" w:cs="仿宋"/>
                <w:b w:val="0"/>
                <w:bCs w:val="0"/>
                <w:color w:val="222222"/>
                <w:kern w:val="0"/>
                <w:sz w:val="28"/>
                <w:szCs w:val="28"/>
                <w:lang w:val="en-US" w:eastAsia="zh-CN"/>
              </w:rPr>
            </w:pPr>
            <w:r>
              <w:rPr>
                <w:rFonts w:hint="eastAsia" w:ascii="仿宋" w:hAnsi="仿宋" w:eastAsia="仿宋" w:cs="仿宋"/>
                <w:b w:val="0"/>
                <w:bCs w:val="0"/>
                <w:color w:val="222222"/>
                <w:kern w:val="0"/>
                <w:sz w:val="28"/>
                <w:szCs w:val="28"/>
                <w:lang w:val="en-US" w:eastAsia="zh-CN"/>
              </w:rPr>
              <w:t>2782.90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173"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jc w:val="center"/>
              <w:textAlignment w:val="auto"/>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对个人和家庭补助</w:t>
            </w:r>
          </w:p>
        </w:tc>
        <w:tc>
          <w:tcPr>
            <w:tcW w:w="2950" w:type="dxa"/>
            <w:tcBorders>
              <w:tl2br w:val="nil"/>
              <w:tr2bl w:val="nil"/>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jc w:val="center"/>
              <w:textAlignment w:val="center"/>
              <w:rPr>
                <w:rFonts w:hint="default" w:ascii="仿宋" w:hAnsi="仿宋" w:eastAsia="仿宋" w:cs="仿宋"/>
                <w:b w:val="0"/>
                <w:bCs w:val="0"/>
                <w:color w:val="222222"/>
                <w:kern w:val="0"/>
                <w:sz w:val="28"/>
                <w:szCs w:val="28"/>
                <w:lang w:val="en-US"/>
              </w:rPr>
            </w:pPr>
            <w:r>
              <w:rPr>
                <w:rFonts w:hint="eastAsia" w:ascii="仿宋" w:hAnsi="仿宋" w:eastAsia="仿宋" w:cs="仿宋"/>
                <w:b w:val="0"/>
                <w:bCs w:val="0"/>
                <w:i w:val="0"/>
                <w:color w:val="000000"/>
                <w:kern w:val="0"/>
                <w:sz w:val="28"/>
                <w:szCs w:val="28"/>
                <w:u w:val="none"/>
                <w:lang w:val="en-US" w:eastAsia="zh-CN" w:bidi="ar"/>
              </w:rPr>
              <w:t>77.09</w:t>
            </w:r>
          </w:p>
        </w:tc>
        <w:tc>
          <w:tcPr>
            <w:tcW w:w="2697"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jc w:val="center"/>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173"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jc w:val="center"/>
              <w:textAlignment w:val="auto"/>
              <w:rPr>
                <w:rFonts w:hint="eastAsia" w:ascii="仿宋" w:hAnsi="仿宋" w:eastAsia="仿宋" w:cs="仿宋"/>
                <w:b w:val="0"/>
                <w:bCs w:val="0"/>
                <w:color w:val="222222"/>
                <w:kern w:val="0"/>
                <w:sz w:val="28"/>
                <w:szCs w:val="28"/>
                <w:lang w:eastAsia="zh-CN"/>
              </w:rPr>
            </w:pPr>
            <w:r>
              <w:rPr>
                <w:rFonts w:hint="eastAsia" w:ascii="仿宋" w:hAnsi="仿宋" w:eastAsia="仿宋" w:cs="仿宋"/>
                <w:b w:val="0"/>
                <w:bCs w:val="0"/>
                <w:color w:val="222222"/>
                <w:kern w:val="0"/>
                <w:sz w:val="28"/>
                <w:szCs w:val="28"/>
                <w:lang w:eastAsia="zh-CN"/>
              </w:rPr>
              <w:t>对企业补助</w:t>
            </w:r>
          </w:p>
        </w:tc>
        <w:tc>
          <w:tcPr>
            <w:tcW w:w="2950"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jc w:val="center"/>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0</w:t>
            </w:r>
          </w:p>
        </w:tc>
        <w:tc>
          <w:tcPr>
            <w:tcW w:w="2697"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jc w:val="center"/>
              <w:rPr>
                <w:rFonts w:hint="default" w:ascii="仿宋" w:hAnsi="仿宋" w:eastAsia="仿宋" w:cs="仿宋"/>
                <w:b w:val="0"/>
                <w:bCs w:val="0"/>
                <w:color w:val="222222"/>
                <w:kern w:val="0"/>
                <w:sz w:val="28"/>
                <w:szCs w:val="28"/>
                <w:lang w:val="en-US" w:eastAsia="zh-CN"/>
              </w:rPr>
            </w:pPr>
            <w:r>
              <w:rPr>
                <w:rFonts w:hint="eastAsia" w:ascii="仿宋" w:hAnsi="仿宋" w:eastAsia="仿宋" w:cs="仿宋"/>
                <w:b w:val="0"/>
                <w:bCs w:val="0"/>
                <w:color w:val="222222"/>
                <w:kern w:val="0"/>
                <w:sz w:val="28"/>
                <w:szCs w:val="28"/>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173"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jc w:val="center"/>
              <w:textAlignment w:val="auto"/>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合 计</w:t>
            </w:r>
          </w:p>
        </w:tc>
        <w:tc>
          <w:tcPr>
            <w:tcW w:w="2950"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jc w:val="center"/>
              <w:rPr>
                <w:rFonts w:hint="default" w:ascii="仿宋" w:hAnsi="仿宋" w:eastAsia="仿宋" w:cs="仿宋"/>
                <w:b w:val="0"/>
                <w:bCs w:val="0"/>
                <w:color w:val="222222"/>
                <w:kern w:val="0"/>
                <w:sz w:val="28"/>
                <w:szCs w:val="28"/>
                <w:lang w:val="en-US" w:eastAsia="zh-CN"/>
              </w:rPr>
            </w:pPr>
            <w:r>
              <w:rPr>
                <w:rFonts w:hint="eastAsia" w:ascii="仿宋" w:hAnsi="仿宋" w:eastAsia="仿宋" w:cs="仿宋"/>
                <w:b w:val="0"/>
                <w:bCs w:val="0"/>
                <w:color w:val="222222"/>
                <w:kern w:val="0"/>
                <w:sz w:val="28"/>
                <w:szCs w:val="28"/>
                <w:lang w:val="en-US" w:eastAsia="zh-CN"/>
              </w:rPr>
              <w:t>1015.10</w:t>
            </w:r>
          </w:p>
        </w:tc>
        <w:tc>
          <w:tcPr>
            <w:tcW w:w="2697"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jc w:val="center"/>
              <w:rPr>
                <w:rFonts w:hint="default" w:ascii="仿宋" w:hAnsi="仿宋" w:eastAsia="仿宋" w:cs="仿宋"/>
                <w:b w:val="0"/>
                <w:bCs w:val="0"/>
                <w:color w:val="222222"/>
                <w:kern w:val="0"/>
                <w:sz w:val="28"/>
                <w:szCs w:val="28"/>
                <w:lang w:val="en-US" w:eastAsia="zh-CN"/>
              </w:rPr>
            </w:pPr>
            <w:r>
              <w:rPr>
                <w:rFonts w:hint="eastAsia" w:ascii="仿宋" w:hAnsi="仿宋" w:eastAsia="仿宋" w:cs="仿宋"/>
                <w:b w:val="0"/>
                <w:bCs w:val="0"/>
                <w:color w:val="222222"/>
                <w:kern w:val="0"/>
                <w:sz w:val="28"/>
                <w:szCs w:val="28"/>
                <w:lang w:val="en-US" w:eastAsia="zh-CN"/>
              </w:rPr>
              <w:t>2782.90</w:t>
            </w:r>
          </w:p>
        </w:tc>
      </w:tr>
    </w:tbl>
    <w:p>
      <w:pPr>
        <w:pStyle w:val="4"/>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（三）年度预算收支决算情况</w:t>
      </w:r>
    </w:p>
    <w:p>
      <w:pPr>
        <w:pStyle w:val="4"/>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1.2020年度预算收入决算情况。本年度中心总收入为</w:t>
      </w:r>
      <w:r>
        <w:rPr>
          <w:rFonts w:hint="eastAsia" w:ascii="仿宋" w:hAnsi="仿宋" w:eastAsia="仿宋" w:cs="仿宋"/>
          <w:kern w:val="2"/>
          <w:sz w:val="32"/>
          <w:szCs w:val="32"/>
          <w:lang w:val="en-US" w:eastAsia="zh-CN" w:bidi="ar-SA"/>
        </w:rPr>
        <w:t>4598.93</w:t>
      </w:r>
      <w:r>
        <w:rPr>
          <w:rFonts w:hint="eastAsia" w:ascii="仿宋" w:hAnsi="仿宋" w:eastAsia="仿宋" w:cs="仿宋"/>
          <w:sz w:val="32"/>
          <w:szCs w:val="32"/>
          <w:lang w:val="en-US" w:eastAsia="zh-CN"/>
        </w:rPr>
        <w:t>万元。其中，财政拨款收入4445.37万元，政府性基金预算财政拨款收入0万元，其他收入153.56万元。</w:t>
      </w:r>
    </w:p>
    <w:p>
      <w:pPr>
        <w:pStyle w:val="4"/>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2.2020年度预算支出决算情况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2020</w:t>
      </w:r>
      <w:r>
        <w:rPr>
          <w:rFonts w:hint="eastAsia" w:ascii="仿宋" w:hAnsi="仿宋" w:eastAsia="仿宋" w:cs="仿宋"/>
          <w:sz w:val="32"/>
          <w:szCs w:val="32"/>
        </w:rPr>
        <w:t>年</w:t>
      </w:r>
      <w:r>
        <w:rPr>
          <w:rFonts w:hint="eastAsia" w:ascii="仿宋" w:hAnsi="仿宋" w:eastAsia="仿宋" w:cs="仿宋"/>
          <w:sz w:val="32"/>
          <w:szCs w:val="32"/>
          <w:lang w:eastAsia="zh-CN"/>
        </w:rPr>
        <w:t>中心</w:t>
      </w:r>
      <w:r>
        <w:rPr>
          <w:rFonts w:hint="eastAsia" w:ascii="仿宋" w:hAnsi="仿宋" w:eastAsia="仿宋" w:cs="仿宋"/>
          <w:sz w:val="32"/>
          <w:szCs w:val="32"/>
        </w:rPr>
        <w:t>本级预算、决算对比情况表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（单位：万元）</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50"/>
        <w:gridCol w:w="2116"/>
        <w:gridCol w:w="2133"/>
        <w:gridCol w:w="2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20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比较项目</w:t>
            </w:r>
          </w:p>
        </w:tc>
        <w:tc>
          <w:tcPr>
            <w:tcW w:w="21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支出项目</w:t>
            </w:r>
          </w:p>
        </w:tc>
        <w:tc>
          <w:tcPr>
            <w:tcW w:w="2133"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jc w:val="center"/>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合 计</w:t>
            </w:r>
          </w:p>
        </w:tc>
        <w:tc>
          <w:tcPr>
            <w:tcW w:w="2223"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jc w:val="center"/>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其中：财政拨款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2050" w:type="dxa"/>
            <w:vMerge w:val="restar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预算金额</w:t>
            </w:r>
          </w:p>
        </w:tc>
        <w:tc>
          <w:tcPr>
            <w:tcW w:w="2116"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jc w:val="center"/>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基本支出</w:t>
            </w:r>
          </w:p>
        </w:tc>
        <w:tc>
          <w:tcPr>
            <w:tcW w:w="2133" w:type="dxa"/>
            <w:tcBorders>
              <w:tl2br w:val="nil"/>
              <w:tr2bl w:val="nil"/>
            </w:tcBorders>
            <w:noWrap w:val="0"/>
            <w:tcMar>
              <w:top w:w="0" w:type="dxa"/>
              <w:left w:w="108" w:type="dxa"/>
              <w:bottom w:w="0" w:type="dxa"/>
              <w:right w:w="108" w:type="dxa"/>
            </w:tcMar>
            <w:vAlign w:val="top"/>
          </w:tcPr>
          <w:p>
            <w:pPr>
              <w:jc w:val="center"/>
              <w:rPr>
                <w:rFonts w:hint="default" w:ascii="仿宋" w:hAnsi="仿宋" w:eastAsia="仿宋" w:cs="仿宋"/>
                <w:b w:val="0"/>
                <w:bCs w:val="0"/>
                <w:color w:val="222222"/>
                <w:kern w:val="0"/>
                <w:sz w:val="28"/>
                <w:szCs w:val="28"/>
                <w:lang w:val="en-US"/>
              </w:rPr>
            </w:pPr>
            <w:r>
              <w:rPr>
                <w:rFonts w:hint="eastAsia" w:ascii="仿宋" w:hAnsi="仿宋" w:eastAsia="仿宋"/>
                <w:sz w:val="28"/>
                <w:szCs w:val="28"/>
                <w:lang w:val="en-US" w:eastAsia="zh-CN"/>
              </w:rPr>
              <w:t>1015.10</w:t>
            </w:r>
          </w:p>
        </w:tc>
        <w:tc>
          <w:tcPr>
            <w:tcW w:w="2223" w:type="dxa"/>
            <w:tcBorders>
              <w:tl2br w:val="nil"/>
              <w:tr2bl w:val="nil"/>
            </w:tcBorders>
            <w:noWrap w:val="0"/>
            <w:tcMar>
              <w:top w:w="0" w:type="dxa"/>
              <w:left w:w="108" w:type="dxa"/>
              <w:bottom w:w="0" w:type="dxa"/>
              <w:right w:w="108" w:type="dxa"/>
            </w:tcMar>
            <w:vAlign w:val="top"/>
          </w:tcPr>
          <w:p>
            <w:pPr>
              <w:jc w:val="center"/>
              <w:rPr>
                <w:rFonts w:hint="default" w:ascii="仿宋" w:hAnsi="仿宋" w:eastAsia="仿宋" w:cs="仿宋"/>
                <w:b w:val="0"/>
                <w:bCs w:val="0"/>
                <w:color w:val="222222"/>
                <w:kern w:val="0"/>
                <w:sz w:val="28"/>
                <w:szCs w:val="28"/>
                <w:lang w:val="en-US" w:eastAsia="zh-CN" w:bidi="ar-SA"/>
              </w:rPr>
            </w:pPr>
            <w:r>
              <w:rPr>
                <w:rFonts w:hint="eastAsia" w:ascii="仿宋" w:hAnsi="仿宋" w:eastAsia="仿宋"/>
                <w:sz w:val="28"/>
                <w:szCs w:val="28"/>
                <w:lang w:val="en-US" w:eastAsia="zh-CN"/>
              </w:rPr>
              <w:t>1015.10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205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jc w:val="left"/>
              <w:textAlignment w:val="auto"/>
              <w:rPr>
                <w:rFonts w:hint="eastAsia" w:ascii="仿宋" w:hAnsi="仿宋" w:eastAsia="仿宋" w:cs="仿宋"/>
                <w:b w:val="0"/>
                <w:bCs w:val="0"/>
                <w:color w:val="222222"/>
                <w:kern w:val="0"/>
                <w:sz w:val="28"/>
                <w:szCs w:val="28"/>
              </w:rPr>
            </w:pPr>
          </w:p>
        </w:tc>
        <w:tc>
          <w:tcPr>
            <w:tcW w:w="2116"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jc w:val="center"/>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项目支出</w:t>
            </w:r>
          </w:p>
        </w:tc>
        <w:tc>
          <w:tcPr>
            <w:tcW w:w="2133" w:type="dxa"/>
            <w:tcBorders>
              <w:tl2br w:val="nil"/>
              <w:tr2bl w:val="nil"/>
            </w:tcBorders>
            <w:noWrap w:val="0"/>
            <w:tcMar>
              <w:top w:w="0" w:type="dxa"/>
              <w:left w:w="108" w:type="dxa"/>
              <w:bottom w:w="0" w:type="dxa"/>
              <w:right w:w="108" w:type="dxa"/>
            </w:tcMar>
            <w:vAlign w:val="top"/>
          </w:tcPr>
          <w:p>
            <w:pPr>
              <w:jc w:val="center"/>
              <w:rPr>
                <w:rFonts w:hint="default" w:ascii="仿宋" w:hAnsi="仿宋" w:eastAsia="仿宋" w:cs="仿宋"/>
                <w:b w:val="0"/>
                <w:bCs w:val="0"/>
                <w:color w:val="222222"/>
                <w:kern w:val="0"/>
                <w:sz w:val="28"/>
                <w:szCs w:val="28"/>
                <w:lang w:val="en-US"/>
              </w:rPr>
            </w:pPr>
            <w:r>
              <w:rPr>
                <w:rFonts w:hint="eastAsia" w:ascii="仿宋" w:hAnsi="仿宋" w:eastAsia="仿宋"/>
                <w:sz w:val="28"/>
                <w:szCs w:val="28"/>
                <w:lang w:val="en-US" w:eastAsia="zh-CN"/>
              </w:rPr>
              <w:t>2782.90</w:t>
            </w:r>
          </w:p>
        </w:tc>
        <w:tc>
          <w:tcPr>
            <w:tcW w:w="2223" w:type="dxa"/>
            <w:tcBorders>
              <w:tl2br w:val="nil"/>
              <w:tr2bl w:val="nil"/>
            </w:tcBorders>
            <w:noWrap w:val="0"/>
            <w:tcMar>
              <w:top w:w="0" w:type="dxa"/>
              <w:left w:w="108" w:type="dxa"/>
              <w:bottom w:w="0" w:type="dxa"/>
              <w:right w:w="108" w:type="dxa"/>
            </w:tcMar>
            <w:vAlign w:val="top"/>
          </w:tcPr>
          <w:p>
            <w:pPr>
              <w:jc w:val="center"/>
              <w:rPr>
                <w:rFonts w:hint="default" w:ascii="仿宋" w:hAnsi="仿宋" w:eastAsia="仿宋" w:cs="仿宋"/>
                <w:b w:val="0"/>
                <w:bCs w:val="0"/>
                <w:color w:val="222222"/>
                <w:kern w:val="0"/>
                <w:sz w:val="28"/>
                <w:szCs w:val="28"/>
                <w:lang w:val="en-US" w:eastAsia="zh-CN" w:bidi="ar-SA"/>
              </w:rPr>
            </w:pPr>
            <w:r>
              <w:rPr>
                <w:rFonts w:hint="eastAsia" w:ascii="仿宋" w:hAnsi="仿宋" w:eastAsia="仿宋"/>
                <w:sz w:val="28"/>
                <w:szCs w:val="28"/>
                <w:lang w:val="en-US" w:eastAsia="zh-CN"/>
              </w:rPr>
              <w:t>2782.90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205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jc w:val="left"/>
              <w:textAlignment w:val="auto"/>
              <w:rPr>
                <w:rFonts w:hint="eastAsia" w:ascii="仿宋" w:hAnsi="仿宋" w:eastAsia="仿宋" w:cs="仿宋"/>
                <w:b w:val="0"/>
                <w:bCs w:val="0"/>
                <w:color w:val="222222"/>
                <w:kern w:val="0"/>
                <w:sz w:val="28"/>
                <w:szCs w:val="28"/>
              </w:rPr>
            </w:pPr>
            <w:bookmarkStart w:id="0" w:name="_GoBack" w:colFirst="3" w:colLast="3"/>
          </w:p>
        </w:tc>
        <w:tc>
          <w:tcPr>
            <w:tcW w:w="2116"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jc w:val="center"/>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合 计</w:t>
            </w:r>
          </w:p>
        </w:tc>
        <w:tc>
          <w:tcPr>
            <w:tcW w:w="2133" w:type="dxa"/>
            <w:tcBorders>
              <w:tl2br w:val="nil"/>
              <w:tr2bl w:val="nil"/>
            </w:tcBorders>
            <w:noWrap w:val="0"/>
            <w:tcMar>
              <w:top w:w="0" w:type="dxa"/>
              <w:left w:w="108" w:type="dxa"/>
              <w:bottom w:w="0" w:type="dxa"/>
              <w:right w:w="108" w:type="dxa"/>
            </w:tcMar>
            <w:vAlign w:val="top"/>
          </w:tcPr>
          <w:p>
            <w:pPr>
              <w:jc w:val="center"/>
              <w:rPr>
                <w:rFonts w:hint="default" w:ascii="仿宋" w:hAnsi="仿宋" w:eastAsia="仿宋" w:cs="仿宋"/>
                <w:b w:val="0"/>
                <w:bCs w:val="0"/>
                <w:color w:val="222222"/>
                <w:kern w:val="0"/>
                <w:sz w:val="28"/>
                <w:szCs w:val="28"/>
                <w:lang w:val="en-US"/>
              </w:rPr>
            </w:pPr>
            <w:r>
              <w:rPr>
                <w:rFonts w:hint="eastAsia" w:ascii="仿宋" w:hAnsi="仿宋" w:eastAsia="仿宋"/>
                <w:sz w:val="28"/>
                <w:szCs w:val="28"/>
                <w:lang w:val="en-US" w:eastAsia="zh-CN"/>
              </w:rPr>
              <w:t>3798.00</w:t>
            </w:r>
          </w:p>
        </w:tc>
        <w:tc>
          <w:tcPr>
            <w:tcW w:w="2223" w:type="dxa"/>
            <w:tcBorders>
              <w:tl2br w:val="nil"/>
              <w:tr2bl w:val="nil"/>
            </w:tcBorders>
            <w:noWrap w:val="0"/>
            <w:tcMar>
              <w:top w:w="0" w:type="dxa"/>
              <w:left w:w="108" w:type="dxa"/>
              <w:bottom w:w="0" w:type="dxa"/>
              <w:right w:w="108" w:type="dxa"/>
            </w:tcMar>
            <w:vAlign w:val="top"/>
          </w:tcPr>
          <w:p>
            <w:pPr>
              <w:jc w:val="center"/>
              <w:rPr>
                <w:rFonts w:hint="default" w:ascii="仿宋" w:hAnsi="仿宋" w:eastAsia="仿宋" w:cs="仿宋"/>
                <w:b w:val="0"/>
                <w:bCs w:val="0"/>
                <w:color w:val="222222"/>
                <w:kern w:val="0"/>
                <w:sz w:val="28"/>
                <w:szCs w:val="28"/>
                <w:lang w:val="en-US" w:eastAsia="zh-CN" w:bidi="ar-SA"/>
              </w:rPr>
            </w:pPr>
            <w:r>
              <w:rPr>
                <w:rFonts w:hint="eastAsia" w:ascii="仿宋" w:hAnsi="仿宋" w:eastAsia="仿宋"/>
                <w:sz w:val="28"/>
                <w:szCs w:val="28"/>
                <w:lang w:val="en-US" w:eastAsia="zh-CN"/>
              </w:rPr>
              <w:t>3798.00</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2050" w:type="dxa"/>
            <w:vMerge w:val="restar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决算金额</w:t>
            </w:r>
          </w:p>
        </w:tc>
        <w:tc>
          <w:tcPr>
            <w:tcW w:w="2116"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jc w:val="center"/>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基本支出</w:t>
            </w:r>
          </w:p>
        </w:tc>
        <w:tc>
          <w:tcPr>
            <w:tcW w:w="2133" w:type="dxa"/>
            <w:tcBorders>
              <w:tl2br w:val="nil"/>
              <w:tr2bl w:val="nil"/>
            </w:tcBorders>
            <w:noWrap w:val="0"/>
            <w:tcMar>
              <w:top w:w="0" w:type="dxa"/>
              <w:left w:w="108" w:type="dxa"/>
              <w:bottom w:w="0" w:type="dxa"/>
              <w:right w:w="108" w:type="dxa"/>
            </w:tcMar>
            <w:vAlign w:val="top"/>
          </w:tcPr>
          <w:p>
            <w:pPr>
              <w:jc w:val="center"/>
              <w:rPr>
                <w:rFonts w:hint="eastAsia" w:ascii="仿宋" w:hAnsi="仿宋" w:eastAsia="仿宋" w:cs="仿宋"/>
                <w:b w:val="0"/>
                <w:bCs w:val="0"/>
                <w:color w:val="222222"/>
                <w:kern w:val="0"/>
                <w:sz w:val="28"/>
                <w:szCs w:val="28"/>
              </w:rPr>
            </w:pPr>
            <w:r>
              <w:rPr>
                <w:rFonts w:hint="eastAsia" w:ascii="仿宋" w:hAnsi="仿宋" w:eastAsia="仿宋"/>
                <w:sz w:val="28"/>
                <w:szCs w:val="28"/>
                <w:lang w:val="en-US" w:eastAsia="zh-CN"/>
              </w:rPr>
              <w:t>1333.90</w:t>
            </w:r>
          </w:p>
        </w:tc>
        <w:tc>
          <w:tcPr>
            <w:tcW w:w="2223" w:type="dxa"/>
            <w:tcBorders>
              <w:tl2br w:val="nil"/>
              <w:tr2bl w:val="nil"/>
            </w:tcBorders>
            <w:noWrap w:val="0"/>
            <w:tcMar>
              <w:top w:w="0" w:type="dxa"/>
              <w:left w:w="108" w:type="dxa"/>
              <w:bottom w:w="0" w:type="dxa"/>
              <w:right w:w="108" w:type="dxa"/>
            </w:tcMar>
            <w:vAlign w:val="top"/>
          </w:tcPr>
          <w:p>
            <w:pPr>
              <w:jc w:val="center"/>
              <w:rPr>
                <w:rFonts w:hint="eastAsia" w:ascii="仿宋" w:hAnsi="仿宋" w:eastAsia="仿宋" w:cs="仿宋"/>
                <w:b w:val="0"/>
                <w:bCs w:val="0"/>
                <w:color w:val="222222"/>
                <w:kern w:val="0"/>
                <w:sz w:val="28"/>
                <w:szCs w:val="28"/>
              </w:rPr>
            </w:pPr>
            <w:r>
              <w:rPr>
                <w:rFonts w:hint="eastAsia" w:ascii="仿宋" w:hAnsi="仿宋" w:eastAsia="仿宋"/>
                <w:sz w:val="28"/>
                <w:szCs w:val="28"/>
                <w:lang w:val="en-US" w:eastAsia="zh-CN"/>
              </w:rPr>
              <w:t>1333.90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205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jc w:val="left"/>
              <w:textAlignment w:val="auto"/>
              <w:rPr>
                <w:rFonts w:hint="eastAsia" w:ascii="仿宋" w:hAnsi="仿宋" w:eastAsia="仿宋" w:cs="仿宋"/>
                <w:b w:val="0"/>
                <w:bCs w:val="0"/>
                <w:color w:val="222222"/>
                <w:kern w:val="0"/>
                <w:sz w:val="28"/>
                <w:szCs w:val="28"/>
              </w:rPr>
            </w:pPr>
          </w:p>
        </w:tc>
        <w:tc>
          <w:tcPr>
            <w:tcW w:w="2116"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jc w:val="center"/>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项目支出</w:t>
            </w:r>
          </w:p>
        </w:tc>
        <w:tc>
          <w:tcPr>
            <w:tcW w:w="2133" w:type="dxa"/>
            <w:tcBorders>
              <w:tl2br w:val="nil"/>
              <w:tr2bl w:val="nil"/>
            </w:tcBorders>
            <w:noWrap w:val="0"/>
            <w:tcMar>
              <w:top w:w="0" w:type="dxa"/>
              <w:left w:w="108" w:type="dxa"/>
              <w:bottom w:w="0" w:type="dxa"/>
              <w:right w:w="108" w:type="dxa"/>
            </w:tcMar>
            <w:vAlign w:val="top"/>
          </w:tcPr>
          <w:p>
            <w:pPr>
              <w:jc w:val="center"/>
              <w:rPr>
                <w:rFonts w:hint="eastAsia" w:ascii="仿宋" w:hAnsi="仿宋" w:eastAsia="仿宋" w:cs="仿宋"/>
                <w:b w:val="0"/>
                <w:bCs w:val="0"/>
                <w:color w:val="222222"/>
                <w:kern w:val="0"/>
                <w:sz w:val="28"/>
                <w:szCs w:val="28"/>
              </w:rPr>
            </w:pPr>
            <w:r>
              <w:rPr>
                <w:rFonts w:hint="eastAsia" w:ascii="仿宋" w:hAnsi="仿宋" w:eastAsia="仿宋"/>
                <w:sz w:val="28"/>
                <w:szCs w:val="28"/>
                <w:lang w:val="en-US" w:eastAsia="zh-CN"/>
              </w:rPr>
              <w:t>3111.48</w:t>
            </w:r>
          </w:p>
        </w:tc>
        <w:tc>
          <w:tcPr>
            <w:tcW w:w="2223" w:type="dxa"/>
            <w:tcBorders>
              <w:tl2br w:val="nil"/>
              <w:tr2bl w:val="nil"/>
            </w:tcBorders>
            <w:noWrap w:val="0"/>
            <w:tcMar>
              <w:top w:w="0" w:type="dxa"/>
              <w:left w:w="108" w:type="dxa"/>
              <w:bottom w:w="0" w:type="dxa"/>
              <w:right w:w="108" w:type="dxa"/>
            </w:tcMar>
            <w:vAlign w:val="top"/>
          </w:tcPr>
          <w:p>
            <w:pPr>
              <w:jc w:val="center"/>
              <w:rPr>
                <w:rFonts w:hint="eastAsia" w:ascii="仿宋" w:hAnsi="仿宋" w:eastAsia="仿宋" w:cs="仿宋"/>
                <w:b w:val="0"/>
                <w:bCs w:val="0"/>
                <w:color w:val="222222"/>
                <w:kern w:val="0"/>
                <w:sz w:val="28"/>
                <w:szCs w:val="28"/>
              </w:rPr>
            </w:pPr>
            <w:r>
              <w:rPr>
                <w:rFonts w:hint="eastAsia" w:ascii="仿宋" w:hAnsi="仿宋" w:eastAsia="仿宋"/>
                <w:sz w:val="28"/>
                <w:szCs w:val="28"/>
                <w:lang w:val="en-US" w:eastAsia="zh-CN"/>
              </w:rPr>
              <w:t>3111.48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205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jc w:val="left"/>
              <w:textAlignment w:val="auto"/>
              <w:rPr>
                <w:rFonts w:hint="eastAsia" w:ascii="仿宋" w:hAnsi="仿宋" w:eastAsia="仿宋" w:cs="仿宋"/>
                <w:b w:val="0"/>
                <w:bCs w:val="0"/>
                <w:color w:val="222222"/>
                <w:kern w:val="0"/>
                <w:sz w:val="28"/>
                <w:szCs w:val="28"/>
              </w:rPr>
            </w:pPr>
          </w:p>
        </w:tc>
        <w:tc>
          <w:tcPr>
            <w:tcW w:w="2116"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jc w:val="center"/>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合 计</w:t>
            </w:r>
          </w:p>
        </w:tc>
        <w:tc>
          <w:tcPr>
            <w:tcW w:w="2133" w:type="dxa"/>
            <w:tcBorders>
              <w:tl2br w:val="nil"/>
              <w:tr2bl w:val="nil"/>
            </w:tcBorders>
            <w:noWrap w:val="0"/>
            <w:tcMar>
              <w:top w:w="0" w:type="dxa"/>
              <w:left w:w="108" w:type="dxa"/>
              <w:bottom w:w="0" w:type="dxa"/>
              <w:right w:w="108" w:type="dxa"/>
            </w:tcMar>
            <w:vAlign w:val="top"/>
          </w:tcPr>
          <w:p>
            <w:pPr>
              <w:jc w:val="center"/>
              <w:rPr>
                <w:rFonts w:hint="eastAsia" w:ascii="仿宋" w:hAnsi="仿宋" w:eastAsia="仿宋" w:cs="仿宋"/>
                <w:b w:val="0"/>
                <w:bCs w:val="0"/>
                <w:color w:val="222222"/>
                <w:kern w:val="0"/>
                <w:sz w:val="28"/>
                <w:szCs w:val="28"/>
                <w:lang w:val="en-US"/>
              </w:rPr>
            </w:pPr>
            <w:r>
              <w:rPr>
                <w:rFonts w:hint="eastAsia" w:ascii="仿宋" w:hAnsi="仿宋" w:eastAsia="仿宋"/>
                <w:sz w:val="28"/>
                <w:szCs w:val="28"/>
                <w:lang w:val="en-US" w:eastAsia="zh-CN"/>
              </w:rPr>
              <w:t>4445.37</w:t>
            </w:r>
          </w:p>
        </w:tc>
        <w:tc>
          <w:tcPr>
            <w:tcW w:w="2223" w:type="dxa"/>
            <w:tcBorders>
              <w:tl2br w:val="nil"/>
              <w:tr2bl w:val="nil"/>
            </w:tcBorders>
            <w:noWrap w:val="0"/>
            <w:tcMar>
              <w:top w:w="0" w:type="dxa"/>
              <w:left w:w="108" w:type="dxa"/>
              <w:bottom w:w="0" w:type="dxa"/>
              <w:right w:w="108" w:type="dxa"/>
            </w:tcMar>
            <w:vAlign w:val="top"/>
          </w:tcPr>
          <w:p>
            <w:pPr>
              <w:jc w:val="center"/>
              <w:rPr>
                <w:rFonts w:hint="eastAsia" w:ascii="仿宋" w:hAnsi="仿宋" w:eastAsia="仿宋" w:cs="仿宋"/>
                <w:b w:val="0"/>
                <w:bCs w:val="0"/>
                <w:color w:val="222222"/>
                <w:kern w:val="0"/>
                <w:sz w:val="28"/>
                <w:szCs w:val="28"/>
              </w:rPr>
            </w:pPr>
            <w:r>
              <w:rPr>
                <w:rFonts w:hint="eastAsia" w:ascii="仿宋" w:hAnsi="仿宋" w:eastAsia="仿宋"/>
                <w:sz w:val="28"/>
                <w:szCs w:val="28"/>
                <w:lang w:val="en-US" w:eastAsia="zh-CN"/>
              </w:rPr>
              <w:t>4445.37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2050" w:type="dxa"/>
            <w:vMerge w:val="restar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执行差异</w:t>
            </w:r>
          </w:p>
          <w:p>
            <w:pPr>
              <w:keepNext w:val="0"/>
              <w:keepLines w:val="0"/>
              <w:pageBreakBefore w:val="0"/>
              <w:widowControl/>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（预算-决算）</w:t>
            </w:r>
          </w:p>
        </w:tc>
        <w:tc>
          <w:tcPr>
            <w:tcW w:w="2116"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jc w:val="center"/>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基本支出</w:t>
            </w:r>
          </w:p>
        </w:tc>
        <w:tc>
          <w:tcPr>
            <w:tcW w:w="2133" w:type="dxa"/>
            <w:tcBorders>
              <w:tl2br w:val="nil"/>
              <w:tr2bl w:val="nil"/>
            </w:tcBorders>
            <w:noWrap w:val="0"/>
            <w:tcMar>
              <w:top w:w="0" w:type="dxa"/>
              <w:left w:w="108" w:type="dxa"/>
              <w:bottom w:w="0" w:type="dxa"/>
              <w:right w:w="108" w:type="dxa"/>
            </w:tcMar>
            <w:vAlign w:val="top"/>
          </w:tcPr>
          <w:p>
            <w:pPr>
              <w:jc w:val="center"/>
              <w:rPr>
                <w:rFonts w:hint="default" w:ascii="仿宋" w:hAnsi="仿宋" w:eastAsia="仿宋" w:cs="仿宋"/>
                <w:b w:val="0"/>
                <w:bCs w:val="0"/>
                <w:color w:val="222222"/>
                <w:kern w:val="0"/>
                <w:sz w:val="28"/>
                <w:szCs w:val="28"/>
                <w:lang w:val="en-US" w:eastAsia="zh-CN"/>
              </w:rPr>
            </w:pPr>
            <w:r>
              <w:rPr>
                <w:rFonts w:hint="eastAsia" w:ascii="仿宋" w:hAnsi="仿宋" w:eastAsia="仿宋"/>
                <w:sz w:val="28"/>
                <w:szCs w:val="28"/>
                <w:lang w:val="en-US" w:eastAsia="zh-CN"/>
              </w:rPr>
              <w:t>-318.80</w:t>
            </w:r>
          </w:p>
        </w:tc>
        <w:tc>
          <w:tcPr>
            <w:tcW w:w="2223" w:type="dxa"/>
            <w:tcBorders>
              <w:tl2br w:val="nil"/>
              <w:tr2bl w:val="nil"/>
            </w:tcBorders>
            <w:noWrap w:val="0"/>
            <w:tcMar>
              <w:top w:w="0" w:type="dxa"/>
              <w:left w:w="108" w:type="dxa"/>
              <w:bottom w:w="0" w:type="dxa"/>
              <w:right w:w="108" w:type="dxa"/>
            </w:tcMar>
            <w:vAlign w:val="top"/>
          </w:tcPr>
          <w:p>
            <w:pPr>
              <w:jc w:val="center"/>
              <w:rPr>
                <w:rFonts w:hint="default" w:ascii="仿宋" w:hAnsi="仿宋" w:eastAsia="仿宋" w:cs="仿宋"/>
                <w:b w:val="0"/>
                <w:bCs w:val="0"/>
                <w:color w:val="222222"/>
                <w:kern w:val="0"/>
                <w:sz w:val="28"/>
                <w:szCs w:val="28"/>
                <w:lang w:val="en-US" w:eastAsia="zh-CN"/>
              </w:rPr>
            </w:pPr>
            <w:r>
              <w:rPr>
                <w:rFonts w:hint="eastAsia" w:ascii="仿宋" w:hAnsi="仿宋" w:eastAsia="仿宋"/>
                <w:sz w:val="28"/>
                <w:szCs w:val="28"/>
                <w:lang w:val="en-US" w:eastAsia="zh-CN"/>
              </w:rPr>
              <w:t>-318.80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205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jc w:val="left"/>
              <w:rPr>
                <w:rFonts w:hint="eastAsia" w:ascii="仿宋" w:hAnsi="仿宋" w:eastAsia="仿宋" w:cs="仿宋"/>
                <w:b w:val="0"/>
                <w:bCs w:val="0"/>
                <w:color w:val="222222"/>
                <w:kern w:val="0"/>
                <w:sz w:val="28"/>
                <w:szCs w:val="28"/>
              </w:rPr>
            </w:pPr>
          </w:p>
        </w:tc>
        <w:tc>
          <w:tcPr>
            <w:tcW w:w="2116"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jc w:val="center"/>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项目支出</w:t>
            </w:r>
          </w:p>
        </w:tc>
        <w:tc>
          <w:tcPr>
            <w:tcW w:w="2133" w:type="dxa"/>
            <w:tcBorders>
              <w:tl2br w:val="nil"/>
              <w:tr2bl w:val="nil"/>
            </w:tcBorders>
            <w:noWrap w:val="0"/>
            <w:tcMar>
              <w:top w:w="0" w:type="dxa"/>
              <w:left w:w="108" w:type="dxa"/>
              <w:bottom w:w="0" w:type="dxa"/>
              <w:right w:w="108" w:type="dxa"/>
            </w:tcMar>
            <w:vAlign w:val="top"/>
          </w:tcPr>
          <w:p>
            <w:pPr>
              <w:jc w:val="center"/>
              <w:rPr>
                <w:rFonts w:hint="default" w:ascii="仿宋" w:hAnsi="仿宋" w:eastAsia="仿宋" w:cs="仿宋"/>
                <w:b w:val="0"/>
                <w:bCs w:val="0"/>
                <w:color w:val="222222"/>
                <w:kern w:val="0"/>
                <w:sz w:val="28"/>
                <w:szCs w:val="28"/>
                <w:lang w:val="en-US" w:eastAsia="zh-CN"/>
              </w:rPr>
            </w:pPr>
            <w:r>
              <w:rPr>
                <w:rFonts w:hint="eastAsia" w:ascii="仿宋" w:hAnsi="仿宋" w:eastAsia="仿宋"/>
                <w:sz w:val="28"/>
                <w:szCs w:val="28"/>
                <w:lang w:val="en-US" w:eastAsia="zh-CN"/>
              </w:rPr>
              <w:t>-328.58</w:t>
            </w:r>
          </w:p>
        </w:tc>
        <w:tc>
          <w:tcPr>
            <w:tcW w:w="2223" w:type="dxa"/>
            <w:tcBorders>
              <w:tl2br w:val="nil"/>
              <w:tr2bl w:val="nil"/>
            </w:tcBorders>
            <w:noWrap w:val="0"/>
            <w:tcMar>
              <w:top w:w="0" w:type="dxa"/>
              <w:left w:w="108" w:type="dxa"/>
              <w:bottom w:w="0" w:type="dxa"/>
              <w:right w:w="108" w:type="dxa"/>
            </w:tcMar>
            <w:vAlign w:val="top"/>
          </w:tcPr>
          <w:p>
            <w:pPr>
              <w:jc w:val="center"/>
              <w:rPr>
                <w:rFonts w:hint="default" w:ascii="仿宋" w:hAnsi="仿宋" w:eastAsia="仿宋" w:cs="仿宋"/>
                <w:b w:val="0"/>
                <w:bCs w:val="0"/>
                <w:color w:val="222222"/>
                <w:kern w:val="0"/>
                <w:sz w:val="28"/>
                <w:szCs w:val="28"/>
                <w:lang w:val="en-US" w:eastAsia="zh-CN"/>
              </w:rPr>
            </w:pPr>
            <w:r>
              <w:rPr>
                <w:rFonts w:hint="eastAsia" w:ascii="仿宋" w:hAnsi="仿宋" w:eastAsia="仿宋"/>
                <w:sz w:val="28"/>
                <w:szCs w:val="28"/>
                <w:lang w:val="en-US" w:eastAsia="zh-CN"/>
              </w:rPr>
              <w:t>-328.58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205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jc w:val="left"/>
              <w:rPr>
                <w:rFonts w:hint="eastAsia" w:ascii="仿宋" w:hAnsi="仿宋" w:eastAsia="仿宋" w:cs="仿宋"/>
                <w:b w:val="0"/>
                <w:bCs w:val="0"/>
                <w:color w:val="222222"/>
                <w:kern w:val="0"/>
                <w:sz w:val="28"/>
                <w:szCs w:val="28"/>
              </w:rPr>
            </w:pPr>
          </w:p>
        </w:tc>
        <w:tc>
          <w:tcPr>
            <w:tcW w:w="2116" w:type="dxa"/>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jc w:val="center"/>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rPr>
              <w:t>合 计</w:t>
            </w:r>
          </w:p>
        </w:tc>
        <w:tc>
          <w:tcPr>
            <w:tcW w:w="2133" w:type="dxa"/>
            <w:tcBorders>
              <w:tl2br w:val="nil"/>
              <w:tr2bl w:val="nil"/>
            </w:tcBorders>
            <w:noWrap w:val="0"/>
            <w:tcMar>
              <w:top w:w="0" w:type="dxa"/>
              <w:left w:w="108" w:type="dxa"/>
              <w:bottom w:w="0" w:type="dxa"/>
              <w:right w:w="108" w:type="dxa"/>
            </w:tcMar>
            <w:vAlign w:val="top"/>
          </w:tcPr>
          <w:p>
            <w:pPr>
              <w:jc w:val="center"/>
              <w:rPr>
                <w:rFonts w:hint="default" w:ascii="仿宋" w:hAnsi="仿宋" w:eastAsia="仿宋" w:cs="仿宋"/>
                <w:b w:val="0"/>
                <w:bCs w:val="0"/>
                <w:color w:val="222222"/>
                <w:kern w:val="0"/>
                <w:sz w:val="28"/>
                <w:szCs w:val="28"/>
                <w:lang w:val="en-US" w:eastAsia="zh-CN"/>
              </w:rPr>
            </w:pPr>
            <w:r>
              <w:rPr>
                <w:rFonts w:hint="eastAsia" w:ascii="仿宋" w:hAnsi="仿宋" w:eastAsia="仿宋"/>
                <w:sz w:val="28"/>
                <w:szCs w:val="28"/>
                <w:lang w:val="en-US" w:eastAsia="zh-CN"/>
              </w:rPr>
              <w:t>-647.38</w:t>
            </w:r>
          </w:p>
        </w:tc>
        <w:tc>
          <w:tcPr>
            <w:tcW w:w="2223" w:type="dxa"/>
            <w:tcBorders>
              <w:tl2br w:val="nil"/>
              <w:tr2bl w:val="nil"/>
            </w:tcBorders>
            <w:noWrap w:val="0"/>
            <w:tcMar>
              <w:top w:w="0" w:type="dxa"/>
              <w:left w:w="108" w:type="dxa"/>
              <w:bottom w:w="0" w:type="dxa"/>
              <w:right w:w="108" w:type="dxa"/>
            </w:tcMar>
            <w:vAlign w:val="top"/>
          </w:tcPr>
          <w:p>
            <w:pPr>
              <w:jc w:val="center"/>
              <w:rPr>
                <w:rFonts w:hint="default" w:ascii="仿宋" w:hAnsi="仿宋" w:eastAsia="仿宋" w:cs="仿宋"/>
                <w:b w:val="0"/>
                <w:bCs w:val="0"/>
                <w:color w:val="222222"/>
                <w:kern w:val="0"/>
                <w:sz w:val="28"/>
                <w:szCs w:val="28"/>
                <w:lang w:val="en-US" w:eastAsia="zh-CN"/>
              </w:rPr>
            </w:pPr>
            <w:r>
              <w:rPr>
                <w:rFonts w:hint="eastAsia" w:ascii="仿宋" w:hAnsi="仿宋" w:eastAsia="仿宋"/>
                <w:sz w:val="28"/>
                <w:szCs w:val="28"/>
                <w:lang w:val="en-US" w:eastAsia="zh-CN"/>
              </w:rPr>
              <w:t>-647.38</w:t>
            </w:r>
          </w:p>
        </w:tc>
      </w:tr>
    </w:tbl>
    <w:p>
      <w:pPr>
        <w:pStyle w:val="1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222222"/>
          <w:kern w:val="0"/>
          <w:sz w:val="32"/>
          <w:szCs w:val="32"/>
        </w:rPr>
        <w:t>针对上述数据反映情况，说明如下：决算数大于预算数的主要原因是</w:t>
      </w:r>
      <w:r>
        <w:rPr>
          <w:rFonts w:hint="eastAsia" w:ascii="仿宋" w:hAnsi="仿宋" w:eastAsia="仿宋" w:cs="仿宋"/>
          <w:color w:val="222222"/>
          <w:kern w:val="0"/>
          <w:sz w:val="32"/>
          <w:szCs w:val="32"/>
          <w:lang w:eastAsia="zh-CN"/>
        </w:rPr>
        <w:t>由于</w:t>
      </w:r>
      <w:r>
        <w:rPr>
          <w:rFonts w:hint="eastAsia" w:ascii="仿宋" w:hAnsi="仿宋" w:eastAsia="仿宋" w:cs="仿宋"/>
          <w:color w:val="auto"/>
          <w:sz w:val="32"/>
          <w:szCs w:val="32"/>
        </w:rPr>
        <w:t>新增城区垃圾清扫清运外包服务面积，调整单位预算</w:t>
      </w:r>
      <w:r>
        <w:rPr>
          <w:rFonts w:hint="eastAsia" w:ascii="仿宋" w:hAnsi="仿宋" w:eastAsia="仿宋" w:cs="仿宋"/>
          <w:color w:val="auto"/>
          <w:sz w:val="32"/>
          <w:szCs w:val="32"/>
          <w:lang w:eastAsia="zh-CN"/>
        </w:rPr>
        <w:t>和环境卫生质量考核和城市垃圾无害化处理计量工作经费的增加</w:t>
      </w:r>
      <w:r>
        <w:rPr>
          <w:rFonts w:hint="eastAsia" w:ascii="仿宋" w:hAnsi="仿宋" w:eastAsia="仿宋" w:cs="仿宋"/>
          <w:color w:val="auto"/>
          <w:sz w:val="32"/>
          <w:szCs w:val="32"/>
        </w:rPr>
        <w:t>。</w:t>
      </w:r>
    </w:p>
    <w:p>
      <w:pPr>
        <w:pStyle w:val="4"/>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color w:val="222222"/>
          <w:kern w:val="0"/>
          <w:sz w:val="32"/>
          <w:szCs w:val="32"/>
          <w:lang w:val="en-US" w:eastAsia="zh-CN"/>
        </w:rPr>
      </w:pPr>
    </w:p>
    <w:p>
      <w:pPr>
        <w:pStyle w:val="4"/>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四、部门整体支出使用管理情况</w:t>
      </w:r>
    </w:p>
    <w:p>
      <w:pPr>
        <w:pStyle w:val="4"/>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color w:val="222222"/>
          <w:kern w:val="0"/>
          <w:sz w:val="32"/>
          <w:szCs w:val="32"/>
          <w:lang w:val="en-US" w:eastAsia="zh-CN"/>
        </w:rPr>
      </w:pPr>
      <w:r>
        <w:rPr>
          <w:rFonts w:hint="eastAsia" w:ascii="仿宋" w:hAnsi="仿宋" w:eastAsia="仿宋" w:cs="仿宋"/>
          <w:color w:val="222222"/>
          <w:kern w:val="0"/>
          <w:sz w:val="32"/>
          <w:szCs w:val="32"/>
          <w:lang w:val="en-US" w:eastAsia="zh-CN"/>
        </w:rPr>
        <w:t>（一）基本支出使用管理情况</w:t>
      </w:r>
    </w:p>
    <w:p>
      <w:pPr>
        <w:pStyle w:val="10"/>
        <w:ind w:firstLine="640" w:firstLineChars="2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2020年度财政拨款基本支出1333.90万元，其中：人员经费1154.23万元，占基本支出的86.53%，主要包括基本工资、津贴补贴、奖金、伙食补助费、绩效工资、单位部分社会保障缴费、职业年金、住房公积金、其他工资福利支出等；公用经费179.67万元，占基本支出的13.47%，主要包括办公费、印刷费、水电费、邮电费、差旅费、专用燃料费、劳务费、委托业务费、工会经费、公务用车运行维护费、其他交通费用、其他商品和服务支出等。</w:t>
      </w:r>
    </w:p>
    <w:p>
      <w:pPr>
        <w:pStyle w:val="4"/>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color w:val="222222"/>
          <w:kern w:val="0"/>
          <w:sz w:val="32"/>
          <w:szCs w:val="32"/>
          <w:lang w:eastAsia="zh-CN"/>
        </w:rPr>
      </w:pPr>
      <w:r>
        <w:rPr>
          <w:rFonts w:hint="eastAsia" w:ascii="仿宋" w:hAnsi="仿宋" w:eastAsia="仿宋" w:cs="仿宋"/>
          <w:color w:val="222222"/>
          <w:kern w:val="0"/>
          <w:sz w:val="32"/>
          <w:szCs w:val="32"/>
          <w:lang w:eastAsia="zh-CN"/>
        </w:rPr>
        <w:t>（二）“三公”经费使用管理情况</w:t>
      </w:r>
    </w:p>
    <w:p>
      <w:pPr>
        <w:pStyle w:val="4"/>
        <w:keepNext w:val="0"/>
        <w:keepLines w:val="0"/>
        <w:pageBreakBefore w:val="0"/>
        <w:kinsoku/>
        <w:wordWrap/>
        <w:overflowPunct/>
        <w:topLinePunct w:val="0"/>
        <w:autoSpaceDE/>
        <w:autoSpaceDN/>
        <w:bidi w:val="0"/>
        <w:adjustRightInd/>
        <w:snapToGrid/>
        <w:spacing w:line="580" w:lineRule="exact"/>
        <w:ind w:firstLine="480"/>
        <w:jc w:val="both"/>
        <w:rPr>
          <w:rFonts w:hint="eastAsia" w:ascii="仿宋" w:hAnsi="仿宋" w:eastAsia="仿宋" w:cs="仿宋"/>
          <w:color w:val="222222"/>
          <w:kern w:val="0"/>
          <w:sz w:val="32"/>
          <w:szCs w:val="32"/>
          <w:lang w:val="en-US" w:eastAsia="zh-CN"/>
        </w:rPr>
      </w:pPr>
      <w:r>
        <w:rPr>
          <w:rFonts w:hint="eastAsia" w:ascii="仿宋" w:hAnsi="仿宋" w:eastAsia="仿宋" w:cs="仿宋"/>
          <w:color w:val="222222"/>
          <w:kern w:val="0"/>
          <w:sz w:val="32"/>
          <w:szCs w:val="32"/>
        </w:rPr>
        <w:t>我</w:t>
      </w:r>
      <w:r>
        <w:rPr>
          <w:rFonts w:hint="eastAsia" w:ascii="仿宋" w:hAnsi="仿宋" w:eastAsia="仿宋" w:cs="仿宋"/>
          <w:color w:val="222222"/>
          <w:kern w:val="0"/>
          <w:sz w:val="32"/>
          <w:szCs w:val="32"/>
          <w:lang w:eastAsia="zh-CN"/>
        </w:rPr>
        <w:t>中心2020</w:t>
      </w:r>
      <w:r>
        <w:rPr>
          <w:rFonts w:hint="eastAsia" w:ascii="仿宋" w:hAnsi="仿宋" w:eastAsia="仿宋" w:cs="仿宋"/>
          <w:color w:val="222222"/>
          <w:kern w:val="0"/>
          <w:sz w:val="32"/>
          <w:szCs w:val="32"/>
        </w:rPr>
        <w:t>年“三公”经费预算金额为</w:t>
      </w:r>
      <w:r>
        <w:rPr>
          <w:rFonts w:hint="eastAsia" w:ascii="仿宋" w:hAnsi="仿宋" w:eastAsia="仿宋" w:cs="仿宋"/>
          <w:color w:val="222222"/>
          <w:kern w:val="0"/>
          <w:sz w:val="32"/>
          <w:szCs w:val="32"/>
          <w:lang w:val="en-US" w:eastAsia="zh-CN"/>
        </w:rPr>
        <w:t>1.53万</w:t>
      </w:r>
      <w:r>
        <w:rPr>
          <w:rFonts w:hint="eastAsia" w:ascii="仿宋" w:hAnsi="仿宋" w:eastAsia="仿宋" w:cs="仿宋"/>
          <w:color w:val="222222"/>
          <w:kern w:val="0"/>
          <w:sz w:val="32"/>
          <w:szCs w:val="32"/>
        </w:rPr>
        <w:t>元，全部为财政拨款资金，并在</w:t>
      </w:r>
      <w:r>
        <w:rPr>
          <w:rFonts w:hint="eastAsia" w:ascii="仿宋" w:hAnsi="仿宋" w:eastAsia="仿宋" w:cs="仿宋"/>
          <w:color w:val="222222"/>
          <w:kern w:val="0"/>
          <w:sz w:val="32"/>
          <w:szCs w:val="32"/>
          <w:lang w:eastAsia="zh-CN"/>
        </w:rPr>
        <w:t>政府有关</w:t>
      </w:r>
      <w:r>
        <w:rPr>
          <w:rFonts w:hint="eastAsia" w:ascii="仿宋" w:hAnsi="仿宋" w:eastAsia="仿宋" w:cs="仿宋"/>
          <w:color w:val="222222"/>
          <w:kern w:val="0"/>
          <w:sz w:val="32"/>
          <w:szCs w:val="32"/>
        </w:rPr>
        <w:t>网站进行了公示。</w:t>
      </w:r>
      <w:r>
        <w:rPr>
          <w:rFonts w:hint="eastAsia" w:ascii="仿宋" w:hAnsi="仿宋" w:eastAsia="仿宋" w:cs="仿宋"/>
          <w:color w:val="222222"/>
          <w:kern w:val="0"/>
          <w:sz w:val="32"/>
          <w:szCs w:val="32"/>
          <w:lang w:eastAsia="zh-CN"/>
        </w:rPr>
        <w:t>实际支出</w:t>
      </w:r>
      <w:r>
        <w:rPr>
          <w:rFonts w:hint="eastAsia" w:ascii="仿宋" w:hAnsi="仿宋" w:eastAsia="仿宋" w:cs="仿宋"/>
          <w:color w:val="222222"/>
          <w:kern w:val="0"/>
          <w:sz w:val="32"/>
          <w:szCs w:val="32"/>
          <w:lang w:val="en-US" w:eastAsia="zh-CN"/>
        </w:rPr>
        <w:t>1.52万元（其中，出省出国经费0万元；公务接待费0万元；公车购置及运行费1.52万元），</w:t>
      </w:r>
      <w:r>
        <w:rPr>
          <w:rFonts w:hint="eastAsia" w:ascii="仿宋" w:hAnsi="仿宋" w:eastAsia="仿宋" w:cs="仿宋"/>
          <w:color w:val="000000" w:themeColor="text1"/>
          <w:sz w:val="32"/>
          <w:szCs w:val="32"/>
          <w14:textFill>
            <w14:solidFill>
              <w14:schemeClr w14:val="tx1"/>
            </w14:solidFill>
          </w14:textFill>
        </w:rPr>
        <w:t>决算数小于年初预算数的主要原因是严格控制单位车辆运行所需的各项费用</w:t>
      </w:r>
      <w:r>
        <w:rPr>
          <w:rFonts w:hint="eastAsia" w:ascii="仿宋" w:hAnsi="仿宋" w:eastAsia="仿宋" w:cs="仿宋"/>
          <w:color w:val="000000" w:themeColor="text1"/>
          <w:sz w:val="32"/>
          <w:szCs w:val="32"/>
          <w:lang w:eastAsia="zh-CN"/>
          <w14:textFill>
            <w14:solidFill>
              <w14:schemeClr w14:val="tx1"/>
            </w14:solidFill>
          </w14:textFill>
        </w:rPr>
        <w:t>。</w:t>
      </w:r>
    </w:p>
    <w:p>
      <w:pPr>
        <w:pStyle w:val="4"/>
        <w:keepNext w:val="0"/>
        <w:keepLines w:val="0"/>
        <w:pageBreakBefore w:val="0"/>
        <w:numPr>
          <w:ilvl w:val="0"/>
          <w:numId w:val="3"/>
        </w:numPr>
        <w:kinsoku/>
        <w:wordWrap/>
        <w:overflowPunct/>
        <w:topLinePunct w:val="0"/>
        <w:autoSpaceDE/>
        <w:autoSpaceDN/>
        <w:bidi w:val="0"/>
        <w:adjustRightInd/>
        <w:snapToGrid/>
        <w:spacing w:line="580" w:lineRule="exact"/>
        <w:ind w:firstLine="480"/>
        <w:jc w:val="both"/>
        <w:rPr>
          <w:rFonts w:hint="eastAsia" w:ascii="仿宋" w:hAnsi="仿宋" w:eastAsia="仿宋" w:cs="仿宋"/>
          <w:color w:val="222222"/>
          <w:kern w:val="0"/>
          <w:sz w:val="32"/>
          <w:szCs w:val="32"/>
          <w:lang w:val="en-US" w:eastAsia="zh-CN"/>
        </w:rPr>
      </w:pPr>
      <w:r>
        <w:rPr>
          <w:rFonts w:hint="eastAsia" w:ascii="仿宋" w:hAnsi="仿宋" w:eastAsia="仿宋" w:cs="仿宋"/>
          <w:color w:val="222222"/>
          <w:kern w:val="0"/>
          <w:sz w:val="32"/>
          <w:szCs w:val="32"/>
          <w:lang w:val="en-US" w:eastAsia="zh-CN"/>
        </w:rPr>
        <w:t>专项支出管理和使用情况</w:t>
      </w:r>
    </w:p>
    <w:p>
      <w:pPr>
        <w:pStyle w:val="4"/>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rPr>
          <w:rFonts w:hint="eastAsia" w:ascii="仿宋" w:hAnsi="仿宋" w:eastAsia="仿宋" w:cs="仿宋"/>
          <w:color w:val="222222"/>
          <w:kern w:val="0"/>
          <w:sz w:val="32"/>
          <w:szCs w:val="32"/>
          <w:lang w:val="en-US" w:eastAsia="zh-CN"/>
        </w:rPr>
      </w:pPr>
      <w:r>
        <w:rPr>
          <w:rFonts w:hint="eastAsia" w:ascii="仿宋" w:hAnsi="仿宋" w:eastAsia="仿宋" w:cs="仿宋"/>
          <w:color w:val="222222"/>
          <w:kern w:val="0"/>
          <w:sz w:val="32"/>
          <w:szCs w:val="32"/>
          <w:lang w:val="en-US" w:eastAsia="zh-CN"/>
        </w:rPr>
        <w:t>我中心的专项支出主要为</w:t>
      </w:r>
      <w:r>
        <w:rPr>
          <w:rFonts w:hint="eastAsia" w:ascii="仿宋" w:hAnsi="仿宋" w:eastAsia="仿宋" w:cs="仿宋"/>
          <w:color w:val="auto"/>
          <w:sz w:val="32"/>
          <w:szCs w:val="32"/>
        </w:rPr>
        <w:t>城区垃圾清扫清运外包服务</w:t>
      </w:r>
      <w:r>
        <w:rPr>
          <w:rFonts w:hint="eastAsia" w:ascii="仿宋" w:hAnsi="仿宋" w:eastAsia="仿宋" w:cs="仿宋"/>
          <w:color w:val="222222"/>
          <w:kern w:val="0"/>
          <w:sz w:val="32"/>
          <w:szCs w:val="32"/>
          <w:lang w:val="en-US" w:eastAsia="zh-CN"/>
        </w:rPr>
        <w:t>项目支出。</w:t>
      </w:r>
      <w:r>
        <w:rPr>
          <w:rFonts w:hint="eastAsia" w:ascii="仿宋" w:hAnsi="仿宋" w:eastAsia="仿宋" w:cs="仿宋"/>
          <w:sz w:val="32"/>
          <w:szCs w:val="32"/>
          <w:lang w:val="en-US" w:eastAsia="zh-CN"/>
        </w:rPr>
        <w:t>2020年</w:t>
      </w:r>
      <w:r>
        <w:rPr>
          <w:rFonts w:hint="eastAsia" w:ascii="仿宋" w:hAnsi="仿宋" w:eastAsia="仿宋" w:cs="仿宋"/>
          <w:color w:val="222222"/>
          <w:kern w:val="0"/>
          <w:sz w:val="32"/>
          <w:szCs w:val="32"/>
          <w:lang w:val="en-US" w:eastAsia="zh-CN"/>
        </w:rPr>
        <w:t>我中心项目支出</w:t>
      </w:r>
      <w:r>
        <w:rPr>
          <w:rFonts w:hint="eastAsia" w:ascii="仿宋" w:hAnsi="仿宋" w:eastAsia="仿宋" w:cs="仿宋"/>
          <w:color w:val="222222"/>
          <w:kern w:val="0"/>
          <w:sz w:val="32"/>
          <w:szCs w:val="32"/>
        </w:rPr>
        <w:t>预算金额为</w:t>
      </w:r>
      <w:r>
        <w:rPr>
          <w:rFonts w:hint="eastAsia" w:ascii="仿宋" w:hAnsi="仿宋" w:eastAsia="仿宋" w:cs="仿宋"/>
          <w:sz w:val="32"/>
          <w:szCs w:val="32"/>
          <w:lang w:val="en-US" w:eastAsia="zh-CN"/>
        </w:rPr>
        <w:t>2782.90万元，实际总支出为3265.36万元。</w:t>
      </w:r>
      <w:r>
        <w:rPr>
          <w:rFonts w:hint="eastAsia" w:ascii="仿宋" w:hAnsi="仿宋" w:eastAsia="仿宋" w:cs="仿宋"/>
          <w:color w:val="000000" w:themeColor="text1"/>
          <w:sz w:val="32"/>
          <w:szCs w:val="32"/>
          <w14:textFill>
            <w14:solidFill>
              <w14:schemeClr w14:val="tx1"/>
            </w14:solidFill>
          </w14:textFill>
        </w:rPr>
        <w:t>决算数</w:t>
      </w:r>
      <w:r>
        <w:rPr>
          <w:rFonts w:hint="eastAsia" w:ascii="仿宋" w:hAnsi="仿宋" w:eastAsia="仿宋" w:cs="仿宋"/>
          <w:color w:val="000000" w:themeColor="text1"/>
          <w:sz w:val="32"/>
          <w:szCs w:val="32"/>
          <w:lang w:eastAsia="zh-CN"/>
          <w14:textFill>
            <w14:solidFill>
              <w14:schemeClr w14:val="tx1"/>
            </w14:solidFill>
          </w14:textFill>
        </w:rPr>
        <w:t>大</w:t>
      </w:r>
      <w:r>
        <w:rPr>
          <w:rFonts w:hint="eastAsia" w:ascii="仿宋" w:hAnsi="仿宋" w:eastAsia="仿宋" w:cs="仿宋"/>
          <w:color w:val="000000" w:themeColor="text1"/>
          <w:sz w:val="32"/>
          <w:szCs w:val="32"/>
          <w14:textFill>
            <w14:solidFill>
              <w14:schemeClr w14:val="tx1"/>
            </w14:solidFill>
          </w14:textFill>
        </w:rPr>
        <w:t>于年初预算数的主要原因是</w:t>
      </w:r>
      <w:r>
        <w:rPr>
          <w:rFonts w:hint="eastAsia" w:ascii="仿宋" w:hAnsi="仿宋" w:eastAsia="仿宋" w:cs="仿宋"/>
          <w:color w:val="auto"/>
          <w:sz w:val="32"/>
          <w:szCs w:val="32"/>
        </w:rPr>
        <w:t>新增城区垃圾清扫清运外包服务面积，调整单位预算</w:t>
      </w:r>
      <w:r>
        <w:rPr>
          <w:rFonts w:hint="eastAsia" w:ascii="仿宋" w:hAnsi="仿宋" w:eastAsia="仿宋" w:cs="仿宋"/>
          <w:color w:val="auto"/>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before="95" w:beforeLines="30" w:after="95" w:afterLines="30" w:line="580" w:lineRule="exact"/>
        <w:ind w:firstLine="710" w:firstLineChars="221"/>
        <w:jc w:val="both"/>
        <w:textAlignment w:val="auto"/>
        <w:rPr>
          <w:rFonts w:hint="eastAsia" w:ascii="仿宋" w:hAnsi="仿宋" w:eastAsia="仿宋" w:cs="仿宋"/>
          <w:b/>
          <w:sz w:val="32"/>
          <w:szCs w:val="32"/>
          <w:lang w:eastAsia="zh-CN"/>
        </w:rPr>
      </w:pPr>
      <w:r>
        <w:rPr>
          <w:rFonts w:hint="eastAsia" w:ascii="仿宋" w:hAnsi="仿宋" w:eastAsia="仿宋" w:cs="仿宋"/>
          <w:b/>
          <w:sz w:val="32"/>
          <w:szCs w:val="32"/>
          <w:lang w:eastAsia="zh-CN"/>
        </w:rPr>
        <w:t>五、整体支出控管措施</w:t>
      </w:r>
    </w:p>
    <w:p>
      <w:pPr>
        <w:pStyle w:val="4"/>
        <w:keepNext w:val="0"/>
        <w:keepLines w:val="0"/>
        <w:pageBreakBefore w:val="0"/>
        <w:kinsoku/>
        <w:wordWrap/>
        <w:overflowPunct/>
        <w:topLinePunct w:val="0"/>
        <w:autoSpaceDE/>
        <w:autoSpaceDN/>
        <w:bidi w:val="0"/>
        <w:adjustRightInd/>
        <w:snapToGrid/>
        <w:spacing w:line="580" w:lineRule="exact"/>
        <w:ind w:firstLine="480"/>
        <w:jc w:val="both"/>
        <w:rPr>
          <w:rFonts w:hint="eastAsia" w:ascii="仿宋" w:hAnsi="仿宋" w:eastAsia="仿宋" w:cs="仿宋"/>
          <w:sz w:val="32"/>
          <w:szCs w:val="32"/>
        </w:rPr>
      </w:pPr>
      <w:r>
        <w:rPr>
          <w:rFonts w:hint="eastAsia" w:ascii="仿宋" w:hAnsi="仿宋" w:eastAsia="仿宋" w:cs="仿宋"/>
          <w:sz w:val="32"/>
          <w:szCs w:val="32"/>
        </w:rPr>
        <w:t>（一）加强</w:t>
      </w:r>
      <w:r>
        <w:rPr>
          <w:rFonts w:hint="eastAsia" w:ascii="仿宋" w:hAnsi="仿宋" w:eastAsia="仿宋" w:cs="仿宋"/>
          <w:sz w:val="32"/>
          <w:szCs w:val="32"/>
          <w:lang w:val="en-US" w:eastAsia="zh-CN"/>
        </w:rPr>
        <w:t>单位</w:t>
      </w:r>
      <w:r>
        <w:rPr>
          <w:rFonts w:hint="eastAsia" w:ascii="仿宋" w:hAnsi="仿宋" w:eastAsia="仿宋" w:cs="仿宋"/>
          <w:sz w:val="32"/>
          <w:szCs w:val="32"/>
        </w:rPr>
        <w:t>预算管理,合理安排财政资金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严格压减一般性支出</w:t>
      </w:r>
      <w:r>
        <w:rPr>
          <w:rFonts w:hint="eastAsia" w:ascii="仿宋" w:hAnsi="仿宋" w:eastAsia="仿宋" w:cs="仿宋"/>
          <w:sz w:val="32"/>
          <w:szCs w:val="32"/>
        </w:rPr>
        <w:t xml:space="preserve">。增强行政成本意识，细化经费预算编制，在保证机关正常工作需要的人员经费和公用经费的前提下，严格控制 </w:t>
      </w:r>
      <w:r>
        <w:rPr>
          <w:rFonts w:hint="eastAsia" w:ascii="仿宋" w:hAnsi="仿宋" w:eastAsia="仿宋" w:cs="仿宋"/>
          <w:sz w:val="32"/>
          <w:szCs w:val="32"/>
          <w:lang w:val="en-US" w:eastAsia="zh-CN"/>
        </w:rPr>
        <w:t>其他非必要</w:t>
      </w:r>
      <w:r>
        <w:rPr>
          <w:rFonts w:hint="eastAsia" w:ascii="仿宋" w:hAnsi="仿宋" w:eastAsia="仿宋" w:cs="仿宋"/>
          <w:sz w:val="32"/>
          <w:szCs w:val="32"/>
        </w:rPr>
        <w:t>支出。</w:t>
      </w:r>
    </w:p>
    <w:p>
      <w:pPr>
        <w:pStyle w:val="4"/>
        <w:keepNext w:val="0"/>
        <w:keepLines w:val="0"/>
        <w:pageBreakBefore w:val="0"/>
        <w:kinsoku/>
        <w:wordWrap/>
        <w:overflowPunct/>
        <w:topLinePunct w:val="0"/>
        <w:autoSpaceDE/>
        <w:autoSpaceDN/>
        <w:bidi w:val="0"/>
        <w:adjustRightInd/>
        <w:snapToGrid/>
        <w:spacing w:line="580" w:lineRule="exact"/>
        <w:ind w:firstLine="480"/>
        <w:jc w:val="both"/>
        <w:rPr>
          <w:rFonts w:hint="eastAsia" w:ascii="仿宋" w:hAnsi="仿宋" w:eastAsia="仿宋" w:cs="仿宋"/>
          <w:sz w:val="32"/>
          <w:szCs w:val="32"/>
        </w:rPr>
      </w:pPr>
      <w:r>
        <w:rPr>
          <w:rFonts w:hint="eastAsia" w:ascii="仿宋" w:hAnsi="仿宋" w:eastAsia="仿宋" w:cs="仿宋"/>
          <w:sz w:val="32"/>
          <w:szCs w:val="32"/>
        </w:rPr>
        <w:t>（二）加强“三公”经费管理，</w:t>
      </w:r>
      <w:r>
        <w:rPr>
          <w:rFonts w:hint="eastAsia" w:ascii="仿宋" w:hAnsi="仿宋" w:eastAsia="仿宋" w:cs="仿宋"/>
          <w:sz w:val="32"/>
          <w:szCs w:val="32"/>
          <w:lang w:val="en-US" w:eastAsia="zh-CN"/>
        </w:rPr>
        <w:t>降低行政运行成本</w:t>
      </w:r>
      <w:r>
        <w:rPr>
          <w:rFonts w:hint="eastAsia" w:ascii="仿宋" w:hAnsi="仿宋" w:eastAsia="仿宋" w:cs="仿宋"/>
          <w:sz w:val="32"/>
          <w:szCs w:val="32"/>
        </w:rPr>
        <w:t>。研究完善公务接待、公务用车配置使用等管理制度和审核程序，严控 “三公”经费支出。</w:t>
      </w:r>
    </w:p>
    <w:p>
      <w:pPr>
        <w:pStyle w:val="4"/>
        <w:keepNext w:val="0"/>
        <w:keepLines w:val="0"/>
        <w:pageBreakBefore w:val="0"/>
        <w:kinsoku/>
        <w:wordWrap/>
        <w:overflowPunct/>
        <w:topLinePunct w:val="0"/>
        <w:autoSpaceDE/>
        <w:autoSpaceDN/>
        <w:bidi w:val="0"/>
        <w:adjustRightInd/>
        <w:snapToGrid/>
        <w:spacing w:line="580" w:lineRule="exact"/>
        <w:ind w:firstLine="480"/>
        <w:jc w:val="both"/>
        <w:rPr>
          <w:rFonts w:hint="eastAsia" w:ascii="仿宋" w:hAnsi="仿宋" w:eastAsia="仿宋" w:cs="仿宋"/>
          <w:sz w:val="32"/>
          <w:szCs w:val="32"/>
        </w:rPr>
      </w:pPr>
      <w:r>
        <w:rPr>
          <w:rFonts w:hint="eastAsia" w:ascii="仿宋" w:hAnsi="仿宋" w:eastAsia="仿宋" w:cs="仿宋"/>
          <w:sz w:val="32"/>
          <w:szCs w:val="32"/>
        </w:rPr>
        <w:t>（三）规范会议费、培训费、差旅费、办公费等费用开支标准，按照国家规定的标准和范围列支，控制会议培训的数量、规模，简化会议培训的形式；控制差旅活动的人数和天数，不安排无明确目的的公务考察活动；坚持厉行节约的原则，控制和压缩办公经费支出，各项费用严格控制在预算额度内使用。</w:t>
      </w:r>
    </w:p>
    <w:p>
      <w:pPr>
        <w:pStyle w:val="4"/>
        <w:keepNext w:val="0"/>
        <w:keepLines w:val="0"/>
        <w:pageBreakBefore w:val="0"/>
        <w:kinsoku/>
        <w:wordWrap/>
        <w:overflowPunct/>
        <w:topLinePunct w:val="0"/>
        <w:autoSpaceDE/>
        <w:autoSpaceDN/>
        <w:bidi w:val="0"/>
        <w:adjustRightInd/>
        <w:snapToGrid/>
        <w:spacing w:line="580" w:lineRule="exact"/>
        <w:ind w:firstLine="480"/>
        <w:jc w:val="both"/>
        <w:rPr>
          <w:rFonts w:hint="eastAsia" w:ascii="仿宋" w:hAnsi="仿宋" w:eastAsia="仿宋" w:cs="仿宋"/>
          <w:sz w:val="32"/>
          <w:szCs w:val="32"/>
        </w:rPr>
      </w:pPr>
      <w:r>
        <w:rPr>
          <w:rFonts w:hint="eastAsia" w:ascii="仿宋" w:hAnsi="仿宋" w:eastAsia="仿宋" w:cs="仿宋"/>
          <w:sz w:val="32"/>
          <w:szCs w:val="32"/>
        </w:rPr>
        <w:t>（四）加强固定资产管理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及时上报国有资产动态情况</w:t>
      </w:r>
      <w:r>
        <w:rPr>
          <w:rFonts w:hint="eastAsia" w:ascii="仿宋" w:hAnsi="仿宋" w:eastAsia="仿宋" w:cs="仿宋"/>
          <w:sz w:val="32"/>
          <w:szCs w:val="32"/>
        </w:rPr>
        <w:t xml:space="preserve">。按规定审批报废了一批多年不能使用的固定资产，修正、补录、完善了固定资产管理信息系统，切实做到单位资产账账、账卡、账实三相符。 </w:t>
      </w:r>
    </w:p>
    <w:p>
      <w:pPr>
        <w:pStyle w:val="4"/>
        <w:keepNext w:val="0"/>
        <w:keepLines w:val="0"/>
        <w:pageBreakBefore w:val="0"/>
        <w:kinsoku/>
        <w:wordWrap/>
        <w:overflowPunct/>
        <w:topLinePunct w:val="0"/>
        <w:autoSpaceDE/>
        <w:autoSpaceDN/>
        <w:bidi w:val="0"/>
        <w:adjustRightInd/>
        <w:snapToGrid/>
        <w:spacing w:line="580" w:lineRule="exact"/>
        <w:ind w:firstLine="480"/>
        <w:jc w:val="both"/>
        <w:rPr>
          <w:rFonts w:hint="eastAsia" w:ascii="仿宋" w:hAnsi="仿宋" w:eastAsia="仿宋" w:cs="仿宋"/>
          <w:sz w:val="32"/>
          <w:szCs w:val="32"/>
        </w:rPr>
      </w:pPr>
      <w:r>
        <w:rPr>
          <w:rFonts w:hint="eastAsia" w:ascii="仿宋" w:hAnsi="仿宋" w:eastAsia="仿宋" w:cs="仿宋"/>
          <w:sz w:val="32"/>
          <w:szCs w:val="32"/>
        </w:rPr>
        <w:t>（五）规范资金结算管理。进一步健全预算单位内部管控制度，细化操作流程，严把支付申请受理、原始票据审核和资金直接支付三道关口，对于不真实不合法的凭证严格予以拒付，着力从长效机制上加强约束。</w:t>
      </w:r>
    </w:p>
    <w:p>
      <w:pPr>
        <w:pStyle w:val="4"/>
        <w:keepNext w:val="0"/>
        <w:keepLines w:val="0"/>
        <w:pageBreakBefore w:val="0"/>
        <w:widowControl/>
        <w:kinsoku/>
        <w:wordWrap/>
        <w:overflowPunct/>
        <w:topLinePunct w:val="0"/>
        <w:autoSpaceDE/>
        <w:autoSpaceDN/>
        <w:bidi w:val="0"/>
        <w:adjustRightInd/>
        <w:snapToGrid/>
        <w:spacing w:before="95" w:beforeLines="30" w:after="95" w:afterLines="30" w:line="580" w:lineRule="exact"/>
        <w:ind w:firstLine="710" w:firstLineChars="221"/>
        <w:jc w:val="both"/>
        <w:textAlignment w:val="auto"/>
        <w:rPr>
          <w:rFonts w:hint="eastAsia" w:ascii="仿宋" w:hAnsi="仿宋" w:eastAsia="仿宋" w:cs="仿宋"/>
          <w:b/>
          <w:sz w:val="32"/>
          <w:szCs w:val="32"/>
        </w:rPr>
      </w:pPr>
      <w:r>
        <w:rPr>
          <w:rFonts w:hint="eastAsia" w:ascii="仿宋" w:hAnsi="仿宋" w:eastAsia="仿宋" w:cs="仿宋"/>
          <w:b/>
          <w:sz w:val="32"/>
          <w:szCs w:val="32"/>
          <w:lang w:eastAsia="zh-CN"/>
        </w:rPr>
        <w:t>六</w:t>
      </w:r>
      <w:r>
        <w:rPr>
          <w:rFonts w:hint="eastAsia" w:ascii="仿宋" w:hAnsi="仿宋" w:eastAsia="仿宋" w:cs="仿宋"/>
          <w:b/>
          <w:sz w:val="32"/>
          <w:szCs w:val="32"/>
        </w:rPr>
        <w:t>、存在的主要问题</w:t>
      </w:r>
    </w:p>
    <w:p>
      <w:pPr>
        <w:pStyle w:val="4"/>
        <w:keepNext w:val="0"/>
        <w:keepLines w:val="0"/>
        <w:pageBreakBefore w:val="0"/>
        <w:widowControl/>
        <w:kinsoku/>
        <w:wordWrap/>
        <w:overflowPunct/>
        <w:topLinePunct w:val="0"/>
        <w:autoSpaceDE/>
        <w:autoSpaceDN/>
        <w:bidi w:val="0"/>
        <w:adjustRightInd/>
        <w:snapToGrid/>
        <w:spacing w:line="580" w:lineRule="exact"/>
        <w:ind w:firstLine="482"/>
        <w:jc w:val="both"/>
        <w:textAlignment w:val="auto"/>
        <w:rPr>
          <w:rFonts w:hint="eastAsia" w:ascii="仿宋" w:hAnsi="仿宋" w:eastAsia="仿宋" w:cs="仿宋"/>
          <w:sz w:val="32"/>
          <w:szCs w:val="32"/>
        </w:rPr>
      </w:pPr>
      <w:r>
        <w:rPr>
          <w:rFonts w:hint="eastAsia" w:ascii="仿宋" w:hAnsi="仿宋" w:eastAsia="仿宋" w:cs="仿宋"/>
          <w:sz w:val="32"/>
          <w:szCs w:val="32"/>
        </w:rPr>
        <w:t>（一）进一步健全和完善财务管理制度及内部控制制度，规范和约束</w:t>
      </w:r>
      <w:r>
        <w:rPr>
          <w:rFonts w:hint="eastAsia" w:ascii="仿宋" w:hAnsi="仿宋" w:eastAsia="仿宋" w:cs="仿宋"/>
          <w:sz w:val="32"/>
          <w:szCs w:val="32"/>
          <w:lang w:eastAsia="zh-CN"/>
        </w:rPr>
        <w:t>支付</w:t>
      </w:r>
      <w:r>
        <w:rPr>
          <w:rFonts w:hint="eastAsia" w:ascii="仿宋" w:hAnsi="仿宋" w:eastAsia="仿宋" w:cs="仿宋"/>
          <w:sz w:val="32"/>
          <w:szCs w:val="32"/>
        </w:rPr>
        <w:t>行为和程序，按照财政支出绩效管理的要求，建立科学的财政资金效益考评制度体系，牢固树立行政成本意识，不断提高财政资金使用管理的水平和效率。</w:t>
      </w:r>
    </w:p>
    <w:p>
      <w:pPr>
        <w:keepNext w:val="0"/>
        <w:keepLines w:val="0"/>
        <w:pageBreakBefore w:val="0"/>
        <w:tabs>
          <w:tab w:val="left" w:pos="385"/>
          <w:tab w:val="left" w:pos="2400"/>
        </w:tabs>
        <w:kinsoku/>
        <w:wordWrap/>
        <w:overflowPunct/>
        <w:topLinePunct w:val="0"/>
        <w:autoSpaceDE/>
        <w:autoSpaceDN/>
        <w:bidi w:val="0"/>
        <w:adjustRightInd/>
        <w:snapToGrid/>
        <w:spacing w:line="580" w:lineRule="exact"/>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（二）</w:t>
      </w:r>
      <w:r>
        <w:rPr>
          <w:rFonts w:hint="eastAsia" w:ascii="仿宋" w:hAnsi="仿宋" w:eastAsia="仿宋" w:cs="仿宋"/>
          <w:color w:val="000000" w:themeColor="text1"/>
          <w:sz w:val="32"/>
          <w:szCs w:val="32"/>
          <w14:textFill>
            <w14:solidFill>
              <w14:schemeClr w14:val="tx1"/>
            </w14:solidFill>
          </w14:textFill>
        </w:rPr>
        <w:t>财政预算</w:t>
      </w:r>
      <w:r>
        <w:rPr>
          <w:rFonts w:hint="eastAsia" w:ascii="仿宋" w:hAnsi="仿宋" w:eastAsia="仿宋" w:cs="Times New Roman"/>
          <w:color w:val="000000" w:themeColor="text1"/>
          <w:sz w:val="32"/>
          <w:szCs w:val="32"/>
          <w14:textFill>
            <w14:solidFill>
              <w14:schemeClr w14:val="tx1"/>
            </w14:solidFill>
          </w14:textFill>
        </w:rPr>
        <w:t>公用经费过少</w:t>
      </w:r>
      <w:r>
        <w:rPr>
          <w:rFonts w:hint="eastAsia" w:ascii="仿宋" w:hAnsi="仿宋" w:eastAsia="仿宋" w:cs="仿宋"/>
          <w:color w:val="000000" w:themeColor="text1"/>
          <w:sz w:val="32"/>
          <w:szCs w:val="32"/>
          <w14:textFill>
            <w14:solidFill>
              <w14:schemeClr w14:val="tx1"/>
            </w14:solidFill>
          </w14:textFill>
        </w:rPr>
        <w:t>。我</w:t>
      </w:r>
      <w:r>
        <w:rPr>
          <w:rFonts w:hint="eastAsia" w:ascii="仿宋" w:hAnsi="仿宋" w:eastAsia="仿宋" w:cs="仿宋"/>
          <w:color w:val="000000" w:themeColor="text1"/>
          <w:sz w:val="32"/>
          <w:szCs w:val="32"/>
          <w:lang w:eastAsia="zh-CN"/>
          <w14:textFill>
            <w14:solidFill>
              <w14:schemeClr w14:val="tx1"/>
            </w14:solidFill>
          </w14:textFill>
        </w:rPr>
        <w:t>中心</w:t>
      </w:r>
      <w:r>
        <w:rPr>
          <w:rFonts w:hint="eastAsia" w:ascii="仿宋" w:hAnsi="仿宋" w:eastAsia="仿宋" w:cs="仿宋"/>
          <w:color w:val="000000" w:themeColor="text1"/>
          <w:sz w:val="32"/>
          <w:szCs w:val="32"/>
          <w14:textFill>
            <w14:solidFill>
              <w14:schemeClr w14:val="tx1"/>
            </w14:solidFill>
          </w14:textFill>
        </w:rPr>
        <w:t>工作多而琐碎，承担的职能多，工作任务</w:t>
      </w:r>
      <w:r>
        <w:rPr>
          <w:rFonts w:hint="eastAsia" w:ascii="仿宋" w:hAnsi="仿宋" w:eastAsia="仿宋" w:cs="仿宋"/>
          <w:color w:val="000000" w:themeColor="text1"/>
          <w:sz w:val="32"/>
          <w:szCs w:val="32"/>
          <w:lang w:val="en-US" w:eastAsia="zh-CN"/>
          <w14:textFill>
            <w14:solidFill>
              <w14:schemeClr w14:val="tx1"/>
            </w14:solidFill>
          </w14:textFill>
        </w:rPr>
        <w:t>繁重</w:t>
      </w:r>
      <w:r>
        <w:rPr>
          <w:rFonts w:hint="eastAsia" w:ascii="仿宋" w:hAnsi="仿宋" w:eastAsia="仿宋" w:cs="仿宋"/>
          <w:color w:val="000000" w:themeColor="text1"/>
          <w:sz w:val="32"/>
          <w:szCs w:val="32"/>
          <w14:textFill>
            <w14:solidFill>
              <w14:schemeClr w14:val="tx1"/>
            </w14:solidFill>
          </w14:textFill>
        </w:rPr>
        <w:t>，预算经费</w:t>
      </w:r>
      <w:r>
        <w:rPr>
          <w:rFonts w:hint="eastAsia" w:ascii="仿宋" w:hAnsi="仿宋" w:eastAsia="仿宋" w:cs="Times New Roman"/>
          <w:color w:val="000000" w:themeColor="text1"/>
          <w:sz w:val="32"/>
          <w:szCs w:val="32"/>
          <w14:textFill>
            <w14:solidFill>
              <w14:schemeClr w14:val="tx1"/>
            </w14:solidFill>
          </w14:textFill>
        </w:rPr>
        <w:t>远远不能满足工作需要</w:t>
      </w:r>
      <w:r>
        <w:rPr>
          <w:rFonts w:hint="eastAsia" w:ascii="仿宋" w:hAnsi="仿宋" w:eastAsia="仿宋" w:cs="仿宋"/>
          <w:sz w:val="32"/>
          <w:szCs w:val="32"/>
        </w:rPr>
        <w:t>。</w:t>
      </w:r>
    </w:p>
    <w:p>
      <w:pPr>
        <w:keepNext w:val="0"/>
        <w:keepLines w:val="0"/>
        <w:pageBreakBefore w:val="0"/>
        <w:tabs>
          <w:tab w:val="left" w:pos="5465"/>
        </w:tabs>
        <w:kinsoku/>
        <w:wordWrap/>
        <w:overflowPunct/>
        <w:topLinePunct w:val="0"/>
        <w:autoSpaceDE/>
        <w:autoSpaceDN/>
        <w:bidi w:val="0"/>
        <w:adjustRightInd/>
        <w:snapToGrid/>
        <w:spacing w:line="580" w:lineRule="exact"/>
        <w:ind w:firstLine="6400" w:firstLineChars="2000"/>
        <w:rPr>
          <w:rFonts w:hint="eastAsia" w:ascii="仿宋" w:hAnsi="仿宋" w:eastAsia="仿宋" w:cs="仿宋"/>
          <w:sz w:val="32"/>
          <w:szCs w:val="32"/>
        </w:rPr>
      </w:pPr>
    </w:p>
    <w:p>
      <w:pPr>
        <w:keepNext w:val="0"/>
        <w:keepLines w:val="0"/>
        <w:pageBreakBefore w:val="0"/>
        <w:tabs>
          <w:tab w:val="left" w:pos="5465"/>
        </w:tabs>
        <w:kinsoku/>
        <w:wordWrap/>
        <w:overflowPunct/>
        <w:topLinePunct w:val="0"/>
        <w:autoSpaceDE/>
        <w:autoSpaceDN/>
        <w:bidi w:val="0"/>
        <w:adjustRightInd/>
        <w:snapToGrid/>
        <w:spacing w:line="580" w:lineRule="exact"/>
        <w:ind w:firstLine="4560" w:firstLineChars="1500"/>
        <w:rPr>
          <w:rFonts w:hint="eastAsia" w:ascii="仿宋" w:hAnsi="仿宋" w:eastAsia="仿宋" w:cs="仿宋"/>
          <w:w w:val="95"/>
          <w:sz w:val="32"/>
          <w:szCs w:val="32"/>
        </w:rPr>
      </w:pPr>
      <w:r>
        <w:rPr>
          <w:rFonts w:hint="eastAsia" w:ascii="仿宋" w:hAnsi="仿宋" w:eastAsia="仿宋" w:cs="仿宋"/>
          <w:w w:val="95"/>
          <w:sz w:val="32"/>
          <w:szCs w:val="32"/>
        </w:rPr>
        <w:t>武冈市</w:t>
      </w:r>
      <w:r>
        <w:rPr>
          <w:rFonts w:hint="eastAsia" w:ascii="仿宋" w:hAnsi="仿宋" w:eastAsia="仿宋"/>
          <w:sz w:val="32"/>
          <w:szCs w:val="32"/>
          <w:lang w:eastAsia="zh-CN"/>
        </w:rPr>
        <w:t>环境卫生服务中心</w:t>
      </w:r>
    </w:p>
    <w:p>
      <w:pPr>
        <w:keepNext w:val="0"/>
        <w:keepLines w:val="0"/>
        <w:pageBreakBefore w:val="0"/>
        <w:kinsoku/>
        <w:wordWrap/>
        <w:overflowPunct/>
        <w:topLinePunct w:val="0"/>
        <w:autoSpaceDE/>
        <w:autoSpaceDN/>
        <w:bidi w:val="0"/>
        <w:adjustRightInd/>
        <w:snapToGrid/>
        <w:spacing w:line="580" w:lineRule="exact"/>
        <w:jc w:val="center"/>
        <w:rPr>
          <w:rFonts w:hint="eastAsia" w:ascii="仿宋" w:hAnsi="仿宋" w:eastAsia="仿宋" w:cs="仿宋"/>
          <w:sz w:val="32"/>
          <w:szCs w:val="32"/>
        </w:rPr>
      </w:pP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月1</w:t>
      </w:r>
      <w:r>
        <w:rPr>
          <w:rFonts w:hint="eastAsia" w:ascii="仿宋" w:hAnsi="仿宋" w:eastAsia="仿宋" w:cs="仿宋"/>
          <w:sz w:val="32"/>
          <w:szCs w:val="32"/>
          <w:lang w:val="en-US" w:eastAsia="zh-CN"/>
        </w:rPr>
        <w:t>0</w:t>
      </w:r>
      <w:r>
        <w:rPr>
          <w:rFonts w:hint="eastAsia" w:ascii="仿宋" w:hAnsi="仿宋" w:eastAsia="仿宋" w:cs="仿宋"/>
          <w:sz w:val="32"/>
          <w:szCs w:val="32"/>
        </w:rPr>
        <w:t>日</w:t>
      </w:r>
    </w:p>
    <w:p/>
    <w:p/>
    <w:sectPr>
      <w:footerReference r:id="rId3" w:type="default"/>
      <w:footerReference r:id="rId4" w:type="even"/>
      <w:pgSz w:w="11906" w:h="16838"/>
      <w:pgMar w:top="1247" w:right="1701" w:bottom="1247" w:left="1701" w:header="851" w:footer="992" w:gutter="0"/>
      <w:pgBorders>
        <w:top w:val="none" w:sz="0" w:space="0"/>
        <w:left w:val="none" w:sz="0" w:space="0"/>
        <w:bottom w:val="none" w:sz="0" w:space="0"/>
        <w:right w:val="none" w:sz="0" w:space="0"/>
      </w:pgBorders>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001010101"/>
    <w:charset w:val="86"/>
    <w:family w:val="auto"/>
    <w:pitch w:val="default"/>
    <w:sig w:usb0="00000000" w:usb1="00000000" w:usb2="00000000" w:usb3="00000000" w:csb0="00040000" w:csb1="00000000"/>
  </w:font>
  <w:font w:name="方正大标宋简体">
    <w:altName w:val="微软雅黑"/>
    <w:panose1 w:val="020106010300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6</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F3B27B"/>
    <w:multiLevelType w:val="singleLevel"/>
    <w:tmpl w:val="C8F3B27B"/>
    <w:lvl w:ilvl="0" w:tentative="0">
      <w:start w:val="3"/>
      <w:numFmt w:val="chineseCounting"/>
      <w:suff w:val="nothing"/>
      <w:lvlText w:val="（%1）"/>
      <w:lvlJc w:val="left"/>
      <w:rPr>
        <w:rFonts w:hint="eastAsia"/>
      </w:rPr>
    </w:lvl>
  </w:abstractNum>
  <w:abstractNum w:abstractNumId="1">
    <w:nsid w:val="074D3D59"/>
    <w:multiLevelType w:val="multilevel"/>
    <w:tmpl w:val="074D3D59"/>
    <w:lvl w:ilvl="0" w:tentative="0">
      <w:start w:val="1"/>
      <w:numFmt w:val="japaneseCounting"/>
      <w:lvlText w:val="（%1）"/>
      <w:lvlJc w:val="left"/>
      <w:pPr>
        <w:ind w:left="1710" w:hanging="1080"/>
      </w:pPr>
      <w:rPr>
        <w:rFonts w:hint="default"/>
      </w:rPr>
    </w:lvl>
    <w:lvl w:ilvl="1" w:tentative="0">
      <w:start w:val="1"/>
      <w:numFmt w:val="lowerLetter"/>
      <w:lvlText w:val="%2)"/>
      <w:lvlJc w:val="left"/>
      <w:pPr>
        <w:ind w:left="1241" w:hanging="420"/>
      </w:pPr>
    </w:lvl>
    <w:lvl w:ilvl="2" w:tentative="0">
      <w:start w:val="1"/>
      <w:numFmt w:val="lowerRoman"/>
      <w:lvlText w:val="%3."/>
      <w:lvlJc w:val="right"/>
      <w:pPr>
        <w:ind w:left="1661" w:hanging="420"/>
      </w:pPr>
    </w:lvl>
    <w:lvl w:ilvl="3" w:tentative="0">
      <w:start w:val="1"/>
      <w:numFmt w:val="decimal"/>
      <w:lvlText w:val="%4."/>
      <w:lvlJc w:val="left"/>
      <w:pPr>
        <w:ind w:left="2081" w:hanging="420"/>
      </w:pPr>
    </w:lvl>
    <w:lvl w:ilvl="4" w:tentative="0">
      <w:start w:val="1"/>
      <w:numFmt w:val="lowerLetter"/>
      <w:lvlText w:val="%5)"/>
      <w:lvlJc w:val="left"/>
      <w:pPr>
        <w:ind w:left="2501" w:hanging="420"/>
      </w:pPr>
    </w:lvl>
    <w:lvl w:ilvl="5" w:tentative="0">
      <w:start w:val="1"/>
      <w:numFmt w:val="lowerRoman"/>
      <w:lvlText w:val="%6."/>
      <w:lvlJc w:val="right"/>
      <w:pPr>
        <w:ind w:left="2921" w:hanging="420"/>
      </w:pPr>
    </w:lvl>
    <w:lvl w:ilvl="6" w:tentative="0">
      <w:start w:val="1"/>
      <w:numFmt w:val="decimal"/>
      <w:lvlText w:val="%7."/>
      <w:lvlJc w:val="left"/>
      <w:pPr>
        <w:ind w:left="3341" w:hanging="420"/>
      </w:pPr>
    </w:lvl>
    <w:lvl w:ilvl="7" w:tentative="0">
      <w:start w:val="1"/>
      <w:numFmt w:val="lowerLetter"/>
      <w:lvlText w:val="%8)"/>
      <w:lvlJc w:val="left"/>
      <w:pPr>
        <w:ind w:left="3761" w:hanging="420"/>
      </w:pPr>
    </w:lvl>
    <w:lvl w:ilvl="8" w:tentative="0">
      <w:start w:val="1"/>
      <w:numFmt w:val="lowerRoman"/>
      <w:lvlText w:val="%9."/>
      <w:lvlJc w:val="right"/>
      <w:pPr>
        <w:ind w:left="4181" w:hanging="420"/>
      </w:pPr>
    </w:lvl>
  </w:abstractNum>
  <w:abstractNum w:abstractNumId="2">
    <w:nsid w:val="3E405D60"/>
    <w:multiLevelType w:val="multilevel"/>
    <w:tmpl w:val="3E405D60"/>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EC3892"/>
    <w:rsid w:val="02FD02B4"/>
    <w:rsid w:val="09B57FB9"/>
    <w:rsid w:val="13A9191D"/>
    <w:rsid w:val="149E65A2"/>
    <w:rsid w:val="17AC2E57"/>
    <w:rsid w:val="255003B7"/>
    <w:rsid w:val="257A2543"/>
    <w:rsid w:val="28E7226B"/>
    <w:rsid w:val="2CAE6D69"/>
    <w:rsid w:val="302A6138"/>
    <w:rsid w:val="31ED04E7"/>
    <w:rsid w:val="33E4222A"/>
    <w:rsid w:val="39ED1A80"/>
    <w:rsid w:val="44575406"/>
    <w:rsid w:val="486B7BE1"/>
    <w:rsid w:val="49EC3892"/>
    <w:rsid w:val="4FD35134"/>
    <w:rsid w:val="52337ED5"/>
    <w:rsid w:val="53B6594A"/>
    <w:rsid w:val="58085D58"/>
    <w:rsid w:val="583A4986"/>
    <w:rsid w:val="5CED2C4C"/>
    <w:rsid w:val="5D2F7BB8"/>
    <w:rsid w:val="5D925D65"/>
    <w:rsid w:val="5F9642B5"/>
    <w:rsid w:val="60A02CD1"/>
    <w:rsid w:val="68086165"/>
    <w:rsid w:val="6F44267C"/>
    <w:rsid w:val="71F85879"/>
    <w:rsid w:val="731A7182"/>
    <w:rsid w:val="762E7C95"/>
    <w:rsid w:val="7DD10F3B"/>
    <w:rsid w:val="7DFA7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jc w:val="left"/>
    </w:pPr>
    <w:rPr>
      <w:rFonts w:ascii="宋体" w:hAnsi="宋体" w:cs="宋体"/>
      <w:kern w:val="0"/>
      <w:sz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qFormat/>
    <w:uiPriority w:val="0"/>
  </w:style>
  <w:style w:type="paragraph" w:customStyle="1" w:styleId="9">
    <w:name w:val="List Paragraph"/>
    <w:basedOn w:val="1"/>
    <w:qFormat/>
    <w:uiPriority w:val="34"/>
    <w:pPr>
      <w:ind w:firstLine="420" w:firstLineChars="200"/>
    </w:p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2021-09-09T07:41:00Z</dcterms:created>
  <dc:creator>admin</dc:creator>
  <cp:lastModifiedBy>艾儿</cp:lastModifiedBy>
  <cp:lastPrinted>2021-09-22T01:40:00Z</cp:lastPrinted>
  <dcterms:modified xsi:type="dcterms:W3CDTF">2021-09-24T07:11:40Z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E2B35B9967504C8A9DF9697927409B92</vt:lpwstr>
  </property>
</Properties>
</file>