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粗宋简体" w:hAnsi="方正粗宋简体" w:eastAsia="方正粗宋简体" w:cs="方正粗宋简体"/>
          <w:color w:val="222222"/>
          <w:kern w:val="0"/>
          <w:sz w:val="36"/>
          <w:szCs w:val="36"/>
        </w:rPr>
      </w:pPr>
      <w:r>
        <w:rPr>
          <w:rFonts w:hint="eastAsia" w:ascii="方正粗宋简体" w:hAnsi="方正粗宋简体" w:eastAsia="方正粗宋简体" w:cs="方正粗宋简体"/>
          <w:color w:val="222222"/>
          <w:kern w:val="0"/>
          <w:sz w:val="36"/>
          <w:szCs w:val="36"/>
        </w:rPr>
        <w:t>武冈市统计局部门整体支出</w:t>
      </w:r>
    </w:p>
    <w:p>
      <w:pPr>
        <w:spacing w:line="440" w:lineRule="exact"/>
        <w:jc w:val="center"/>
        <w:rPr>
          <w:rFonts w:ascii="方正粗宋简体" w:hAnsi="方正粗宋简体" w:eastAsia="方正粗宋简体" w:cs="方正粗宋简体"/>
          <w:color w:val="222222"/>
          <w:kern w:val="0"/>
          <w:sz w:val="36"/>
          <w:szCs w:val="36"/>
        </w:rPr>
      </w:pPr>
      <w:r>
        <w:rPr>
          <w:rFonts w:hint="eastAsia" w:ascii="方正粗宋简体" w:hAnsi="方正粗宋简体" w:eastAsia="方正粗宋简体" w:cs="方正粗宋简体"/>
          <w:color w:val="222222"/>
          <w:kern w:val="0"/>
          <w:sz w:val="36"/>
          <w:szCs w:val="36"/>
        </w:rPr>
        <w:t>绩效评价报告</w:t>
      </w:r>
      <w:bookmarkStart w:id="0" w:name="_GoBack"/>
      <w:bookmarkEnd w:id="0"/>
    </w:p>
    <w:p>
      <w:pPr>
        <w:spacing w:line="440" w:lineRule="exact"/>
        <w:jc w:val="center"/>
        <w:rPr>
          <w:rFonts w:ascii="方正粗宋简体" w:hAnsi="方正粗宋简体" w:eastAsia="方正粗宋简体" w:cs="方正粗宋简体"/>
          <w:color w:val="222222"/>
          <w:kern w:val="0"/>
          <w:sz w:val="36"/>
          <w:szCs w:val="36"/>
        </w:rPr>
      </w:pPr>
    </w:p>
    <w:p>
      <w:pPr>
        <w:spacing w:line="440" w:lineRule="exact"/>
        <w:ind w:firstLine="560" w:firstLineChars="200"/>
        <w:rPr>
          <w:rFonts w:ascii="宋体"/>
          <w:kern w:val="0"/>
          <w:sz w:val="28"/>
          <w:szCs w:val="28"/>
        </w:rPr>
      </w:pPr>
      <w:r>
        <w:rPr>
          <w:rFonts w:hint="eastAsia" w:ascii="宋体" w:hAnsi="宋体"/>
          <w:kern w:val="0"/>
          <w:sz w:val="28"/>
          <w:szCs w:val="28"/>
        </w:rPr>
        <w:t>市财政局：</w:t>
      </w:r>
    </w:p>
    <w:p>
      <w:pPr>
        <w:spacing w:line="520" w:lineRule="exact"/>
        <w:ind w:firstLine="560" w:firstLineChars="200"/>
        <w:rPr>
          <w:kern w:val="0"/>
          <w:sz w:val="20"/>
          <w:szCs w:val="20"/>
        </w:rPr>
      </w:pPr>
      <w:r>
        <w:rPr>
          <w:rFonts w:hint="eastAsia" w:ascii="宋体" w:hAnsi="宋体"/>
          <w:kern w:val="0"/>
          <w:sz w:val="28"/>
          <w:szCs w:val="28"/>
        </w:rPr>
        <w:t>按照市财政局关于绩效评价文件要求，现将我局部门整体支出绩效评价情况报告如下：</w:t>
      </w:r>
    </w:p>
    <w:p>
      <w:pPr>
        <w:spacing w:line="520" w:lineRule="exact"/>
        <w:ind w:firstLine="640"/>
        <w:rPr>
          <w:rFonts w:ascii="黑体" w:hAnsi="黑体" w:eastAsia="黑体" w:cs="黑体"/>
          <w:kern w:val="0"/>
          <w:sz w:val="28"/>
          <w:szCs w:val="28"/>
        </w:rPr>
      </w:pPr>
      <w:r>
        <w:rPr>
          <w:rFonts w:hint="eastAsia" w:ascii="黑体" w:hAnsi="黑体" w:eastAsia="黑体" w:cs="黑体"/>
          <w:kern w:val="0"/>
          <w:sz w:val="28"/>
          <w:szCs w:val="28"/>
        </w:rPr>
        <w:t>一、基本情况</w:t>
      </w:r>
    </w:p>
    <w:p>
      <w:pPr>
        <w:spacing w:line="520" w:lineRule="exact"/>
        <w:ind w:firstLine="643"/>
        <w:rPr>
          <w:kern w:val="0"/>
          <w:sz w:val="20"/>
          <w:szCs w:val="20"/>
        </w:rPr>
      </w:pPr>
      <w:r>
        <w:rPr>
          <w:rFonts w:hint="eastAsia" w:ascii="宋体" w:hAnsi="宋体"/>
          <w:b/>
          <w:bCs/>
          <w:kern w:val="0"/>
          <w:sz w:val="28"/>
          <w:szCs w:val="28"/>
        </w:rPr>
        <w:t>（一）</w:t>
      </w:r>
      <w:r>
        <w:rPr>
          <w:rFonts w:ascii="宋体" w:hAnsi="宋体"/>
          <w:b/>
          <w:bCs/>
          <w:kern w:val="0"/>
          <w:sz w:val="28"/>
          <w:szCs w:val="28"/>
        </w:rPr>
        <w:t xml:space="preserve"> </w:t>
      </w:r>
      <w:r>
        <w:rPr>
          <w:rFonts w:hint="eastAsia" w:ascii="宋体" w:hAnsi="宋体"/>
          <w:b/>
          <w:bCs/>
          <w:kern w:val="0"/>
          <w:sz w:val="28"/>
          <w:szCs w:val="28"/>
        </w:rPr>
        <w:t>机构、人员构成</w:t>
      </w:r>
    </w:p>
    <w:p>
      <w:pPr>
        <w:spacing w:line="520" w:lineRule="exact"/>
        <w:ind w:firstLine="640"/>
        <w:rPr>
          <w:rFonts w:ascii="宋体"/>
          <w:kern w:val="0"/>
          <w:sz w:val="28"/>
          <w:szCs w:val="28"/>
        </w:rPr>
      </w:pPr>
      <w:r>
        <w:rPr>
          <w:rFonts w:hint="eastAsia" w:ascii="宋体" w:hAnsi="宋体"/>
          <w:kern w:val="0"/>
          <w:sz w:val="28"/>
          <w:szCs w:val="28"/>
        </w:rPr>
        <w:t>武冈市统计局是负责本市统计和国民经济核算工作的政府工作部门。现有内设股室</w:t>
      </w:r>
      <w:r>
        <w:rPr>
          <w:rFonts w:ascii="宋体" w:hAnsi="宋体"/>
          <w:kern w:val="0"/>
          <w:sz w:val="28"/>
          <w:szCs w:val="28"/>
        </w:rPr>
        <w:t>4</w:t>
      </w:r>
      <w:r>
        <w:rPr>
          <w:rFonts w:hint="eastAsia" w:ascii="宋体" w:hAnsi="宋体"/>
          <w:kern w:val="0"/>
          <w:sz w:val="28"/>
          <w:szCs w:val="28"/>
        </w:rPr>
        <w:t>个，有</w:t>
      </w:r>
      <w:r>
        <w:rPr>
          <w:rFonts w:ascii="宋体" w:hAnsi="宋体"/>
          <w:kern w:val="0"/>
          <w:sz w:val="28"/>
          <w:szCs w:val="28"/>
        </w:rPr>
        <w:t>2</w:t>
      </w:r>
      <w:r>
        <w:rPr>
          <w:rFonts w:hint="eastAsia" w:ascii="宋体" w:hAnsi="宋体"/>
          <w:kern w:val="0"/>
          <w:sz w:val="28"/>
          <w:szCs w:val="28"/>
        </w:rPr>
        <w:t>个二级机构即财政全额拨款事业单位分别是武冈市社情民意调查中心（普查中心）、武冈市社会经济调查队。</w:t>
      </w:r>
    </w:p>
    <w:p>
      <w:pPr>
        <w:spacing w:line="520" w:lineRule="exact"/>
        <w:ind w:firstLine="640"/>
        <w:rPr>
          <w:rFonts w:ascii="宋体"/>
          <w:kern w:val="0"/>
          <w:sz w:val="28"/>
          <w:szCs w:val="28"/>
        </w:rPr>
      </w:pPr>
      <w:r>
        <w:rPr>
          <w:rFonts w:hint="eastAsia" w:ascii="宋体" w:hAnsi="宋体"/>
          <w:kern w:val="0"/>
          <w:sz w:val="28"/>
          <w:szCs w:val="28"/>
        </w:rPr>
        <w:t>根据编委核定，我局内设股室</w:t>
      </w:r>
      <w:r>
        <w:rPr>
          <w:rFonts w:ascii="宋体" w:hAnsi="宋体"/>
          <w:kern w:val="0"/>
          <w:sz w:val="28"/>
          <w:szCs w:val="28"/>
        </w:rPr>
        <w:t>4</w:t>
      </w:r>
      <w:r>
        <w:rPr>
          <w:rFonts w:hint="eastAsia" w:ascii="宋体" w:hAnsi="宋体"/>
          <w:kern w:val="0"/>
          <w:sz w:val="28"/>
          <w:szCs w:val="28"/>
        </w:rPr>
        <w:t>个。内设股室分别是人秘股、综合核算社会统计股（计算机管理股）、工业能源和生态资源统计股、统计法规督查股（人口商贸统计股）；所属单位是武冈市社情民意调查中心（普查中心）。共有编制人数</w:t>
      </w:r>
      <w:r>
        <w:rPr>
          <w:rFonts w:ascii="宋体" w:hAnsi="宋体"/>
          <w:kern w:val="0"/>
          <w:sz w:val="28"/>
          <w:szCs w:val="28"/>
        </w:rPr>
        <w:t>16</w:t>
      </w:r>
      <w:r>
        <w:rPr>
          <w:rFonts w:hint="eastAsia" w:ascii="宋体" w:hAnsi="宋体"/>
          <w:kern w:val="0"/>
          <w:sz w:val="28"/>
          <w:szCs w:val="28"/>
        </w:rPr>
        <w:t>人，其中行政</w:t>
      </w:r>
      <w:r>
        <w:rPr>
          <w:rFonts w:ascii="宋体" w:hAnsi="宋体"/>
          <w:kern w:val="0"/>
          <w:sz w:val="28"/>
          <w:szCs w:val="28"/>
        </w:rPr>
        <w:t>8</w:t>
      </w:r>
      <w:r>
        <w:rPr>
          <w:rFonts w:hint="eastAsia" w:ascii="宋体" w:hAnsi="宋体"/>
          <w:kern w:val="0"/>
          <w:sz w:val="28"/>
          <w:szCs w:val="28"/>
        </w:rPr>
        <w:t>人，事业编制</w:t>
      </w:r>
      <w:r>
        <w:rPr>
          <w:rFonts w:ascii="宋体" w:hAnsi="宋体"/>
          <w:kern w:val="0"/>
          <w:sz w:val="28"/>
          <w:szCs w:val="28"/>
        </w:rPr>
        <w:t>7</w:t>
      </w:r>
      <w:r>
        <w:rPr>
          <w:rFonts w:hint="eastAsia" w:ascii="宋体" w:hAnsi="宋体"/>
          <w:kern w:val="0"/>
          <w:sz w:val="28"/>
          <w:szCs w:val="28"/>
        </w:rPr>
        <w:t>人，工勤编制</w:t>
      </w:r>
      <w:r>
        <w:rPr>
          <w:rFonts w:ascii="宋体" w:hAnsi="宋体"/>
          <w:kern w:val="0"/>
          <w:sz w:val="28"/>
          <w:szCs w:val="28"/>
        </w:rPr>
        <w:t>1</w:t>
      </w:r>
      <w:r>
        <w:rPr>
          <w:rFonts w:hint="eastAsia" w:ascii="宋体" w:hAnsi="宋体"/>
          <w:kern w:val="0"/>
          <w:sz w:val="28"/>
          <w:szCs w:val="28"/>
        </w:rPr>
        <w:t>人。现实有人数</w:t>
      </w:r>
      <w:r>
        <w:rPr>
          <w:rFonts w:ascii="宋体" w:hAnsi="宋体"/>
          <w:kern w:val="0"/>
          <w:sz w:val="28"/>
          <w:szCs w:val="28"/>
        </w:rPr>
        <w:t xml:space="preserve"> 12</w:t>
      </w:r>
      <w:r>
        <w:rPr>
          <w:rFonts w:hint="eastAsia" w:ascii="宋体" w:hAnsi="宋体"/>
          <w:kern w:val="0"/>
          <w:sz w:val="28"/>
          <w:szCs w:val="28"/>
        </w:rPr>
        <w:t>人，其中在职在岗</w:t>
      </w:r>
      <w:r>
        <w:rPr>
          <w:rFonts w:ascii="宋体" w:hAnsi="宋体"/>
          <w:kern w:val="0"/>
          <w:sz w:val="28"/>
          <w:szCs w:val="28"/>
        </w:rPr>
        <w:t>12</w:t>
      </w:r>
      <w:r>
        <w:rPr>
          <w:rFonts w:hint="eastAsia" w:ascii="宋体" w:hAnsi="宋体"/>
          <w:kern w:val="0"/>
          <w:sz w:val="28"/>
          <w:szCs w:val="28"/>
        </w:rPr>
        <w:t>人，离退休</w:t>
      </w:r>
      <w:r>
        <w:rPr>
          <w:rFonts w:ascii="宋体" w:hAnsi="宋体"/>
          <w:kern w:val="0"/>
          <w:sz w:val="28"/>
          <w:szCs w:val="28"/>
        </w:rPr>
        <w:t xml:space="preserve"> 11</w:t>
      </w:r>
      <w:r>
        <w:rPr>
          <w:rFonts w:hint="eastAsia" w:ascii="宋体" w:hAnsi="宋体"/>
          <w:kern w:val="0"/>
          <w:sz w:val="28"/>
          <w:szCs w:val="28"/>
        </w:rPr>
        <w:t>人，单位负担遗属人数</w:t>
      </w:r>
      <w:r>
        <w:rPr>
          <w:rFonts w:ascii="宋体" w:hAnsi="宋体"/>
          <w:kern w:val="0"/>
          <w:sz w:val="28"/>
          <w:szCs w:val="28"/>
        </w:rPr>
        <w:t>1</w:t>
      </w:r>
      <w:r>
        <w:rPr>
          <w:rFonts w:hint="eastAsia" w:ascii="宋体" w:hAnsi="宋体"/>
          <w:kern w:val="0"/>
          <w:sz w:val="28"/>
          <w:szCs w:val="28"/>
        </w:rPr>
        <w:t>人。</w:t>
      </w:r>
    </w:p>
    <w:p>
      <w:pPr>
        <w:spacing w:line="520" w:lineRule="exact"/>
        <w:ind w:firstLine="643"/>
        <w:rPr>
          <w:kern w:val="0"/>
          <w:sz w:val="20"/>
          <w:szCs w:val="20"/>
        </w:rPr>
      </w:pPr>
      <w:r>
        <w:rPr>
          <w:rFonts w:hint="eastAsia" w:ascii="宋体" w:hAnsi="宋体"/>
          <w:b/>
          <w:bCs/>
          <w:kern w:val="0"/>
          <w:sz w:val="28"/>
          <w:szCs w:val="28"/>
        </w:rPr>
        <w:t>（二）</w:t>
      </w:r>
      <w:r>
        <w:rPr>
          <w:rFonts w:ascii="宋体" w:hAnsi="宋体"/>
          <w:b/>
          <w:bCs/>
          <w:kern w:val="0"/>
          <w:sz w:val="28"/>
          <w:szCs w:val="28"/>
        </w:rPr>
        <w:t xml:space="preserve"> </w:t>
      </w:r>
      <w:r>
        <w:rPr>
          <w:rFonts w:hint="eastAsia" w:ascii="宋体" w:hAnsi="宋体"/>
          <w:b/>
          <w:bCs/>
          <w:kern w:val="0"/>
          <w:sz w:val="28"/>
          <w:szCs w:val="28"/>
        </w:rPr>
        <w:t>单位主要职责</w:t>
      </w:r>
    </w:p>
    <w:p>
      <w:pPr>
        <w:spacing w:line="520" w:lineRule="exact"/>
        <w:ind w:firstLine="643"/>
        <w:rPr>
          <w:rFonts w:ascii="宋体"/>
          <w:kern w:val="0"/>
          <w:sz w:val="28"/>
          <w:szCs w:val="28"/>
        </w:rPr>
      </w:pPr>
      <w:r>
        <w:rPr>
          <w:rFonts w:hint="eastAsia" w:ascii="宋体" w:hAnsi="宋体"/>
          <w:kern w:val="0"/>
          <w:sz w:val="28"/>
          <w:szCs w:val="28"/>
        </w:rPr>
        <w:t>市政府工作部门，主管全市统计和国民经济核算工作。</w:t>
      </w:r>
    </w:p>
    <w:p>
      <w:pPr>
        <w:spacing w:line="520" w:lineRule="exact"/>
        <w:ind w:firstLine="643"/>
        <w:rPr>
          <w:rFonts w:ascii="宋体"/>
          <w:kern w:val="0"/>
          <w:sz w:val="28"/>
          <w:szCs w:val="28"/>
        </w:rPr>
      </w:pPr>
      <w:r>
        <w:rPr>
          <w:rFonts w:hint="eastAsia" w:ascii="宋体" w:hAnsi="宋体"/>
          <w:kern w:val="0"/>
          <w:sz w:val="28"/>
          <w:szCs w:val="28"/>
        </w:rPr>
        <w:t>主要职责是：</w:t>
      </w:r>
    </w:p>
    <w:p>
      <w:pPr>
        <w:spacing w:line="520" w:lineRule="exact"/>
        <w:ind w:firstLine="643"/>
        <w:rPr>
          <w:rFonts w:ascii="宋体"/>
          <w:kern w:val="0"/>
          <w:sz w:val="28"/>
          <w:szCs w:val="28"/>
        </w:rPr>
      </w:pPr>
      <w:r>
        <w:rPr>
          <w:rFonts w:ascii="宋体" w:hAnsi="宋体"/>
          <w:kern w:val="0"/>
          <w:sz w:val="28"/>
          <w:szCs w:val="28"/>
        </w:rPr>
        <w:t>1</w:t>
      </w:r>
      <w:r>
        <w:rPr>
          <w:rFonts w:hint="eastAsia" w:ascii="宋体" w:hAnsi="宋体"/>
          <w:kern w:val="0"/>
          <w:sz w:val="28"/>
          <w:szCs w:val="28"/>
        </w:rPr>
        <w:t>、贯彻执行国家统计工作的方针、政策和统计法律法规，研究统计制度和统计方法的改革，完成国家和地方统计调查任务；组织领导和协调全市统计工作，确保统计数据真实、准确、及时；监督检查统计法律法规的实施情况，查处各类统计违法行为。</w:t>
      </w:r>
    </w:p>
    <w:p>
      <w:pPr>
        <w:spacing w:line="520" w:lineRule="exact"/>
        <w:ind w:firstLine="643"/>
        <w:rPr>
          <w:rFonts w:ascii="宋体"/>
          <w:kern w:val="0"/>
          <w:sz w:val="28"/>
          <w:szCs w:val="28"/>
        </w:rPr>
      </w:pPr>
      <w:r>
        <w:rPr>
          <w:rFonts w:ascii="宋体" w:hAnsi="宋体"/>
          <w:kern w:val="0"/>
          <w:sz w:val="28"/>
          <w:szCs w:val="28"/>
        </w:rPr>
        <w:t>2</w:t>
      </w:r>
      <w:r>
        <w:rPr>
          <w:rFonts w:hint="eastAsia" w:ascii="宋体" w:hAnsi="宋体"/>
          <w:kern w:val="0"/>
          <w:sz w:val="28"/>
          <w:szCs w:val="28"/>
        </w:rPr>
        <w:t>、制定并组织实施全市统计改革和统计现代化建设规划及统计调查计划，建立健全国民经济核算体系和统计指标体系，组织实施全市国民经济核算制度和全市投入产出调查，核算全市地方生产总值，汇编提供国民经济核算资料，监督管理全市国民经济核算工作。</w:t>
      </w:r>
    </w:p>
    <w:p>
      <w:pPr>
        <w:spacing w:line="520" w:lineRule="exact"/>
        <w:ind w:firstLine="643"/>
        <w:rPr>
          <w:rFonts w:ascii="宋体"/>
          <w:kern w:val="0"/>
          <w:sz w:val="28"/>
          <w:szCs w:val="28"/>
        </w:rPr>
      </w:pPr>
      <w:r>
        <w:rPr>
          <w:rFonts w:ascii="宋体" w:hAnsi="宋体"/>
          <w:kern w:val="0"/>
          <w:sz w:val="28"/>
          <w:szCs w:val="28"/>
        </w:rPr>
        <w:t>3</w:t>
      </w:r>
      <w:r>
        <w:rPr>
          <w:rFonts w:hint="eastAsia" w:ascii="宋体" w:hAnsi="宋体"/>
          <w:kern w:val="0"/>
          <w:sz w:val="28"/>
          <w:szCs w:val="28"/>
        </w:rPr>
        <w:t>、会同有关部门拟订重大普查计划与方案，组织实施全市人口、经济、农业等重大普查，汇总、整理和提供有关方面的统计数据。</w:t>
      </w:r>
    </w:p>
    <w:p>
      <w:pPr>
        <w:spacing w:line="520" w:lineRule="exact"/>
        <w:ind w:firstLine="643"/>
        <w:rPr>
          <w:rFonts w:ascii="宋体"/>
          <w:spacing w:val="6"/>
          <w:kern w:val="0"/>
          <w:sz w:val="28"/>
          <w:szCs w:val="28"/>
        </w:rPr>
      </w:pPr>
      <w:r>
        <w:rPr>
          <w:rFonts w:ascii="宋体" w:hAnsi="宋体"/>
          <w:spacing w:val="6"/>
          <w:kern w:val="0"/>
          <w:sz w:val="28"/>
          <w:szCs w:val="28"/>
        </w:rPr>
        <w:t>4</w:t>
      </w:r>
      <w:r>
        <w:rPr>
          <w:rFonts w:hint="eastAsia" w:ascii="宋体" w:hAnsi="宋体"/>
          <w:spacing w:val="6"/>
          <w:kern w:val="0"/>
          <w:sz w:val="28"/>
          <w:szCs w:val="28"/>
        </w:rPr>
        <w:t>、组织实施农林牧渔业、工业、建筑业、批发和零售业、住宿和餐饮业、房地产业、租赁和商务服务业、居民服务和其他服务业、文化体育和娱乐业以及装卸搬运和其他运输服务业、仓储业、计算机服务业、软件业、科技交流和推广服务业、社会福利业等统计调查，收集、汇总、整理和提供有关调查的统计数据，综合整理和提供地质勘查、旅游、交通运输、邮政、教育、卫生、社会保障、公用事业等全市性基本统计数据。</w:t>
      </w:r>
    </w:p>
    <w:p>
      <w:pPr>
        <w:spacing w:line="520" w:lineRule="exact"/>
        <w:ind w:firstLine="643"/>
        <w:rPr>
          <w:rFonts w:ascii="宋体"/>
          <w:kern w:val="0"/>
          <w:sz w:val="28"/>
          <w:szCs w:val="28"/>
        </w:rPr>
      </w:pPr>
      <w:r>
        <w:rPr>
          <w:rFonts w:ascii="宋体" w:hAnsi="宋体"/>
          <w:kern w:val="0"/>
          <w:sz w:val="28"/>
          <w:szCs w:val="28"/>
        </w:rPr>
        <w:t>5</w:t>
      </w:r>
      <w:r>
        <w:rPr>
          <w:rFonts w:hint="eastAsia" w:ascii="宋体" w:hAnsi="宋体"/>
          <w:kern w:val="0"/>
          <w:sz w:val="28"/>
          <w:szCs w:val="28"/>
        </w:rPr>
        <w:t>、组织实施能源、投资、消费、价格、收入、科技、人口、劳动力、社会发展基本情况、环境基本状况等统计调查，收集、汇总、整理和提供有关调查的统计数据，综合整理和提供资源、房屋、对外贸易、对外经济等全市性基本统计数据。</w:t>
      </w:r>
    </w:p>
    <w:p>
      <w:pPr>
        <w:spacing w:line="520" w:lineRule="exact"/>
        <w:ind w:firstLine="643"/>
        <w:rPr>
          <w:rFonts w:ascii="宋体"/>
          <w:kern w:val="0"/>
          <w:sz w:val="28"/>
          <w:szCs w:val="28"/>
        </w:rPr>
      </w:pPr>
      <w:r>
        <w:rPr>
          <w:rFonts w:ascii="宋体" w:hAnsi="宋体"/>
          <w:kern w:val="0"/>
          <w:sz w:val="28"/>
          <w:szCs w:val="28"/>
        </w:rPr>
        <w:t>6</w:t>
      </w:r>
      <w:r>
        <w:rPr>
          <w:rFonts w:hint="eastAsia" w:ascii="宋体" w:hAnsi="宋体"/>
          <w:kern w:val="0"/>
          <w:sz w:val="28"/>
          <w:szCs w:val="28"/>
        </w:rPr>
        <w:t>、组织乡镇街道、市直各部门的经济、社会、科技和资源环境统计调查。统一核实、管理、公布全市性基本统计资料，定期发布全市国民经济和社会发展情况的统计信息，组织建立服务业统计信息管理制度、共享制度和发布制度。</w:t>
      </w:r>
    </w:p>
    <w:p>
      <w:pPr>
        <w:spacing w:line="520" w:lineRule="exact"/>
        <w:ind w:firstLine="643"/>
        <w:rPr>
          <w:rFonts w:ascii="宋体"/>
          <w:kern w:val="0"/>
          <w:sz w:val="28"/>
          <w:szCs w:val="28"/>
        </w:rPr>
      </w:pPr>
      <w:r>
        <w:rPr>
          <w:rFonts w:ascii="宋体" w:hAnsi="宋体"/>
          <w:kern w:val="0"/>
          <w:sz w:val="28"/>
          <w:szCs w:val="28"/>
        </w:rPr>
        <w:t>7</w:t>
      </w:r>
      <w:r>
        <w:rPr>
          <w:rFonts w:hint="eastAsia" w:ascii="宋体" w:hAnsi="宋体"/>
          <w:kern w:val="0"/>
          <w:sz w:val="28"/>
          <w:szCs w:val="28"/>
        </w:rPr>
        <w:t>、对国民经济、社会发展、科技进步和资源环境等情况进行统计分析、统计预测和统计监督，向市委、市政府及有关部门提供统计信息和咨询建议。</w:t>
      </w:r>
    </w:p>
    <w:p>
      <w:pPr>
        <w:spacing w:line="520" w:lineRule="exact"/>
        <w:ind w:firstLine="643"/>
        <w:rPr>
          <w:rFonts w:ascii="宋体"/>
          <w:kern w:val="0"/>
          <w:sz w:val="28"/>
          <w:szCs w:val="28"/>
        </w:rPr>
      </w:pPr>
      <w:r>
        <w:rPr>
          <w:rFonts w:ascii="宋体" w:hAnsi="宋体"/>
          <w:kern w:val="0"/>
          <w:sz w:val="28"/>
          <w:szCs w:val="28"/>
        </w:rPr>
        <w:t>8</w:t>
      </w:r>
      <w:r>
        <w:rPr>
          <w:rFonts w:hint="eastAsia" w:ascii="宋体" w:hAnsi="宋体"/>
          <w:kern w:val="0"/>
          <w:sz w:val="28"/>
          <w:szCs w:val="28"/>
        </w:rPr>
        <w:t>、依法审批或者备案地方统计调查项目和市直各部门统计调查项</w:t>
      </w:r>
      <w:r>
        <w:rPr>
          <w:rFonts w:hint="eastAsia" w:ascii="宋体" w:hAnsi="宋体"/>
          <w:spacing w:val="-6"/>
          <w:kern w:val="0"/>
          <w:sz w:val="28"/>
          <w:szCs w:val="28"/>
        </w:rPr>
        <w:t>目，指导专业统计基础工作、统计基层业务基础建设，建立健全统计数据质量审核、监察和评估制度，开展对重要统计数据的审核、监控和评估。</w:t>
      </w:r>
    </w:p>
    <w:p>
      <w:pPr>
        <w:spacing w:line="520" w:lineRule="exact"/>
        <w:ind w:firstLine="643"/>
        <w:rPr>
          <w:rFonts w:ascii="宋体"/>
          <w:kern w:val="0"/>
          <w:sz w:val="28"/>
          <w:szCs w:val="28"/>
        </w:rPr>
      </w:pPr>
      <w:r>
        <w:rPr>
          <w:rFonts w:ascii="宋体" w:hAnsi="宋体"/>
          <w:kern w:val="0"/>
          <w:sz w:val="28"/>
          <w:szCs w:val="28"/>
        </w:rPr>
        <w:t>9</w:t>
      </w:r>
      <w:r>
        <w:rPr>
          <w:rFonts w:hint="eastAsia" w:ascii="宋体" w:hAnsi="宋体"/>
          <w:kern w:val="0"/>
          <w:sz w:val="28"/>
          <w:szCs w:val="28"/>
        </w:rPr>
        <w:t>、负责全市统计专业技术队伍建设，全同有关部门组织管理全市统计专业资格考核、职务评聘和从业资格认定工作，监督管理中央和市财政安排的统计专项经费以及中央财政安排的基础建设投资。负责全市统计科研、统计教育、统计宣传工作。</w:t>
      </w:r>
    </w:p>
    <w:p>
      <w:pPr>
        <w:spacing w:line="520" w:lineRule="exact"/>
        <w:ind w:firstLine="643"/>
        <w:rPr>
          <w:rFonts w:ascii="宋体"/>
          <w:kern w:val="0"/>
          <w:sz w:val="28"/>
          <w:szCs w:val="28"/>
        </w:rPr>
      </w:pPr>
      <w:r>
        <w:rPr>
          <w:rFonts w:ascii="宋体" w:hAnsi="宋体"/>
          <w:spacing w:val="6"/>
          <w:kern w:val="0"/>
          <w:sz w:val="28"/>
          <w:szCs w:val="28"/>
        </w:rPr>
        <w:t>10</w:t>
      </w:r>
      <w:r>
        <w:rPr>
          <w:rFonts w:hint="eastAsia" w:ascii="宋体" w:hAnsi="宋体"/>
          <w:spacing w:val="6"/>
          <w:kern w:val="0"/>
          <w:sz w:val="28"/>
          <w:szCs w:val="28"/>
        </w:rPr>
        <w:t>、建立并管理全市统计信息自动化系统和统计数据库系统，组织制定各乡镇街道、市直各部门统计数据库和网络的基本标准和运行规</w:t>
      </w:r>
      <w:r>
        <w:rPr>
          <w:rFonts w:hint="eastAsia" w:ascii="宋体" w:hAnsi="宋体"/>
          <w:kern w:val="0"/>
          <w:sz w:val="28"/>
          <w:szCs w:val="28"/>
        </w:rPr>
        <w:t>则。</w:t>
      </w:r>
    </w:p>
    <w:p>
      <w:pPr>
        <w:spacing w:line="480" w:lineRule="exact"/>
        <w:ind w:firstLine="643"/>
        <w:rPr>
          <w:rFonts w:ascii="宋体"/>
          <w:kern w:val="0"/>
          <w:sz w:val="28"/>
          <w:szCs w:val="28"/>
        </w:rPr>
      </w:pPr>
      <w:r>
        <w:rPr>
          <w:rFonts w:ascii="宋体" w:hAnsi="宋体"/>
          <w:kern w:val="0"/>
          <w:sz w:val="28"/>
          <w:szCs w:val="28"/>
        </w:rPr>
        <w:t>11</w:t>
      </w:r>
      <w:r>
        <w:rPr>
          <w:rFonts w:hint="eastAsia" w:ascii="宋体" w:hAnsi="宋体"/>
          <w:kern w:val="0"/>
          <w:sz w:val="28"/>
          <w:szCs w:val="28"/>
        </w:rPr>
        <w:t>、完成市委、市人民政府交办的其他事项。</w:t>
      </w:r>
    </w:p>
    <w:p>
      <w:pPr>
        <w:spacing w:line="480" w:lineRule="exact"/>
        <w:ind w:firstLine="643"/>
        <w:rPr>
          <w:kern w:val="0"/>
          <w:sz w:val="20"/>
          <w:szCs w:val="20"/>
        </w:rPr>
      </w:pPr>
      <w:r>
        <w:rPr>
          <w:rFonts w:hint="eastAsia" w:ascii="宋体" w:hAnsi="宋体"/>
          <w:b/>
          <w:bCs/>
          <w:kern w:val="0"/>
          <w:sz w:val="28"/>
          <w:szCs w:val="28"/>
        </w:rPr>
        <w:t>（三）</w:t>
      </w:r>
      <w:r>
        <w:rPr>
          <w:rFonts w:ascii="宋体" w:hAnsi="宋体"/>
          <w:b/>
          <w:bCs/>
          <w:kern w:val="0"/>
          <w:sz w:val="28"/>
          <w:szCs w:val="28"/>
        </w:rPr>
        <w:t xml:space="preserve"> </w:t>
      </w:r>
      <w:r>
        <w:rPr>
          <w:rFonts w:hint="eastAsia" w:ascii="宋体" w:hAnsi="宋体"/>
          <w:b/>
          <w:bCs/>
          <w:kern w:val="0"/>
          <w:sz w:val="28"/>
          <w:szCs w:val="28"/>
        </w:rPr>
        <w:t>部门内部控制及厉行节约制度建设情况</w:t>
      </w:r>
    </w:p>
    <w:p>
      <w:pPr>
        <w:spacing w:line="480" w:lineRule="exact"/>
        <w:ind w:firstLine="640"/>
        <w:rPr>
          <w:rFonts w:ascii="宋体"/>
          <w:kern w:val="0"/>
          <w:sz w:val="28"/>
          <w:szCs w:val="28"/>
        </w:rPr>
      </w:pPr>
      <w:r>
        <w:rPr>
          <w:rFonts w:ascii="宋体" w:hAnsi="宋体"/>
          <w:kern w:val="0"/>
          <w:sz w:val="28"/>
          <w:szCs w:val="28"/>
        </w:rPr>
        <w:t xml:space="preserve">1. </w:t>
      </w:r>
      <w:r>
        <w:rPr>
          <w:rFonts w:hint="eastAsia" w:ascii="宋体" w:hAnsi="宋体"/>
          <w:kern w:val="0"/>
          <w:sz w:val="28"/>
          <w:szCs w:val="28"/>
        </w:rPr>
        <w:t>我局党组高度重视预算支出绩效评价工作，成立了以局长为组长，其他局领导为副组长，股室主要负责人为成员的预算支出绩效评价领导小组，明确各职能股室的评价责任，进一步强化各股室对财政预算支出管理意识。</w:t>
      </w:r>
    </w:p>
    <w:p>
      <w:pPr>
        <w:spacing w:line="480" w:lineRule="exact"/>
        <w:ind w:firstLine="640"/>
        <w:rPr>
          <w:rFonts w:ascii="宋体"/>
          <w:kern w:val="0"/>
          <w:sz w:val="28"/>
          <w:szCs w:val="28"/>
        </w:rPr>
      </w:pPr>
      <w:r>
        <w:rPr>
          <w:rFonts w:ascii="宋体" w:hAnsi="宋体"/>
          <w:kern w:val="0"/>
          <w:sz w:val="28"/>
          <w:szCs w:val="28"/>
        </w:rPr>
        <w:t xml:space="preserve">2. </w:t>
      </w:r>
      <w:r>
        <w:rPr>
          <w:rFonts w:hint="eastAsia" w:ascii="宋体" w:hAnsi="宋体"/>
          <w:kern w:val="0"/>
          <w:sz w:val="28"/>
          <w:szCs w:val="28"/>
        </w:rPr>
        <w:t>加强对国家、省级财政预算资金管理方面制度的学习培训，不断提高各职能股室的业务工作能力。及时组织局机关人员学习了</w:t>
      </w:r>
      <w:r>
        <w:rPr>
          <w:rFonts w:ascii="宋体" w:hAnsi="宋体"/>
          <w:kern w:val="0"/>
          <w:sz w:val="28"/>
          <w:szCs w:val="28"/>
        </w:rPr>
        <w:t>2020</w:t>
      </w:r>
      <w:r>
        <w:rPr>
          <w:rFonts w:hint="eastAsia" w:ascii="宋体" w:hAnsi="宋体"/>
          <w:kern w:val="0"/>
          <w:sz w:val="28"/>
          <w:szCs w:val="28"/>
        </w:rPr>
        <w:t>年省里出台的培训费、会议费</w:t>
      </w:r>
      <w:r>
        <w:rPr>
          <w:rFonts w:ascii="宋体" w:hAnsi="宋体"/>
          <w:kern w:val="0"/>
          <w:sz w:val="28"/>
          <w:szCs w:val="28"/>
        </w:rPr>
        <w:t xml:space="preserve"> </w:t>
      </w:r>
      <w:r>
        <w:rPr>
          <w:rFonts w:hint="eastAsia" w:ascii="宋体" w:hAnsi="宋体"/>
          <w:kern w:val="0"/>
          <w:sz w:val="28"/>
          <w:szCs w:val="28"/>
        </w:rPr>
        <w:t>、差旅费、公务接待等管理办法。</w:t>
      </w:r>
    </w:p>
    <w:p>
      <w:pPr>
        <w:spacing w:line="480" w:lineRule="exact"/>
        <w:ind w:firstLine="640"/>
        <w:rPr>
          <w:rFonts w:ascii="宋体"/>
          <w:kern w:val="0"/>
          <w:sz w:val="28"/>
          <w:szCs w:val="28"/>
        </w:rPr>
      </w:pPr>
      <w:r>
        <w:rPr>
          <w:rFonts w:ascii="宋体" w:hAnsi="宋体"/>
          <w:kern w:val="0"/>
          <w:sz w:val="28"/>
          <w:szCs w:val="28"/>
        </w:rPr>
        <w:t xml:space="preserve">3. </w:t>
      </w:r>
      <w:r>
        <w:rPr>
          <w:rFonts w:hint="eastAsia" w:ascii="宋体" w:hAnsi="宋体"/>
          <w:kern w:val="0"/>
          <w:sz w:val="28"/>
          <w:szCs w:val="28"/>
        </w:rPr>
        <w:t>建立了机关整体支出管理方面的内控制度，并不断进行完善和修订。如：制定了《武冈市统计局财务管理规定》、《武冈市统计局局公务接待管理规定》、《武冈市统计局改进作风厉行节约十条规定》等办法，对招待费等支出进行了有效管控。</w:t>
      </w:r>
    </w:p>
    <w:p>
      <w:pPr>
        <w:spacing w:line="480" w:lineRule="exact"/>
        <w:ind w:firstLine="640"/>
        <w:rPr>
          <w:rFonts w:ascii="宋体"/>
          <w:kern w:val="0"/>
          <w:sz w:val="28"/>
          <w:szCs w:val="28"/>
        </w:rPr>
      </w:pPr>
      <w:r>
        <w:rPr>
          <w:rFonts w:ascii="宋体" w:hAnsi="宋体"/>
          <w:kern w:val="0"/>
          <w:sz w:val="28"/>
          <w:szCs w:val="28"/>
        </w:rPr>
        <w:t xml:space="preserve">4. </w:t>
      </w:r>
      <w:r>
        <w:rPr>
          <w:rFonts w:hint="eastAsia" w:ascii="宋体" w:hAnsi="宋体"/>
          <w:kern w:val="0"/>
          <w:sz w:val="28"/>
          <w:szCs w:val="28"/>
        </w:rPr>
        <w:t>严格制度执行，特别是“三公”经费的预算控制。加强对公务接待费用的管理，严格招待费用审核审批程序，“三公”经费较好地控制在预算范围之内。</w:t>
      </w:r>
    </w:p>
    <w:p>
      <w:pPr>
        <w:spacing w:line="440" w:lineRule="exact"/>
        <w:ind w:firstLine="643"/>
        <w:rPr>
          <w:rFonts w:ascii="宋体"/>
          <w:b/>
          <w:bCs/>
          <w:kern w:val="0"/>
          <w:sz w:val="28"/>
          <w:szCs w:val="28"/>
        </w:rPr>
      </w:pPr>
      <w:r>
        <w:rPr>
          <w:rFonts w:hint="eastAsia" w:ascii="宋体" w:hAnsi="宋体"/>
          <w:b/>
          <w:bCs/>
          <w:kern w:val="0"/>
          <w:sz w:val="28"/>
          <w:szCs w:val="28"/>
        </w:rPr>
        <w:t>（四）年度重点工作</w:t>
      </w:r>
    </w:p>
    <w:p>
      <w:pPr>
        <w:spacing w:line="500" w:lineRule="exact"/>
        <w:ind w:firstLine="641"/>
        <w:rPr>
          <w:rFonts w:ascii="宋体"/>
          <w:kern w:val="0"/>
          <w:sz w:val="28"/>
          <w:szCs w:val="28"/>
        </w:rPr>
      </w:pPr>
      <w:r>
        <w:rPr>
          <w:rFonts w:hint="eastAsia" w:ascii="宋体" w:hAnsi="宋体"/>
          <w:kern w:val="0"/>
          <w:sz w:val="28"/>
          <w:szCs w:val="28"/>
        </w:rPr>
        <w:t>根据武冈市制定国民经济发展计划和进行管理的需要，搜集、整理、提供基本统计资料，对本市国民经济和社会发展情况进行统计调查、统计分析和统计监督</w:t>
      </w:r>
      <w:r>
        <w:rPr>
          <w:rFonts w:ascii="宋体" w:hAnsi="宋体"/>
          <w:kern w:val="0"/>
          <w:sz w:val="28"/>
          <w:szCs w:val="28"/>
        </w:rPr>
        <w:t>;</w:t>
      </w:r>
      <w:r>
        <w:rPr>
          <w:rFonts w:hint="eastAsia" w:ascii="宋体" w:hAnsi="宋体"/>
          <w:kern w:val="0"/>
          <w:sz w:val="28"/>
          <w:szCs w:val="28"/>
        </w:rPr>
        <w:t>统一领导和协调市辖区内的统计工作，监督检查统计法规和统计制度的实施</w:t>
      </w:r>
      <w:r>
        <w:rPr>
          <w:rFonts w:ascii="宋体" w:hAnsi="宋体"/>
          <w:kern w:val="0"/>
          <w:sz w:val="28"/>
          <w:szCs w:val="28"/>
        </w:rPr>
        <w:t>;</w:t>
      </w:r>
      <w:r>
        <w:rPr>
          <w:rFonts w:hint="eastAsia" w:ascii="宋体" w:hAnsi="宋体"/>
          <w:kern w:val="0"/>
          <w:sz w:val="28"/>
          <w:szCs w:val="28"/>
        </w:rPr>
        <w:t>组织实施国家、省、市统计报表制度，管理本市工业企业、社会固定资产投资和更新改造投资、建筑行业、房地产行业、劳动工资、服务业、</w:t>
      </w:r>
      <w:r>
        <w:rPr>
          <w:rFonts w:ascii="宋体" w:hAnsi="宋体"/>
          <w:kern w:val="0"/>
          <w:sz w:val="28"/>
          <w:szCs w:val="28"/>
        </w:rPr>
        <w:t xml:space="preserve"> </w:t>
      </w:r>
      <w:r>
        <w:rPr>
          <w:rFonts w:hint="eastAsia" w:ascii="宋体" w:hAnsi="宋体"/>
          <w:kern w:val="0"/>
          <w:sz w:val="28"/>
          <w:szCs w:val="28"/>
        </w:rPr>
        <w:t>核算、交通和贸易、住宿餐饮业统计；按照国家有关规定，检查、审定、管理、公布本市的基本统计资料；定期发布全区国民经济和社会发展情况的统计公报，编纂统计年鉴等统计资料；组织指导本市各部门、各单位加强统计基础建设工作，加强统计教育工作；组织实施第七次全国人口等重大国情国力普查、负责组织完成小型工业、小型商业、民意调查等抽样调查工作；完成小康相关统计工作；完成绩效考核相关统计监测工作；完成为民办实事考核相关统计工作；</w:t>
      </w:r>
      <w:r>
        <w:rPr>
          <w:rFonts w:ascii="宋体" w:hAnsi="宋体"/>
          <w:kern w:val="0"/>
          <w:sz w:val="28"/>
          <w:szCs w:val="28"/>
        </w:rPr>
        <w:t xml:space="preserve"> </w:t>
      </w:r>
      <w:r>
        <w:rPr>
          <w:rFonts w:hint="eastAsia" w:ascii="宋体" w:hAnsi="宋体"/>
          <w:kern w:val="0"/>
          <w:sz w:val="28"/>
          <w:szCs w:val="28"/>
        </w:rPr>
        <w:t>完成市委、市政府交办的中心工作等其他事项。</w:t>
      </w:r>
    </w:p>
    <w:p>
      <w:pPr>
        <w:spacing w:line="440" w:lineRule="exact"/>
        <w:ind w:firstLine="640"/>
        <w:rPr>
          <w:rFonts w:ascii="黑体" w:hAnsi="黑体" w:eastAsia="黑体" w:cs="黑体"/>
          <w:b/>
          <w:bCs/>
          <w:kern w:val="0"/>
          <w:sz w:val="28"/>
          <w:szCs w:val="28"/>
        </w:rPr>
      </w:pPr>
      <w:r>
        <w:rPr>
          <w:rFonts w:hint="eastAsia" w:ascii="黑体" w:hAnsi="黑体" w:eastAsia="黑体" w:cs="黑体"/>
          <w:b/>
          <w:bCs/>
          <w:kern w:val="0"/>
          <w:sz w:val="28"/>
          <w:szCs w:val="28"/>
        </w:rPr>
        <w:t>二、部门整体支出规模及使用方向、内容</w:t>
      </w:r>
    </w:p>
    <w:p>
      <w:pPr>
        <w:spacing w:line="440" w:lineRule="exact"/>
        <w:ind w:firstLine="643"/>
        <w:rPr>
          <w:kern w:val="0"/>
          <w:sz w:val="20"/>
          <w:szCs w:val="20"/>
        </w:rPr>
      </w:pPr>
      <w:r>
        <w:rPr>
          <w:rFonts w:hint="eastAsia" w:ascii="宋体" w:hAnsi="宋体"/>
          <w:b/>
          <w:bCs/>
          <w:kern w:val="0"/>
          <w:sz w:val="28"/>
          <w:szCs w:val="28"/>
        </w:rPr>
        <w:t>（一）</w:t>
      </w:r>
      <w:r>
        <w:rPr>
          <w:rFonts w:ascii="宋体" w:hAnsi="宋体"/>
          <w:b/>
          <w:bCs/>
          <w:kern w:val="0"/>
          <w:sz w:val="28"/>
          <w:szCs w:val="28"/>
        </w:rPr>
        <w:t>2020</w:t>
      </w:r>
      <w:r>
        <w:rPr>
          <w:rFonts w:hint="eastAsia" w:ascii="宋体" w:hAnsi="宋体"/>
          <w:b/>
          <w:bCs/>
          <w:kern w:val="0"/>
          <w:sz w:val="28"/>
          <w:szCs w:val="28"/>
        </w:rPr>
        <w:t>年预算规模情况</w:t>
      </w:r>
    </w:p>
    <w:p>
      <w:pPr>
        <w:spacing w:line="440" w:lineRule="exact"/>
        <w:ind w:firstLine="643"/>
        <w:rPr>
          <w:kern w:val="0"/>
          <w:sz w:val="20"/>
          <w:szCs w:val="20"/>
        </w:rPr>
      </w:pPr>
      <w:r>
        <w:rPr>
          <w:rFonts w:ascii="宋体" w:hAnsi="宋体"/>
          <w:b/>
          <w:bCs/>
          <w:kern w:val="0"/>
          <w:sz w:val="28"/>
          <w:szCs w:val="28"/>
        </w:rPr>
        <w:t>1</w:t>
      </w:r>
      <w:r>
        <w:rPr>
          <w:rFonts w:hint="eastAsia" w:ascii="宋体" w:hAnsi="宋体"/>
          <w:b/>
          <w:bCs/>
          <w:kern w:val="0"/>
          <w:sz w:val="28"/>
          <w:szCs w:val="28"/>
        </w:rPr>
        <w:t>．预算资金情况</w:t>
      </w:r>
    </w:p>
    <w:p>
      <w:pPr>
        <w:spacing w:line="440" w:lineRule="exact"/>
        <w:ind w:firstLine="640"/>
        <w:rPr>
          <w:kern w:val="0"/>
          <w:sz w:val="20"/>
          <w:szCs w:val="20"/>
        </w:rPr>
      </w:pPr>
      <w:r>
        <w:rPr>
          <w:rFonts w:hint="eastAsia" w:ascii="宋体" w:hAnsi="宋体"/>
          <w:kern w:val="0"/>
          <w:sz w:val="28"/>
          <w:szCs w:val="28"/>
        </w:rPr>
        <w:t>（</w:t>
      </w:r>
      <w:r>
        <w:rPr>
          <w:rFonts w:ascii="宋体" w:hAnsi="宋体"/>
          <w:kern w:val="0"/>
          <w:sz w:val="28"/>
          <w:szCs w:val="28"/>
        </w:rPr>
        <w:t>1</w:t>
      </w:r>
      <w:r>
        <w:rPr>
          <w:rFonts w:hint="eastAsia" w:ascii="宋体" w:hAnsi="宋体"/>
          <w:kern w:val="0"/>
          <w:sz w:val="28"/>
          <w:szCs w:val="28"/>
        </w:rPr>
        <w:t>）年初总收支预算情况</w:t>
      </w:r>
    </w:p>
    <w:p>
      <w:pPr>
        <w:spacing w:line="440" w:lineRule="exact"/>
        <w:ind w:firstLine="640"/>
        <w:rPr>
          <w:kern w:val="0"/>
          <w:sz w:val="20"/>
          <w:szCs w:val="20"/>
        </w:rPr>
      </w:pPr>
      <w:r>
        <w:rPr>
          <w:rFonts w:hint="eastAsia" w:ascii="宋体" w:hAnsi="宋体"/>
          <w:kern w:val="0"/>
          <w:sz w:val="28"/>
          <w:szCs w:val="28"/>
        </w:rPr>
        <w:t>我局</w:t>
      </w:r>
      <w:r>
        <w:rPr>
          <w:rFonts w:ascii="宋体" w:hAnsi="宋体"/>
          <w:kern w:val="0"/>
          <w:sz w:val="28"/>
          <w:szCs w:val="28"/>
        </w:rPr>
        <w:t>2020</w:t>
      </w:r>
      <w:r>
        <w:rPr>
          <w:rFonts w:hint="eastAsia" w:ascii="宋体" w:hAnsi="宋体"/>
          <w:kern w:val="0"/>
          <w:sz w:val="28"/>
          <w:szCs w:val="28"/>
        </w:rPr>
        <w:t>年预算收支情况如下：</w:t>
      </w:r>
    </w:p>
    <w:tbl>
      <w:tblPr>
        <w:tblStyle w:val="4"/>
        <w:tblW w:w="0" w:type="auto"/>
        <w:tblInd w:w="164" w:type="dxa"/>
        <w:tblLayout w:type="autofit"/>
        <w:tblCellMar>
          <w:top w:w="0" w:type="dxa"/>
          <w:left w:w="0" w:type="dxa"/>
          <w:bottom w:w="0" w:type="dxa"/>
          <w:right w:w="0" w:type="dxa"/>
        </w:tblCellMar>
      </w:tblPr>
      <w:tblGrid>
        <w:gridCol w:w="4450"/>
        <w:gridCol w:w="4222"/>
      </w:tblGrid>
      <w:tr>
        <w:tblPrEx>
          <w:tblCellMar>
            <w:top w:w="0" w:type="dxa"/>
            <w:left w:w="0" w:type="dxa"/>
            <w:bottom w:w="0" w:type="dxa"/>
            <w:right w:w="0" w:type="dxa"/>
          </w:tblCellMar>
        </w:tblPrEx>
        <w:trPr>
          <w:trHeight w:val="90" w:hRule="atLeast"/>
        </w:trPr>
        <w:tc>
          <w:tcPr>
            <w:tcW w:w="453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rPr>
                <w:kern w:val="0"/>
                <w:sz w:val="20"/>
                <w:szCs w:val="20"/>
              </w:rPr>
            </w:pPr>
            <w:r>
              <w:rPr>
                <w:rFonts w:hint="eastAsia" w:ascii="宋体" w:hAnsi="宋体"/>
                <w:b/>
                <w:bCs/>
                <w:kern w:val="0"/>
                <w:szCs w:val="21"/>
              </w:rPr>
              <w:t>预算项目</w:t>
            </w:r>
          </w:p>
        </w:tc>
        <w:tc>
          <w:tcPr>
            <w:tcW w:w="4288"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rPr>
                <w:kern w:val="0"/>
                <w:sz w:val="20"/>
                <w:szCs w:val="20"/>
              </w:rPr>
            </w:pPr>
            <w:r>
              <w:rPr>
                <w:rFonts w:hint="eastAsia" w:ascii="宋体" w:hAnsi="宋体"/>
                <w:b/>
                <w:bCs/>
                <w:kern w:val="0"/>
                <w:szCs w:val="21"/>
              </w:rPr>
              <w:t>合计</w:t>
            </w:r>
            <w:r>
              <w:rPr>
                <w:rFonts w:hint="eastAsia" w:ascii="宋体" w:hAnsi="宋体"/>
                <w:kern w:val="0"/>
                <w:szCs w:val="21"/>
              </w:rPr>
              <w:t>（单位：万元）</w:t>
            </w:r>
          </w:p>
        </w:tc>
      </w:tr>
      <w:tr>
        <w:tblPrEx>
          <w:tblCellMar>
            <w:top w:w="0" w:type="dxa"/>
            <w:left w:w="0" w:type="dxa"/>
            <w:bottom w:w="0" w:type="dxa"/>
            <w:right w:w="0" w:type="dxa"/>
          </w:tblCellMar>
        </w:tblPrEx>
        <w:trPr>
          <w:trHeight w:val="435" w:hRule="atLeast"/>
        </w:trPr>
        <w:tc>
          <w:tcPr>
            <w:tcW w:w="453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rPr>
                <w:kern w:val="0"/>
                <w:sz w:val="20"/>
                <w:szCs w:val="20"/>
              </w:rPr>
            </w:pPr>
            <w:r>
              <w:rPr>
                <w:rFonts w:hint="eastAsia" w:ascii="宋体" w:hAnsi="宋体"/>
                <w:kern w:val="0"/>
                <w:szCs w:val="21"/>
              </w:rPr>
              <w:t>财政拨款</w:t>
            </w:r>
          </w:p>
        </w:tc>
        <w:tc>
          <w:tcPr>
            <w:tcW w:w="428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textAlignment w:val="center"/>
              <w:rPr>
                <w:rFonts w:ascii="宋体" w:cs="宋体"/>
                <w:sz w:val="18"/>
                <w:szCs w:val="18"/>
              </w:rPr>
            </w:pPr>
            <w:r>
              <w:rPr>
                <w:rFonts w:ascii="宋体" w:hAnsi="宋体" w:cs="宋体"/>
                <w:kern w:val="0"/>
                <w:sz w:val="18"/>
                <w:szCs w:val="18"/>
              </w:rPr>
              <w:t>562.39</w:t>
            </w:r>
          </w:p>
        </w:tc>
      </w:tr>
      <w:tr>
        <w:tblPrEx>
          <w:tblCellMar>
            <w:top w:w="0" w:type="dxa"/>
            <w:left w:w="0" w:type="dxa"/>
            <w:bottom w:w="0" w:type="dxa"/>
            <w:right w:w="0" w:type="dxa"/>
          </w:tblCellMar>
        </w:tblPrEx>
        <w:trPr>
          <w:trHeight w:val="435" w:hRule="atLeast"/>
        </w:trPr>
        <w:tc>
          <w:tcPr>
            <w:tcW w:w="453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rPr>
                <w:kern w:val="0"/>
                <w:sz w:val="20"/>
                <w:szCs w:val="20"/>
              </w:rPr>
            </w:pPr>
            <w:r>
              <w:rPr>
                <w:rFonts w:hint="eastAsia" w:ascii="宋体" w:hAnsi="宋体"/>
                <w:kern w:val="0"/>
                <w:szCs w:val="21"/>
              </w:rPr>
              <w:t>政府性基金</w:t>
            </w:r>
          </w:p>
        </w:tc>
        <w:tc>
          <w:tcPr>
            <w:tcW w:w="428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kern w:val="0"/>
                <w:szCs w:val="21"/>
              </w:rPr>
              <w:t>0</w:t>
            </w:r>
          </w:p>
        </w:tc>
      </w:tr>
      <w:tr>
        <w:tblPrEx>
          <w:tblCellMar>
            <w:top w:w="0" w:type="dxa"/>
            <w:left w:w="0" w:type="dxa"/>
            <w:bottom w:w="0" w:type="dxa"/>
            <w:right w:w="0" w:type="dxa"/>
          </w:tblCellMar>
        </w:tblPrEx>
        <w:trPr>
          <w:trHeight w:val="435" w:hRule="atLeast"/>
        </w:trPr>
        <w:tc>
          <w:tcPr>
            <w:tcW w:w="453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rPr>
                <w:kern w:val="0"/>
                <w:sz w:val="20"/>
                <w:szCs w:val="20"/>
              </w:rPr>
            </w:pPr>
            <w:r>
              <w:rPr>
                <w:rFonts w:hint="eastAsia" w:ascii="宋体" w:hAnsi="宋体"/>
                <w:kern w:val="0"/>
                <w:szCs w:val="21"/>
              </w:rPr>
              <w:t>纳入专户管理非税收入</w:t>
            </w:r>
          </w:p>
        </w:tc>
        <w:tc>
          <w:tcPr>
            <w:tcW w:w="428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kern w:val="0"/>
                <w:szCs w:val="21"/>
              </w:rPr>
              <w:t>0</w:t>
            </w:r>
          </w:p>
        </w:tc>
      </w:tr>
      <w:tr>
        <w:tblPrEx>
          <w:tblCellMar>
            <w:top w:w="0" w:type="dxa"/>
            <w:left w:w="0" w:type="dxa"/>
            <w:bottom w:w="0" w:type="dxa"/>
            <w:right w:w="0" w:type="dxa"/>
          </w:tblCellMar>
        </w:tblPrEx>
        <w:trPr>
          <w:trHeight w:val="435" w:hRule="atLeast"/>
        </w:trPr>
        <w:tc>
          <w:tcPr>
            <w:tcW w:w="453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rPr>
                <w:kern w:val="0"/>
                <w:sz w:val="20"/>
                <w:szCs w:val="20"/>
              </w:rPr>
            </w:pPr>
            <w:r>
              <w:rPr>
                <w:rFonts w:hint="eastAsia" w:ascii="宋体" w:hAnsi="宋体"/>
                <w:b/>
                <w:bCs/>
                <w:kern w:val="0"/>
                <w:szCs w:val="21"/>
              </w:rPr>
              <w:t>收入预算合计</w:t>
            </w:r>
          </w:p>
        </w:tc>
        <w:tc>
          <w:tcPr>
            <w:tcW w:w="428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ascii="宋体" w:hAnsi="宋体"/>
                <w:b/>
                <w:bCs/>
                <w:kern w:val="0"/>
                <w:szCs w:val="21"/>
              </w:rPr>
              <w:t>562.39</w:t>
            </w:r>
          </w:p>
        </w:tc>
      </w:tr>
      <w:tr>
        <w:tblPrEx>
          <w:tblCellMar>
            <w:top w:w="0" w:type="dxa"/>
            <w:left w:w="0" w:type="dxa"/>
            <w:bottom w:w="0" w:type="dxa"/>
            <w:right w:w="0" w:type="dxa"/>
          </w:tblCellMar>
        </w:tblPrEx>
        <w:trPr>
          <w:trHeight w:val="435" w:hRule="atLeast"/>
        </w:trPr>
        <w:tc>
          <w:tcPr>
            <w:tcW w:w="453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rPr>
                <w:kern w:val="0"/>
                <w:sz w:val="20"/>
                <w:szCs w:val="20"/>
              </w:rPr>
            </w:pPr>
            <w:r>
              <w:rPr>
                <w:rFonts w:hint="eastAsia" w:ascii="宋体" w:hAnsi="宋体"/>
                <w:kern w:val="0"/>
                <w:szCs w:val="21"/>
              </w:rPr>
              <w:t>基本支出</w:t>
            </w:r>
          </w:p>
        </w:tc>
        <w:tc>
          <w:tcPr>
            <w:tcW w:w="428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hAnsi="宋体"/>
                <w:kern w:val="0"/>
                <w:szCs w:val="21"/>
              </w:rPr>
              <w:t>296.01</w:t>
            </w:r>
          </w:p>
        </w:tc>
      </w:tr>
      <w:tr>
        <w:tblPrEx>
          <w:tblCellMar>
            <w:top w:w="0" w:type="dxa"/>
            <w:left w:w="0" w:type="dxa"/>
            <w:bottom w:w="0" w:type="dxa"/>
            <w:right w:w="0" w:type="dxa"/>
          </w:tblCellMar>
        </w:tblPrEx>
        <w:trPr>
          <w:trHeight w:val="435" w:hRule="atLeast"/>
        </w:trPr>
        <w:tc>
          <w:tcPr>
            <w:tcW w:w="453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rPr>
                <w:kern w:val="0"/>
                <w:sz w:val="20"/>
                <w:szCs w:val="20"/>
              </w:rPr>
            </w:pPr>
            <w:r>
              <w:rPr>
                <w:rFonts w:hint="eastAsia" w:ascii="宋体" w:hAnsi="宋体"/>
                <w:kern w:val="0"/>
                <w:szCs w:val="21"/>
              </w:rPr>
              <w:t>其中：财政拨款支出</w:t>
            </w:r>
          </w:p>
        </w:tc>
        <w:tc>
          <w:tcPr>
            <w:tcW w:w="428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kern w:val="0"/>
                <w:sz w:val="20"/>
                <w:szCs w:val="20"/>
              </w:rPr>
              <w:t>296.01</w:t>
            </w:r>
          </w:p>
        </w:tc>
      </w:tr>
      <w:tr>
        <w:tblPrEx>
          <w:tblCellMar>
            <w:top w:w="0" w:type="dxa"/>
            <w:left w:w="0" w:type="dxa"/>
            <w:bottom w:w="0" w:type="dxa"/>
            <w:right w:w="0" w:type="dxa"/>
          </w:tblCellMar>
        </w:tblPrEx>
        <w:trPr>
          <w:trHeight w:val="435" w:hRule="atLeast"/>
        </w:trPr>
        <w:tc>
          <w:tcPr>
            <w:tcW w:w="453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rPr>
                <w:kern w:val="0"/>
                <w:sz w:val="20"/>
                <w:szCs w:val="20"/>
              </w:rPr>
            </w:pPr>
            <w:r>
              <w:rPr>
                <w:rFonts w:hint="eastAsia" w:ascii="宋体" w:hAnsi="宋体"/>
                <w:kern w:val="0"/>
                <w:szCs w:val="21"/>
              </w:rPr>
              <w:t>项目支出</w:t>
            </w:r>
          </w:p>
        </w:tc>
        <w:tc>
          <w:tcPr>
            <w:tcW w:w="428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hAnsi="宋体"/>
                <w:kern w:val="0"/>
                <w:szCs w:val="21"/>
              </w:rPr>
              <w:t>266.38</w:t>
            </w:r>
          </w:p>
        </w:tc>
      </w:tr>
      <w:tr>
        <w:tblPrEx>
          <w:tblCellMar>
            <w:top w:w="0" w:type="dxa"/>
            <w:left w:w="0" w:type="dxa"/>
            <w:bottom w:w="0" w:type="dxa"/>
            <w:right w:w="0" w:type="dxa"/>
          </w:tblCellMar>
        </w:tblPrEx>
        <w:trPr>
          <w:trHeight w:val="435" w:hRule="atLeast"/>
        </w:trPr>
        <w:tc>
          <w:tcPr>
            <w:tcW w:w="453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rPr>
                <w:kern w:val="0"/>
                <w:sz w:val="20"/>
                <w:szCs w:val="20"/>
              </w:rPr>
            </w:pPr>
            <w:r>
              <w:rPr>
                <w:rFonts w:hint="eastAsia" w:ascii="宋体" w:hAnsi="宋体"/>
                <w:kern w:val="0"/>
                <w:szCs w:val="21"/>
              </w:rPr>
              <w:t>其中：财政拨款支出</w:t>
            </w:r>
          </w:p>
        </w:tc>
        <w:tc>
          <w:tcPr>
            <w:tcW w:w="428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hAnsi="宋体"/>
                <w:kern w:val="0"/>
                <w:szCs w:val="21"/>
              </w:rPr>
              <w:t>266.38</w:t>
            </w:r>
          </w:p>
        </w:tc>
      </w:tr>
      <w:tr>
        <w:tblPrEx>
          <w:tblCellMar>
            <w:top w:w="0" w:type="dxa"/>
            <w:left w:w="0" w:type="dxa"/>
            <w:bottom w:w="0" w:type="dxa"/>
            <w:right w:w="0" w:type="dxa"/>
          </w:tblCellMar>
        </w:tblPrEx>
        <w:trPr>
          <w:trHeight w:val="435" w:hRule="atLeast"/>
        </w:trPr>
        <w:tc>
          <w:tcPr>
            <w:tcW w:w="453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rPr>
                <w:kern w:val="0"/>
                <w:sz w:val="20"/>
                <w:szCs w:val="20"/>
              </w:rPr>
            </w:pPr>
            <w:r>
              <w:rPr>
                <w:rFonts w:hint="eastAsia" w:ascii="宋体" w:hAnsi="宋体"/>
                <w:b/>
                <w:bCs/>
                <w:kern w:val="0"/>
                <w:szCs w:val="21"/>
              </w:rPr>
              <w:t>支出预算合计</w:t>
            </w:r>
          </w:p>
        </w:tc>
        <w:tc>
          <w:tcPr>
            <w:tcW w:w="428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kern w:val="0"/>
                <w:sz w:val="20"/>
                <w:szCs w:val="20"/>
              </w:rPr>
              <w:t>562.39</w:t>
            </w:r>
          </w:p>
        </w:tc>
      </w:tr>
    </w:tbl>
    <w:p>
      <w:pPr>
        <w:spacing w:line="440" w:lineRule="exact"/>
        <w:ind w:firstLine="640"/>
        <w:rPr>
          <w:kern w:val="0"/>
          <w:sz w:val="20"/>
          <w:szCs w:val="20"/>
        </w:rPr>
      </w:pPr>
      <w:r>
        <w:rPr>
          <w:rFonts w:hint="eastAsia" w:ascii="宋体" w:hAnsi="宋体"/>
          <w:kern w:val="0"/>
          <w:sz w:val="28"/>
          <w:szCs w:val="28"/>
        </w:rPr>
        <w:t>从年初批复预算来看：</w:t>
      </w:r>
    </w:p>
    <w:p>
      <w:pPr>
        <w:spacing w:line="440" w:lineRule="exact"/>
        <w:ind w:firstLine="640"/>
        <w:rPr>
          <w:rFonts w:ascii="宋体"/>
          <w:kern w:val="0"/>
          <w:sz w:val="28"/>
          <w:szCs w:val="28"/>
        </w:rPr>
      </w:pPr>
      <w:r>
        <w:rPr>
          <w:rFonts w:hint="eastAsia" w:ascii="宋体" w:hAnsi="宋体"/>
          <w:kern w:val="0"/>
          <w:sz w:val="28"/>
          <w:szCs w:val="28"/>
        </w:rPr>
        <w:t>我局收入预算为</w:t>
      </w:r>
      <w:r>
        <w:rPr>
          <w:rFonts w:ascii="宋体" w:hAnsi="宋体"/>
          <w:kern w:val="0"/>
          <w:sz w:val="28"/>
          <w:szCs w:val="28"/>
        </w:rPr>
        <w:t>562.39</w:t>
      </w:r>
      <w:r>
        <w:rPr>
          <w:rFonts w:hint="eastAsia" w:ascii="宋体" w:hAnsi="宋体"/>
          <w:kern w:val="0"/>
          <w:sz w:val="28"/>
          <w:szCs w:val="28"/>
        </w:rPr>
        <w:t>万元，其中，财政拨款</w:t>
      </w:r>
      <w:r>
        <w:rPr>
          <w:rFonts w:ascii="宋体" w:hAnsi="宋体"/>
          <w:kern w:val="0"/>
          <w:sz w:val="28"/>
          <w:szCs w:val="28"/>
        </w:rPr>
        <w:t>562.39</w:t>
      </w:r>
      <w:r>
        <w:rPr>
          <w:rFonts w:hint="eastAsia" w:ascii="宋体" w:hAnsi="宋体"/>
          <w:kern w:val="0"/>
          <w:sz w:val="28"/>
          <w:szCs w:val="28"/>
        </w:rPr>
        <w:t>万元；</w:t>
      </w:r>
    </w:p>
    <w:p>
      <w:pPr>
        <w:spacing w:line="440" w:lineRule="exact"/>
        <w:ind w:firstLine="640"/>
        <w:rPr>
          <w:rFonts w:ascii="宋体"/>
          <w:kern w:val="0"/>
          <w:sz w:val="28"/>
          <w:szCs w:val="28"/>
        </w:rPr>
      </w:pPr>
      <w:r>
        <w:rPr>
          <w:rFonts w:hint="eastAsia" w:ascii="宋体" w:hAnsi="宋体"/>
          <w:kern w:val="0"/>
          <w:sz w:val="28"/>
          <w:szCs w:val="28"/>
        </w:rPr>
        <w:t>支出预算为</w:t>
      </w:r>
      <w:r>
        <w:rPr>
          <w:rFonts w:ascii="宋体" w:hAnsi="宋体"/>
          <w:kern w:val="0"/>
          <w:sz w:val="28"/>
          <w:szCs w:val="28"/>
        </w:rPr>
        <w:t>562.39</w:t>
      </w:r>
      <w:r>
        <w:rPr>
          <w:rFonts w:hint="eastAsia" w:ascii="宋体" w:hAnsi="宋体"/>
          <w:kern w:val="0"/>
          <w:sz w:val="28"/>
          <w:szCs w:val="28"/>
        </w:rPr>
        <w:t>万元，其中，基本支出</w:t>
      </w:r>
      <w:r>
        <w:rPr>
          <w:rFonts w:ascii="宋体" w:hAnsi="宋体"/>
          <w:kern w:val="0"/>
          <w:sz w:val="28"/>
          <w:szCs w:val="28"/>
        </w:rPr>
        <w:t>296.01</w:t>
      </w:r>
      <w:r>
        <w:rPr>
          <w:rFonts w:hint="eastAsia" w:ascii="宋体" w:hAnsi="宋体"/>
          <w:kern w:val="0"/>
          <w:sz w:val="28"/>
          <w:szCs w:val="28"/>
        </w:rPr>
        <w:t>万元，占支出预算</w:t>
      </w:r>
      <w:r>
        <w:rPr>
          <w:rFonts w:ascii="宋体" w:hAnsi="宋体"/>
          <w:kern w:val="0"/>
          <w:sz w:val="28"/>
          <w:szCs w:val="28"/>
        </w:rPr>
        <w:t>52.6%</w:t>
      </w:r>
      <w:r>
        <w:rPr>
          <w:rFonts w:hint="eastAsia" w:ascii="宋体" w:hAnsi="宋体"/>
          <w:kern w:val="0"/>
          <w:sz w:val="28"/>
          <w:szCs w:val="28"/>
        </w:rPr>
        <w:t>，项目支出</w:t>
      </w:r>
      <w:r>
        <w:rPr>
          <w:rFonts w:ascii="宋体" w:hAnsi="宋体"/>
          <w:kern w:val="0"/>
          <w:sz w:val="28"/>
          <w:szCs w:val="28"/>
        </w:rPr>
        <w:t>266.38</w:t>
      </w:r>
      <w:r>
        <w:rPr>
          <w:rFonts w:hint="eastAsia" w:ascii="宋体" w:hAnsi="宋体"/>
          <w:kern w:val="0"/>
          <w:sz w:val="28"/>
          <w:szCs w:val="28"/>
        </w:rPr>
        <w:t>万元，占局机关支出预算</w:t>
      </w:r>
      <w:r>
        <w:rPr>
          <w:rFonts w:ascii="宋体" w:hAnsi="宋体"/>
          <w:kern w:val="0"/>
          <w:sz w:val="28"/>
          <w:szCs w:val="28"/>
        </w:rPr>
        <w:t>47.37%</w:t>
      </w:r>
      <w:r>
        <w:rPr>
          <w:rFonts w:hint="eastAsia" w:ascii="宋体" w:hAnsi="宋体"/>
          <w:kern w:val="0"/>
          <w:sz w:val="28"/>
          <w:szCs w:val="28"/>
        </w:rPr>
        <w:t>。</w:t>
      </w:r>
    </w:p>
    <w:p>
      <w:pPr>
        <w:spacing w:line="440" w:lineRule="exact"/>
        <w:ind w:firstLine="640"/>
        <w:rPr>
          <w:kern w:val="0"/>
          <w:sz w:val="20"/>
          <w:szCs w:val="20"/>
        </w:rPr>
      </w:pPr>
      <w:r>
        <w:rPr>
          <w:rFonts w:hint="eastAsia" w:ascii="宋体" w:hAnsi="宋体"/>
          <w:kern w:val="0"/>
          <w:sz w:val="28"/>
          <w:szCs w:val="28"/>
        </w:rPr>
        <w:t>（</w:t>
      </w:r>
      <w:r>
        <w:rPr>
          <w:rFonts w:ascii="宋体" w:hAnsi="宋体"/>
          <w:kern w:val="0"/>
          <w:sz w:val="28"/>
          <w:szCs w:val="28"/>
        </w:rPr>
        <w:t>2</w:t>
      </w:r>
      <w:r>
        <w:rPr>
          <w:rFonts w:hint="eastAsia" w:ascii="宋体" w:hAnsi="宋体"/>
          <w:kern w:val="0"/>
          <w:sz w:val="28"/>
          <w:szCs w:val="28"/>
        </w:rPr>
        <w:t>）本年度财政追加指标、上年结转资金、年度可用金额情况</w:t>
      </w:r>
    </w:p>
    <w:p>
      <w:pPr>
        <w:spacing w:line="440" w:lineRule="exact"/>
        <w:ind w:firstLine="640"/>
        <w:rPr>
          <w:rFonts w:ascii="宋体"/>
          <w:kern w:val="0"/>
          <w:sz w:val="28"/>
          <w:szCs w:val="28"/>
        </w:rPr>
      </w:pPr>
      <w:r>
        <w:rPr>
          <w:rFonts w:hint="eastAsia" w:ascii="宋体" w:hAnsi="宋体"/>
          <w:kern w:val="0"/>
          <w:sz w:val="28"/>
          <w:szCs w:val="28"/>
        </w:rPr>
        <w:t>我局本年度财政追加指标、上年度本局结转资金及年度可用指标情况如下：</w:t>
      </w:r>
    </w:p>
    <w:p>
      <w:pPr>
        <w:spacing w:line="440" w:lineRule="exact"/>
        <w:ind w:firstLine="643"/>
        <w:rPr>
          <w:kern w:val="0"/>
          <w:sz w:val="20"/>
          <w:szCs w:val="20"/>
        </w:rPr>
      </w:pPr>
      <w:r>
        <w:rPr>
          <w:rFonts w:hint="eastAsia" w:ascii="宋体" w:hAnsi="宋体"/>
          <w:b/>
          <w:bCs/>
          <w:kern w:val="0"/>
          <w:sz w:val="28"/>
          <w:szCs w:val="28"/>
        </w:rPr>
        <w:t>本局全年可用预算指标</w:t>
      </w:r>
      <w:r>
        <w:rPr>
          <w:rFonts w:ascii="宋体" w:hAnsi="宋体"/>
          <w:b/>
          <w:bCs/>
          <w:kern w:val="0"/>
          <w:sz w:val="28"/>
          <w:szCs w:val="28"/>
        </w:rPr>
        <w:t xml:space="preserve">                    </w:t>
      </w:r>
      <w:r>
        <w:rPr>
          <w:rFonts w:hint="eastAsia" w:ascii="宋体" w:hAnsi="宋体"/>
          <w:b/>
          <w:bCs/>
          <w:kern w:val="0"/>
          <w:sz w:val="28"/>
          <w:szCs w:val="28"/>
        </w:rPr>
        <w:t>单位：万元</w:t>
      </w:r>
    </w:p>
    <w:tbl>
      <w:tblPr>
        <w:tblStyle w:val="4"/>
        <w:tblW w:w="0" w:type="auto"/>
        <w:tblInd w:w="150" w:type="dxa"/>
        <w:tblLayout w:type="autofit"/>
        <w:tblCellMar>
          <w:top w:w="0" w:type="dxa"/>
          <w:left w:w="0" w:type="dxa"/>
          <w:bottom w:w="0" w:type="dxa"/>
          <w:right w:w="0" w:type="dxa"/>
        </w:tblCellMar>
      </w:tblPr>
      <w:tblGrid>
        <w:gridCol w:w="2261"/>
        <w:gridCol w:w="2156"/>
        <w:gridCol w:w="2191"/>
        <w:gridCol w:w="2078"/>
      </w:tblGrid>
      <w:tr>
        <w:tblPrEx>
          <w:tblCellMar>
            <w:top w:w="0" w:type="dxa"/>
            <w:left w:w="0" w:type="dxa"/>
            <w:bottom w:w="0" w:type="dxa"/>
            <w:right w:w="0" w:type="dxa"/>
          </w:tblCellMar>
        </w:tblPrEx>
        <w:trPr>
          <w:trHeight w:val="450" w:hRule="atLeast"/>
        </w:trPr>
        <w:tc>
          <w:tcPr>
            <w:tcW w:w="231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项</w:t>
            </w:r>
            <w:r>
              <w:rPr>
                <w:rFonts w:ascii="宋体" w:hAnsi="宋体"/>
                <w:b/>
                <w:bCs/>
                <w:kern w:val="0"/>
                <w:szCs w:val="21"/>
              </w:rPr>
              <w:t xml:space="preserve"> </w:t>
            </w:r>
            <w:r>
              <w:rPr>
                <w:rFonts w:hint="eastAsia" w:ascii="宋体" w:hAnsi="宋体"/>
                <w:b/>
                <w:bCs/>
                <w:kern w:val="0"/>
                <w:szCs w:val="21"/>
              </w:rPr>
              <w:t>目</w:t>
            </w:r>
          </w:p>
        </w:tc>
        <w:tc>
          <w:tcPr>
            <w:tcW w:w="2191"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基本支出</w:t>
            </w:r>
          </w:p>
        </w:tc>
        <w:tc>
          <w:tcPr>
            <w:tcW w:w="2228"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项目支出</w:t>
            </w:r>
          </w:p>
        </w:tc>
        <w:tc>
          <w:tcPr>
            <w:tcW w:w="211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合</w:t>
            </w:r>
            <w:r>
              <w:rPr>
                <w:rFonts w:ascii="宋体" w:hAnsi="宋体"/>
                <w:b/>
                <w:bCs/>
                <w:kern w:val="0"/>
                <w:szCs w:val="21"/>
              </w:rPr>
              <w:t xml:space="preserve"> </w:t>
            </w:r>
            <w:r>
              <w:rPr>
                <w:rFonts w:hint="eastAsia" w:ascii="宋体" w:hAnsi="宋体"/>
                <w:b/>
                <w:bCs/>
                <w:kern w:val="0"/>
                <w:szCs w:val="21"/>
              </w:rPr>
              <w:t>计</w:t>
            </w:r>
          </w:p>
        </w:tc>
      </w:tr>
      <w:tr>
        <w:trPr>
          <w:trHeight w:val="450" w:hRule="atLeast"/>
        </w:trPr>
        <w:tc>
          <w:tcPr>
            <w:tcW w:w="231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年初预算</w:t>
            </w:r>
          </w:p>
        </w:tc>
        <w:tc>
          <w:tcPr>
            <w:tcW w:w="21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hAnsi="宋体"/>
                <w:kern w:val="0"/>
                <w:szCs w:val="21"/>
              </w:rPr>
              <w:t>296.01</w:t>
            </w:r>
          </w:p>
        </w:tc>
        <w:tc>
          <w:tcPr>
            <w:tcW w:w="22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hAnsi="宋体"/>
                <w:kern w:val="0"/>
                <w:szCs w:val="21"/>
              </w:rPr>
              <w:t>266.38</w:t>
            </w:r>
          </w:p>
        </w:tc>
        <w:tc>
          <w:tcPr>
            <w:tcW w:w="2110"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ascii="宋体" w:hAnsi="宋体"/>
                <w:b/>
                <w:bCs/>
                <w:kern w:val="0"/>
                <w:szCs w:val="21"/>
              </w:rPr>
              <w:t>562.39</w:t>
            </w:r>
          </w:p>
        </w:tc>
      </w:tr>
      <w:tr>
        <w:tblPrEx>
          <w:tblCellMar>
            <w:top w:w="0" w:type="dxa"/>
            <w:left w:w="0" w:type="dxa"/>
            <w:bottom w:w="0" w:type="dxa"/>
            <w:right w:w="0" w:type="dxa"/>
          </w:tblCellMar>
        </w:tblPrEx>
        <w:trPr>
          <w:trHeight w:val="450" w:hRule="atLeast"/>
        </w:trPr>
        <w:tc>
          <w:tcPr>
            <w:tcW w:w="231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上年结转</w:t>
            </w:r>
          </w:p>
        </w:tc>
        <w:tc>
          <w:tcPr>
            <w:tcW w:w="21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hAnsi="宋体"/>
                <w:kern w:val="0"/>
                <w:szCs w:val="21"/>
              </w:rPr>
              <w:t>21.5</w:t>
            </w:r>
          </w:p>
        </w:tc>
        <w:tc>
          <w:tcPr>
            <w:tcW w:w="22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kern w:val="0"/>
                <w:szCs w:val="21"/>
              </w:rPr>
              <w:t>0</w:t>
            </w:r>
          </w:p>
        </w:tc>
        <w:tc>
          <w:tcPr>
            <w:tcW w:w="2110"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ascii="宋体" w:hAnsi="宋体"/>
                <w:b/>
                <w:bCs/>
                <w:kern w:val="0"/>
                <w:szCs w:val="21"/>
              </w:rPr>
              <w:t>21.5</w:t>
            </w:r>
          </w:p>
        </w:tc>
      </w:tr>
      <w:tr>
        <w:trPr>
          <w:trHeight w:val="450" w:hRule="atLeast"/>
        </w:trPr>
        <w:tc>
          <w:tcPr>
            <w:tcW w:w="231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本年追加</w:t>
            </w:r>
          </w:p>
        </w:tc>
        <w:tc>
          <w:tcPr>
            <w:tcW w:w="21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kern w:val="0"/>
                <w:szCs w:val="21"/>
              </w:rPr>
              <w:t>0</w:t>
            </w:r>
          </w:p>
        </w:tc>
        <w:tc>
          <w:tcPr>
            <w:tcW w:w="22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kern w:val="0"/>
                <w:szCs w:val="21"/>
              </w:rPr>
              <w:t>0</w:t>
            </w:r>
          </w:p>
        </w:tc>
        <w:tc>
          <w:tcPr>
            <w:tcW w:w="2110"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ascii="宋体"/>
                <w:b/>
                <w:bCs/>
                <w:kern w:val="0"/>
                <w:szCs w:val="21"/>
              </w:rPr>
              <w:t>0</w:t>
            </w:r>
          </w:p>
        </w:tc>
      </w:tr>
      <w:tr>
        <w:trPr>
          <w:trHeight w:val="450" w:hRule="atLeast"/>
        </w:trPr>
        <w:tc>
          <w:tcPr>
            <w:tcW w:w="231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小</w:t>
            </w:r>
            <w:r>
              <w:rPr>
                <w:rFonts w:ascii="宋体" w:hAnsi="宋体"/>
                <w:b/>
                <w:bCs/>
                <w:kern w:val="0"/>
                <w:szCs w:val="21"/>
              </w:rPr>
              <w:t xml:space="preserve"> </w:t>
            </w:r>
            <w:r>
              <w:rPr>
                <w:rFonts w:hint="eastAsia" w:ascii="宋体" w:hAnsi="宋体"/>
                <w:b/>
                <w:bCs/>
                <w:kern w:val="0"/>
                <w:szCs w:val="21"/>
              </w:rPr>
              <w:t>计</w:t>
            </w:r>
          </w:p>
        </w:tc>
        <w:tc>
          <w:tcPr>
            <w:tcW w:w="21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ascii="宋体" w:hAnsi="宋体"/>
                <w:kern w:val="0"/>
                <w:szCs w:val="21"/>
              </w:rPr>
              <w:fldChar w:fldCharType="begin"/>
            </w:r>
            <w:r>
              <w:rPr>
                <w:rFonts w:ascii="宋体" w:hAnsi="宋体"/>
                <w:kern w:val="0"/>
                <w:szCs w:val="21"/>
              </w:rPr>
              <w:instrText xml:space="preserve"> =SUM(ABOVE) \* MERGEFORMAT </w:instrText>
            </w:r>
            <w:r>
              <w:rPr>
                <w:rFonts w:ascii="宋体" w:hAnsi="宋体"/>
                <w:kern w:val="0"/>
                <w:szCs w:val="21"/>
              </w:rPr>
              <w:fldChar w:fldCharType="separate"/>
            </w:r>
            <w:r>
              <w:rPr>
                <w:rFonts w:ascii="宋体" w:hAnsi="宋体"/>
                <w:kern w:val="0"/>
                <w:szCs w:val="21"/>
              </w:rPr>
              <w:t>317.51</w:t>
            </w:r>
            <w:r>
              <w:rPr>
                <w:rFonts w:ascii="宋体" w:hAnsi="宋体"/>
                <w:kern w:val="0"/>
                <w:szCs w:val="21"/>
              </w:rPr>
              <w:fldChar w:fldCharType="end"/>
            </w:r>
          </w:p>
        </w:tc>
        <w:tc>
          <w:tcPr>
            <w:tcW w:w="22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ascii="宋体" w:hAnsi="宋体"/>
                <w:b/>
                <w:bCs/>
                <w:kern w:val="0"/>
                <w:szCs w:val="21"/>
              </w:rPr>
              <w:fldChar w:fldCharType="begin"/>
            </w:r>
            <w:r>
              <w:rPr>
                <w:rFonts w:ascii="宋体" w:hAnsi="宋体"/>
                <w:b/>
                <w:bCs/>
                <w:kern w:val="0"/>
                <w:szCs w:val="21"/>
              </w:rPr>
              <w:instrText xml:space="preserve"> =SUM(ABOVE) \* MERGEFORMAT </w:instrText>
            </w:r>
            <w:r>
              <w:rPr>
                <w:rFonts w:ascii="宋体" w:hAnsi="宋体"/>
                <w:b/>
                <w:bCs/>
                <w:kern w:val="0"/>
                <w:szCs w:val="21"/>
              </w:rPr>
              <w:fldChar w:fldCharType="separate"/>
            </w:r>
            <w:r>
              <w:rPr>
                <w:rFonts w:ascii="宋体" w:hAnsi="宋体"/>
                <w:b/>
                <w:bCs/>
                <w:kern w:val="0"/>
                <w:szCs w:val="21"/>
              </w:rPr>
              <w:t>266.38</w:t>
            </w:r>
            <w:r>
              <w:rPr>
                <w:rFonts w:ascii="宋体" w:hAnsi="宋体"/>
                <w:b/>
                <w:bCs/>
                <w:kern w:val="0"/>
                <w:szCs w:val="21"/>
              </w:rPr>
              <w:fldChar w:fldCharType="end"/>
            </w:r>
          </w:p>
        </w:tc>
        <w:tc>
          <w:tcPr>
            <w:tcW w:w="2110"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ascii="宋体" w:hAnsi="宋体"/>
                <w:b/>
                <w:bCs/>
                <w:kern w:val="0"/>
                <w:szCs w:val="21"/>
              </w:rPr>
              <w:fldChar w:fldCharType="begin"/>
            </w:r>
            <w:r>
              <w:rPr>
                <w:rFonts w:ascii="宋体" w:hAnsi="宋体"/>
                <w:b/>
                <w:bCs/>
                <w:kern w:val="0"/>
                <w:szCs w:val="21"/>
              </w:rPr>
              <w:instrText xml:space="preserve"> =SUM(ABOVE) \* MERGEFORMAT </w:instrText>
            </w:r>
            <w:r>
              <w:rPr>
                <w:rFonts w:ascii="宋体" w:hAnsi="宋体"/>
                <w:b/>
                <w:bCs/>
                <w:kern w:val="0"/>
                <w:szCs w:val="21"/>
              </w:rPr>
              <w:fldChar w:fldCharType="separate"/>
            </w:r>
            <w:r>
              <w:rPr>
                <w:rFonts w:ascii="宋体" w:hAnsi="宋体"/>
                <w:b/>
                <w:bCs/>
                <w:kern w:val="0"/>
                <w:szCs w:val="21"/>
              </w:rPr>
              <w:t>583.89</w:t>
            </w:r>
            <w:r>
              <w:rPr>
                <w:rFonts w:ascii="宋体" w:hAnsi="宋体"/>
                <w:b/>
                <w:bCs/>
                <w:kern w:val="0"/>
                <w:szCs w:val="21"/>
              </w:rPr>
              <w:fldChar w:fldCharType="end"/>
            </w:r>
          </w:p>
        </w:tc>
      </w:tr>
    </w:tbl>
    <w:p>
      <w:pPr>
        <w:spacing w:line="480" w:lineRule="exact"/>
        <w:ind w:firstLine="640"/>
        <w:rPr>
          <w:kern w:val="0"/>
          <w:sz w:val="20"/>
          <w:szCs w:val="20"/>
        </w:rPr>
      </w:pPr>
      <w:r>
        <w:rPr>
          <w:rFonts w:hint="eastAsia" w:ascii="宋体" w:hAnsi="宋体"/>
          <w:kern w:val="0"/>
          <w:sz w:val="28"/>
          <w:szCs w:val="28"/>
        </w:rPr>
        <w:t>从上表可以反映：我局</w:t>
      </w:r>
      <w:r>
        <w:rPr>
          <w:rFonts w:ascii="宋体" w:hAnsi="宋体"/>
          <w:kern w:val="0"/>
          <w:sz w:val="28"/>
          <w:szCs w:val="28"/>
        </w:rPr>
        <w:t>2020</w:t>
      </w:r>
      <w:r>
        <w:rPr>
          <w:rFonts w:hint="eastAsia" w:ascii="宋体" w:hAnsi="宋体"/>
          <w:kern w:val="0"/>
          <w:sz w:val="28"/>
          <w:szCs w:val="28"/>
        </w:rPr>
        <w:t>年全年可用预算资金</w:t>
      </w:r>
      <w:r>
        <w:rPr>
          <w:rFonts w:ascii="宋体" w:hAnsi="宋体"/>
          <w:kern w:val="0"/>
          <w:sz w:val="28"/>
          <w:szCs w:val="28"/>
        </w:rPr>
        <w:t>583.89</w:t>
      </w:r>
      <w:r>
        <w:rPr>
          <w:rFonts w:hint="eastAsia" w:ascii="宋体" w:hAnsi="宋体"/>
          <w:kern w:val="0"/>
          <w:sz w:val="28"/>
          <w:szCs w:val="28"/>
        </w:rPr>
        <w:t>万元，其中年初预算</w:t>
      </w:r>
      <w:r>
        <w:rPr>
          <w:rFonts w:ascii="宋体" w:hAnsi="宋体"/>
          <w:kern w:val="0"/>
          <w:sz w:val="28"/>
          <w:szCs w:val="28"/>
        </w:rPr>
        <w:t>562.39</w:t>
      </w:r>
      <w:r>
        <w:rPr>
          <w:rFonts w:hint="eastAsia" w:ascii="宋体" w:hAnsi="宋体"/>
          <w:kern w:val="0"/>
          <w:sz w:val="28"/>
          <w:szCs w:val="28"/>
        </w:rPr>
        <w:t>万元，上年结转</w:t>
      </w:r>
      <w:r>
        <w:rPr>
          <w:rFonts w:ascii="宋体" w:hAnsi="宋体"/>
          <w:kern w:val="0"/>
          <w:sz w:val="28"/>
          <w:szCs w:val="28"/>
        </w:rPr>
        <w:t>21.5</w:t>
      </w:r>
      <w:r>
        <w:rPr>
          <w:rFonts w:hint="eastAsia" w:ascii="宋体" w:hAnsi="宋体"/>
          <w:kern w:val="0"/>
          <w:sz w:val="28"/>
          <w:szCs w:val="28"/>
        </w:rPr>
        <w:t>万元，本年追加资金</w:t>
      </w:r>
      <w:r>
        <w:rPr>
          <w:rFonts w:ascii="宋体"/>
          <w:kern w:val="0"/>
          <w:sz w:val="28"/>
          <w:szCs w:val="28"/>
        </w:rPr>
        <w:t>0</w:t>
      </w:r>
      <w:r>
        <w:rPr>
          <w:rFonts w:hint="eastAsia" w:ascii="宋体" w:hAnsi="宋体"/>
          <w:kern w:val="0"/>
          <w:sz w:val="28"/>
          <w:szCs w:val="28"/>
        </w:rPr>
        <w:t>万元。</w:t>
      </w:r>
    </w:p>
    <w:p>
      <w:pPr>
        <w:spacing w:line="480" w:lineRule="exact"/>
        <w:ind w:firstLine="643"/>
        <w:rPr>
          <w:kern w:val="0"/>
          <w:sz w:val="20"/>
          <w:szCs w:val="20"/>
        </w:rPr>
      </w:pPr>
      <w:r>
        <w:rPr>
          <w:rFonts w:ascii="宋体" w:hAnsi="宋体"/>
          <w:b/>
          <w:bCs/>
          <w:kern w:val="0"/>
          <w:sz w:val="28"/>
          <w:szCs w:val="28"/>
        </w:rPr>
        <w:t>2</w:t>
      </w:r>
      <w:r>
        <w:rPr>
          <w:rFonts w:hint="eastAsia" w:ascii="宋体" w:hAnsi="宋体"/>
          <w:b/>
          <w:bCs/>
          <w:kern w:val="0"/>
          <w:sz w:val="28"/>
          <w:szCs w:val="28"/>
        </w:rPr>
        <w:t>．整体支出使用范围、方向和内容</w:t>
      </w:r>
    </w:p>
    <w:p>
      <w:pPr>
        <w:spacing w:line="480" w:lineRule="exact"/>
        <w:ind w:firstLine="640"/>
        <w:rPr>
          <w:kern w:val="0"/>
          <w:sz w:val="20"/>
          <w:szCs w:val="20"/>
        </w:rPr>
      </w:pPr>
      <w:r>
        <w:rPr>
          <w:rFonts w:hint="eastAsia" w:ascii="宋体" w:hAnsi="宋体"/>
          <w:kern w:val="0"/>
          <w:sz w:val="28"/>
          <w:szCs w:val="28"/>
        </w:rPr>
        <w:t>（</w:t>
      </w:r>
      <w:r>
        <w:rPr>
          <w:rFonts w:ascii="宋体" w:hAnsi="宋体"/>
          <w:kern w:val="0"/>
          <w:sz w:val="28"/>
          <w:szCs w:val="28"/>
        </w:rPr>
        <w:t>1</w:t>
      </w:r>
      <w:r>
        <w:rPr>
          <w:rFonts w:hint="eastAsia" w:ascii="宋体" w:hAnsi="宋体"/>
          <w:kern w:val="0"/>
          <w:sz w:val="28"/>
          <w:szCs w:val="28"/>
        </w:rPr>
        <w:t>）年初预算整体支出的使用范围、方向和内容</w:t>
      </w:r>
    </w:p>
    <w:p>
      <w:pPr>
        <w:spacing w:line="480" w:lineRule="exact"/>
        <w:ind w:firstLine="640"/>
        <w:rPr>
          <w:rFonts w:ascii="宋体"/>
          <w:kern w:val="0"/>
          <w:sz w:val="28"/>
          <w:szCs w:val="28"/>
        </w:rPr>
      </w:pPr>
      <w:r>
        <w:rPr>
          <w:rFonts w:ascii="宋体" w:hAnsi="宋体"/>
          <w:kern w:val="0"/>
          <w:sz w:val="28"/>
          <w:szCs w:val="28"/>
        </w:rPr>
        <w:t>2020</w:t>
      </w:r>
      <w:r>
        <w:rPr>
          <w:rFonts w:hint="eastAsia" w:ascii="宋体" w:hAnsi="宋体"/>
          <w:kern w:val="0"/>
          <w:sz w:val="28"/>
          <w:szCs w:val="28"/>
        </w:rPr>
        <w:t>年年初预算为</w:t>
      </w:r>
      <w:r>
        <w:rPr>
          <w:rFonts w:ascii="宋体" w:hAnsi="宋体"/>
          <w:kern w:val="0"/>
          <w:sz w:val="28"/>
          <w:szCs w:val="28"/>
        </w:rPr>
        <w:t>562.39</w:t>
      </w:r>
      <w:r>
        <w:rPr>
          <w:rFonts w:hint="eastAsia" w:ascii="宋体" w:hAnsi="宋体"/>
          <w:kern w:val="0"/>
          <w:sz w:val="28"/>
          <w:szCs w:val="28"/>
        </w:rPr>
        <w:t>万元，其中基本支出</w:t>
      </w:r>
      <w:r>
        <w:rPr>
          <w:rFonts w:ascii="宋体" w:hAnsi="宋体"/>
          <w:kern w:val="0"/>
          <w:sz w:val="28"/>
          <w:szCs w:val="28"/>
        </w:rPr>
        <w:t>296.01</w:t>
      </w:r>
      <w:r>
        <w:rPr>
          <w:rFonts w:hint="eastAsia" w:ascii="宋体" w:hAnsi="宋体"/>
          <w:kern w:val="0"/>
          <w:sz w:val="28"/>
          <w:szCs w:val="28"/>
        </w:rPr>
        <w:t>万元，使用内容为人员经费和日常公用经费；项目支出</w:t>
      </w:r>
      <w:r>
        <w:rPr>
          <w:rFonts w:ascii="宋体" w:hAnsi="宋体"/>
          <w:kern w:val="0"/>
          <w:sz w:val="28"/>
          <w:szCs w:val="28"/>
        </w:rPr>
        <w:t>266.38</w:t>
      </w:r>
      <w:r>
        <w:rPr>
          <w:rFonts w:hint="eastAsia" w:ascii="宋体" w:hAnsi="宋体"/>
          <w:kern w:val="0"/>
          <w:sz w:val="28"/>
          <w:szCs w:val="28"/>
        </w:rPr>
        <w:t>万元，使用内容为业务工作专项。</w:t>
      </w:r>
    </w:p>
    <w:p>
      <w:pPr>
        <w:spacing w:line="480" w:lineRule="exact"/>
        <w:ind w:firstLine="640"/>
        <w:rPr>
          <w:kern w:val="0"/>
          <w:sz w:val="20"/>
          <w:szCs w:val="20"/>
        </w:rPr>
      </w:pPr>
      <w:r>
        <w:rPr>
          <w:rFonts w:hint="eastAsia" w:ascii="宋体" w:hAnsi="宋体"/>
          <w:kern w:val="0"/>
          <w:sz w:val="28"/>
          <w:szCs w:val="28"/>
        </w:rPr>
        <w:t>具体使用方向决算数如下：</w:t>
      </w:r>
    </w:p>
    <w:tbl>
      <w:tblPr>
        <w:tblStyle w:val="4"/>
        <w:tblW w:w="0" w:type="auto"/>
        <w:tblInd w:w="108" w:type="dxa"/>
        <w:tblLayout w:type="autofit"/>
        <w:tblCellMar>
          <w:top w:w="0" w:type="dxa"/>
          <w:left w:w="0" w:type="dxa"/>
          <w:bottom w:w="0" w:type="dxa"/>
          <w:right w:w="0" w:type="dxa"/>
        </w:tblCellMar>
      </w:tblPr>
      <w:tblGrid>
        <w:gridCol w:w="3133"/>
        <w:gridCol w:w="2922"/>
        <w:gridCol w:w="2673"/>
      </w:tblGrid>
      <w:tr>
        <w:tblPrEx>
          <w:tblCellMar>
            <w:top w:w="0" w:type="dxa"/>
            <w:left w:w="0" w:type="dxa"/>
            <w:bottom w:w="0" w:type="dxa"/>
            <w:right w:w="0" w:type="dxa"/>
          </w:tblCellMar>
        </w:tblPrEx>
        <w:trPr>
          <w:trHeight w:val="480" w:hRule="atLeast"/>
        </w:trPr>
        <w:tc>
          <w:tcPr>
            <w:tcW w:w="317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支出项目</w:t>
            </w:r>
          </w:p>
        </w:tc>
        <w:tc>
          <w:tcPr>
            <w:tcW w:w="295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基本支出（万元）</w:t>
            </w:r>
          </w:p>
        </w:tc>
        <w:tc>
          <w:tcPr>
            <w:tcW w:w="269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项目支出（万元）</w:t>
            </w:r>
          </w:p>
        </w:tc>
      </w:tr>
      <w:tr>
        <w:tblPrEx>
          <w:tblCellMar>
            <w:top w:w="0" w:type="dxa"/>
            <w:left w:w="0" w:type="dxa"/>
            <w:bottom w:w="0" w:type="dxa"/>
            <w:right w:w="0" w:type="dxa"/>
          </w:tblCellMar>
        </w:tblPrEx>
        <w:trPr>
          <w:trHeight w:val="480" w:hRule="atLeast"/>
        </w:trPr>
        <w:tc>
          <w:tcPr>
            <w:tcW w:w="317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工资福利支出</w:t>
            </w:r>
          </w:p>
        </w:tc>
        <w:tc>
          <w:tcPr>
            <w:tcW w:w="2950"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hAnsi="宋体"/>
                <w:kern w:val="0"/>
                <w:szCs w:val="21"/>
              </w:rPr>
              <w:t>166.45</w:t>
            </w:r>
          </w:p>
        </w:tc>
        <w:tc>
          <w:tcPr>
            <w:tcW w:w="269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hAnsi="宋体"/>
                <w:kern w:val="0"/>
                <w:szCs w:val="21"/>
              </w:rPr>
              <w:t>2.07</w:t>
            </w:r>
          </w:p>
        </w:tc>
      </w:tr>
      <w:tr>
        <w:tblPrEx>
          <w:tblCellMar>
            <w:top w:w="0" w:type="dxa"/>
            <w:left w:w="0" w:type="dxa"/>
            <w:bottom w:w="0" w:type="dxa"/>
            <w:right w:w="0" w:type="dxa"/>
          </w:tblCellMar>
        </w:tblPrEx>
        <w:trPr>
          <w:trHeight w:val="480" w:hRule="atLeast"/>
        </w:trPr>
        <w:tc>
          <w:tcPr>
            <w:tcW w:w="317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商品和服务支出</w:t>
            </w:r>
          </w:p>
        </w:tc>
        <w:tc>
          <w:tcPr>
            <w:tcW w:w="2950"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hAnsi="宋体"/>
                <w:kern w:val="0"/>
                <w:szCs w:val="21"/>
              </w:rPr>
              <w:t>51.97</w:t>
            </w:r>
          </w:p>
        </w:tc>
        <w:tc>
          <w:tcPr>
            <w:tcW w:w="269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hAnsi="宋体"/>
                <w:kern w:val="0"/>
                <w:szCs w:val="21"/>
              </w:rPr>
              <w:t>365.74</w:t>
            </w:r>
          </w:p>
        </w:tc>
      </w:tr>
      <w:tr>
        <w:tblPrEx>
          <w:tblCellMar>
            <w:top w:w="0" w:type="dxa"/>
            <w:left w:w="0" w:type="dxa"/>
            <w:bottom w:w="0" w:type="dxa"/>
            <w:right w:w="0" w:type="dxa"/>
          </w:tblCellMar>
        </w:tblPrEx>
        <w:trPr>
          <w:trHeight w:val="345" w:hRule="atLeast"/>
        </w:trPr>
        <w:tc>
          <w:tcPr>
            <w:tcW w:w="317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对个人和家庭补助</w:t>
            </w:r>
          </w:p>
        </w:tc>
        <w:tc>
          <w:tcPr>
            <w:tcW w:w="2950"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kern w:val="0"/>
                <w:sz w:val="20"/>
                <w:szCs w:val="20"/>
              </w:rPr>
              <w:t>9.57</w:t>
            </w:r>
          </w:p>
        </w:tc>
        <w:tc>
          <w:tcPr>
            <w:tcW w:w="269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hAnsi="宋体"/>
                <w:kern w:val="0"/>
                <w:szCs w:val="21"/>
              </w:rPr>
              <w:t>0.03</w:t>
            </w:r>
          </w:p>
        </w:tc>
      </w:tr>
      <w:tr>
        <w:tblPrEx>
          <w:tblCellMar>
            <w:top w:w="0" w:type="dxa"/>
            <w:left w:w="0" w:type="dxa"/>
            <w:bottom w:w="0" w:type="dxa"/>
            <w:right w:w="0" w:type="dxa"/>
          </w:tblCellMar>
        </w:tblPrEx>
        <w:trPr>
          <w:trHeight w:val="480" w:hRule="atLeast"/>
        </w:trPr>
        <w:tc>
          <w:tcPr>
            <w:tcW w:w="317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其他资本性支出</w:t>
            </w:r>
          </w:p>
        </w:tc>
        <w:tc>
          <w:tcPr>
            <w:tcW w:w="2950"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kern w:val="0"/>
                <w:szCs w:val="21"/>
              </w:rPr>
              <w:t>0</w:t>
            </w:r>
          </w:p>
        </w:tc>
        <w:tc>
          <w:tcPr>
            <w:tcW w:w="269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hAnsi="宋体"/>
                <w:kern w:val="0"/>
                <w:szCs w:val="21"/>
              </w:rPr>
              <w:t>5</w:t>
            </w:r>
          </w:p>
        </w:tc>
      </w:tr>
      <w:tr>
        <w:tblPrEx>
          <w:tblCellMar>
            <w:top w:w="0" w:type="dxa"/>
            <w:left w:w="0" w:type="dxa"/>
            <w:bottom w:w="0" w:type="dxa"/>
            <w:right w:w="0" w:type="dxa"/>
          </w:tblCellMar>
        </w:tblPrEx>
        <w:trPr>
          <w:trHeight w:val="480" w:hRule="atLeast"/>
        </w:trPr>
        <w:tc>
          <w:tcPr>
            <w:tcW w:w="317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其他支出</w:t>
            </w:r>
          </w:p>
        </w:tc>
        <w:tc>
          <w:tcPr>
            <w:tcW w:w="2950"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kern w:val="0"/>
                <w:szCs w:val="21"/>
              </w:rPr>
              <w:t>0</w:t>
            </w:r>
          </w:p>
        </w:tc>
        <w:tc>
          <w:tcPr>
            <w:tcW w:w="269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kern w:val="0"/>
                <w:sz w:val="20"/>
                <w:szCs w:val="20"/>
              </w:rPr>
              <w:t>0.9</w:t>
            </w:r>
          </w:p>
        </w:tc>
      </w:tr>
      <w:tr>
        <w:tblPrEx>
          <w:tblCellMar>
            <w:top w:w="0" w:type="dxa"/>
            <w:left w:w="0" w:type="dxa"/>
            <w:bottom w:w="0" w:type="dxa"/>
            <w:right w:w="0" w:type="dxa"/>
          </w:tblCellMar>
        </w:tblPrEx>
        <w:trPr>
          <w:trHeight w:val="480" w:hRule="atLeast"/>
        </w:trPr>
        <w:tc>
          <w:tcPr>
            <w:tcW w:w="317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合</w:t>
            </w:r>
            <w:r>
              <w:rPr>
                <w:rFonts w:ascii="宋体" w:hAnsi="宋体"/>
                <w:b/>
                <w:bCs/>
                <w:kern w:val="0"/>
                <w:szCs w:val="21"/>
              </w:rPr>
              <w:t xml:space="preserve"> </w:t>
            </w:r>
            <w:r>
              <w:rPr>
                <w:rFonts w:hint="eastAsia" w:ascii="宋体" w:hAnsi="宋体"/>
                <w:b/>
                <w:bCs/>
                <w:kern w:val="0"/>
                <w:szCs w:val="21"/>
              </w:rPr>
              <w:t>计</w:t>
            </w:r>
          </w:p>
        </w:tc>
        <w:tc>
          <w:tcPr>
            <w:tcW w:w="2950"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kern w:val="0"/>
                <w:sz w:val="20"/>
                <w:szCs w:val="20"/>
              </w:rPr>
              <w:t>227.99</w:t>
            </w:r>
          </w:p>
        </w:tc>
        <w:tc>
          <w:tcPr>
            <w:tcW w:w="269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hAnsi="宋体"/>
                <w:kern w:val="0"/>
                <w:szCs w:val="21"/>
              </w:rPr>
              <w:fldChar w:fldCharType="begin"/>
            </w:r>
            <w:r>
              <w:rPr>
                <w:rFonts w:ascii="宋体" w:hAnsi="宋体"/>
                <w:kern w:val="0"/>
                <w:szCs w:val="21"/>
              </w:rPr>
              <w:instrText xml:space="preserve"> =SUM(ABOVE) \* MERGEFORMAT </w:instrText>
            </w:r>
            <w:r>
              <w:rPr>
                <w:rFonts w:ascii="宋体" w:hAnsi="宋体"/>
                <w:kern w:val="0"/>
                <w:szCs w:val="21"/>
              </w:rPr>
              <w:fldChar w:fldCharType="separate"/>
            </w:r>
            <w:r>
              <w:rPr>
                <w:rFonts w:ascii="宋体" w:hAnsi="宋体"/>
                <w:kern w:val="0"/>
                <w:szCs w:val="21"/>
              </w:rPr>
              <w:t>373.74</w:t>
            </w:r>
            <w:r>
              <w:rPr>
                <w:rFonts w:ascii="宋体" w:hAnsi="宋体"/>
                <w:kern w:val="0"/>
                <w:szCs w:val="21"/>
              </w:rPr>
              <w:fldChar w:fldCharType="end"/>
            </w:r>
          </w:p>
        </w:tc>
      </w:tr>
    </w:tbl>
    <w:p>
      <w:pPr>
        <w:spacing w:line="440" w:lineRule="exact"/>
        <w:ind w:firstLine="640"/>
        <w:rPr>
          <w:kern w:val="0"/>
          <w:sz w:val="20"/>
          <w:szCs w:val="20"/>
        </w:rPr>
      </w:pPr>
      <w:r>
        <w:rPr>
          <w:rFonts w:hint="eastAsia" w:ascii="宋体" w:hAnsi="宋体"/>
          <w:kern w:val="0"/>
          <w:sz w:val="28"/>
          <w:szCs w:val="28"/>
        </w:rPr>
        <w:t>（</w:t>
      </w:r>
      <w:r>
        <w:rPr>
          <w:rFonts w:ascii="宋体" w:hAnsi="宋体"/>
          <w:kern w:val="0"/>
          <w:sz w:val="28"/>
          <w:szCs w:val="28"/>
        </w:rPr>
        <w:t>2</w:t>
      </w:r>
      <w:r>
        <w:rPr>
          <w:rFonts w:hint="eastAsia" w:ascii="宋体" w:hAnsi="宋体"/>
          <w:kern w:val="0"/>
          <w:sz w:val="28"/>
          <w:szCs w:val="28"/>
        </w:rPr>
        <w:t>）上年结余和本年追加预算支出的使用范围、方向和内容</w:t>
      </w:r>
    </w:p>
    <w:p>
      <w:pPr>
        <w:spacing w:line="440" w:lineRule="exact"/>
        <w:ind w:firstLine="640"/>
        <w:rPr>
          <w:kern w:val="0"/>
          <w:sz w:val="20"/>
          <w:szCs w:val="20"/>
        </w:rPr>
      </w:pPr>
      <w:r>
        <w:rPr>
          <w:rFonts w:hint="eastAsia" w:ascii="宋体" w:hAnsi="宋体"/>
          <w:kern w:val="0"/>
          <w:sz w:val="28"/>
          <w:szCs w:val="28"/>
        </w:rPr>
        <w:t>上年结余资金和本年追加预算在预算指标文下达时即已明确使用用途和使用方向，需专款专用，追加明细详见上述追加事项明细表。</w:t>
      </w:r>
    </w:p>
    <w:p>
      <w:pPr>
        <w:spacing w:line="440" w:lineRule="exact"/>
        <w:ind w:firstLine="643"/>
        <w:rPr>
          <w:kern w:val="0"/>
          <w:sz w:val="20"/>
          <w:szCs w:val="20"/>
        </w:rPr>
      </w:pPr>
      <w:r>
        <w:rPr>
          <w:rFonts w:hint="eastAsia" w:ascii="宋体" w:hAnsi="宋体"/>
          <w:b/>
          <w:bCs/>
          <w:kern w:val="0"/>
          <w:sz w:val="28"/>
          <w:szCs w:val="28"/>
        </w:rPr>
        <w:t>（二）年度预算收支决算情况</w:t>
      </w:r>
    </w:p>
    <w:p>
      <w:pPr>
        <w:spacing w:line="440" w:lineRule="exact"/>
        <w:ind w:firstLine="643"/>
        <w:rPr>
          <w:kern w:val="0"/>
          <w:sz w:val="20"/>
          <w:szCs w:val="20"/>
        </w:rPr>
      </w:pPr>
      <w:r>
        <w:rPr>
          <w:rFonts w:ascii="宋体" w:hAnsi="宋体"/>
          <w:b/>
          <w:bCs/>
          <w:kern w:val="0"/>
          <w:sz w:val="28"/>
          <w:szCs w:val="28"/>
        </w:rPr>
        <w:t>1. 2020</w:t>
      </w:r>
      <w:r>
        <w:rPr>
          <w:rFonts w:hint="eastAsia" w:ascii="宋体" w:hAnsi="宋体"/>
          <w:b/>
          <w:bCs/>
          <w:kern w:val="0"/>
          <w:sz w:val="28"/>
          <w:szCs w:val="28"/>
        </w:rPr>
        <w:t>年度预算收入决算情况</w:t>
      </w:r>
    </w:p>
    <w:p>
      <w:pPr>
        <w:spacing w:line="440" w:lineRule="exact"/>
        <w:ind w:firstLine="643"/>
        <w:rPr>
          <w:kern w:val="0"/>
          <w:sz w:val="20"/>
          <w:szCs w:val="20"/>
        </w:rPr>
      </w:pPr>
      <w:r>
        <w:rPr>
          <w:rFonts w:ascii="宋体" w:hAnsi="宋体"/>
          <w:b/>
          <w:bCs/>
          <w:kern w:val="0"/>
          <w:sz w:val="28"/>
          <w:szCs w:val="28"/>
        </w:rPr>
        <w:t>2020</w:t>
      </w:r>
      <w:r>
        <w:rPr>
          <w:rFonts w:hint="eastAsia" w:ascii="宋体" w:hAnsi="宋体"/>
          <w:b/>
          <w:bCs/>
          <w:kern w:val="0"/>
          <w:sz w:val="28"/>
          <w:szCs w:val="28"/>
        </w:rPr>
        <w:t>年本局财政拨款收入决算情况</w:t>
      </w:r>
    </w:p>
    <w:p>
      <w:pPr>
        <w:spacing w:line="440" w:lineRule="exact"/>
        <w:ind w:firstLine="7039" w:firstLineChars="2504"/>
        <w:rPr>
          <w:kern w:val="0"/>
          <w:sz w:val="20"/>
          <w:szCs w:val="20"/>
        </w:rPr>
      </w:pPr>
      <w:r>
        <w:rPr>
          <w:rFonts w:hint="eastAsia" w:ascii="宋体" w:hAnsi="宋体"/>
          <w:b/>
          <w:bCs/>
          <w:kern w:val="0"/>
          <w:sz w:val="28"/>
          <w:szCs w:val="28"/>
        </w:rPr>
        <w:t>单位：万元</w:t>
      </w:r>
    </w:p>
    <w:tbl>
      <w:tblPr>
        <w:tblStyle w:val="4"/>
        <w:tblW w:w="0" w:type="auto"/>
        <w:tblInd w:w="108" w:type="dxa"/>
        <w:tblLayout w:type="autofit"/>
        <w:tblCellMar>
          <w:top w:w="0" w:type="dxa"/>
          <w:left w:w="0" w:type="dxa"/>
          <w:bottom w:w="0" w:type="dxa"/>
          <w:right w:w="0" w:type="dxa"/>
        </w:tblCellMar>
      </w:tblPr>
      <w:tblGrid>
        <w:gridCol w:w="1916"/>
        <w:gridCol w:w="1739"/>
        <w:gridCol w:w="1761"/>
        <w:gridCol w:w="1797"/>
        <w:gridCol w:w="1515"/>
      </w:tblGrid>
      <w:tr>
        <w:tblPrEx>
          <w:tblCellMar>
            <w:top w:w="0" w:type="dxa"/>
            <w:left w:w="0" w:type="dxa"/>
            <w:bottom w:w="0" w:type="dxa"/>
            <w:right w:w="0" w:type="dxa"/>
          </w:tblCellMar>
        </w:tblPrEx>
        <w:trPr>
          <w:trHeight w:val="90" w:hRule="atLeast"/>
        </w:trPr>
        <w:tc>
          <w:tcPr>
            <w:tcW w:w="191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hint="eastAsia" w:ascii="宋体" w:hAnsi="宋体"/>
                <w:b/>
                <w:bCs/>
                <w:kern w:val="0"/>
                <w:szCs w:val="21"/>
              </w:rPr>
              <w:t>预算可用指标</w:t>
            </w:r>
          </w:p>
        </w:tc>
        <w:tc>
          <w:tcPr>
            <w:tcW w:w="1739"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hint="eastAsia" w:ascii="宋体" w:hAnsi="宋体"/>
                <w:b/>
                <w:bCs/>
                <w:kern w:val="0"/>
                <w:szCs w:val="21"/>
              </w:rPr>
              <w:t>财政拨款收入</w:t>
            </w:r>
          </w:p>
        </w:tc>
        <w:tc>
          <w:tcPr>
            <w:tcW w:w="1761"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hint="eastAsia" w:ascii="宋体" w:hAnsi="宋体"/>
                <w:b/>
                <w:bCs/>
                <w:kern w:val="0"/>
                <w:szCs w:val="21"/>
              </w:rPr>
              <w:t>本年度指标结余</w:t>
            </w:r>
          </w:p>
        </w:tc>
        <w:tc>
          <w:tcPr>
            <w:tcW w:w="179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hint="eastAsia" w:ascii="宋体" w:hAnsi="宋体"/>
                <w:b/>
                <w:bCs/>
                <w:kern w:val="0"/>
                <w:szCs w:val="21"/>
              </w:rPr>
              <w:t>上年度指标结余</w:t>
            </w:r>
          </w:p>
        </w:tc>
        <w:tc>
          <w:tcPr>
            <w:tcW w:w="1515"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hint="eastAsia" w:ascii="宋体" w:hAnsi="宋体"/>
                <w:b/>
                <w:bCs/>
                <w:kern w:val="0"/>
                <w:szCs w:val="21"/>
              </w:rPr>
              <w:t>结余增加</w:t>
            </w:r>
          </w:p>
        </w:tc>
      </w:tr>
      <w:tr>
        <w:tblPrEx>
          <w:tblCellMar>
            <w:top w:w="0" w:type="dxa"/>
            <w:left w:w="0" w:type="dxa"/>
            <w:bottom w:w="0" w:type="dxa"/>
            <w:right w:w="0" w:type="dxa"/>
          </w:tblCellMar>
        </w:tblPrEx>
        <w:trPr>
          <w:trHeight w:val="90" w:hRule="atLeast"/>
        </w:trPr>
        <w:tc>
          <w:tcPr>
            <w:tcW w:w="1916" w:type="dxa"/>
            <w:tcBorders>
              <w:top w:val="nil"/>
              <w:left w:val="single" w:color="000000" w:sz="8" w:space="0"/>
              <w:bottom w:val="nil"/>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kern w:val="0"/>
                <w:sz w:val="20"/>
                <w:szCs w:val="20"/>
              </w:rPr>
              <w:t>562.39</w:t>
            </w:r>
          </w:p>
        </w:tc>
        <w:tc>
          <w:tcPr>
            <w:tcW w:w="1739" w:type="dxa"/>
            <w:tcBorders>
              <w:top w:val="nil"/>
              <w:left w:val="nil"/>
              <w:bottom w:val="nil"/>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kern w:val="0"/>
                <w:sz w:val="20"/>
                <w:szCs w:val="20"/>
              </w:rPr>
              <w:t>562.39</w:t>
            </w:r>
          </w:p>
        </w:tc>
        <w:tc>
          <w:tcPr>
            <w:tcW w:w="1761" w:type="dxa"/>
            <w:tcBorders>
              <w:top w:val="nil"/>
              <w:left w:val="nil"/>
              <w:bottom w:val="nil"/>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hAnsi="宋体"/>
                <w:kern w:val="0"/>
                <w:szCs w:val="21"/>
              </w:rPr>
              <w:t>17.17</w:t>
            </w:r>
          </w:p>
        </w:tc>
        <w:tc>
          <w:tcPr>
            <w:tcW w:w="1797" w:type="dxa"/>
            <w:tcBorders>
              <w:top w:val="nil"/>
              <w:left w:val="nil"/>
              <w:bottom w:val="nil"/>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kern w:val="0"/>
                <w:szCs w:val="21"/>
              </w:rPr>
              <w:t>0</w:t>
            </w:r>
          </w:p>
        </w:tc>
        <w:tc>
          <w:tcPr>
            <w:tcW w:w="1515" w:type="dxa"/>
            <w:tcBorders>
              <w:top w:val="nil"/>
              <w:left w:val="nil"/>
              <w:bottom w:val="nil"/>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hAnsi="宋体"/>
                <w:kern w:val="0"/>
                <w:szCs w:val="21"/>
              </w:rPr>
              <w:t>17.17</w:t>
            </w:r>
          </w:p>
        </w:tc>
      </w:tr>
      <w:tr>
        <w:tblPrEx>
          <w:tblCellMar>
            <w:top w:w="0" w:type="dxa"/>
            <w:left w:w="0" w:type="dxa"/>
            <w:bottom w:w="0" w:type="dxa"/>
            <w:right w:w="0" w:type="dxa"/>
          </w:tblCellMar>
        </w:tblPrEx>
        <w:trPr>
          <w:trHeight w:val="90" w:hRule="atLeast"/>
        </w:trPr>
        <w:tc>
          <w:tcPr>
            <w:tcW w:w="191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highlight w:val="yellow"/>
              </w:rPr>
            </w:pPr>
          </w:p>
        </w:tc>
        <w:tc>
          <w:tcPr>
            <w:tcW w:w="173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rFonts w:ascii="宋体"/>
                <w:kern w:val="0"/>
                <w:szCs w:val="21"/>
                <w:highlight w:val="yellow"/>
              </w:rPr>
            </w:pPr>
          </w:p>
        </w:tc>
        <w:tc>
          <w:tcPr>
            <w:tcW w:w="1761"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rFonts w:ascii="宋体"/>
                <w:kern w:val="0"/>
                <w:szCs w:val="21"/>
                <w:highlight w:val="yellow"/>
              </w:rPr>
            </w:pPr>
          </w:p>
        </w:tc>
        <w:tc>
          <w:tcPr>
            <w:tcW w:w="179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rFonts w:ascii="宋体"/>
                <w:kern w:val="0"/>
                <w:szCs w:val="21"/>
                <w:highlight w:val="yellow"/>
              </w:rPr>
            </w:pPr>
          </w:p>
        </w:tc>
        <w:tc>
          <w:tcPr>
            <w:tcW w:w="151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rFonts w:ascii="宋体"/>
                <w:kern w:val="0"/>
                <w:szCs w:val="21"/>
                <w:highlight w:val="yellow"/>
              </w:rPr>
            </w:pPr>
          </w:p>
        </w:tc>
      </w:tr>
    </w:tbl>
    <w:p>
      <w:pPr>
        <w:spacing w:line="440" w:lineRule="exact"/>
        <w:ind w:firstLine="640"/>
        <w:rPr>
          <w:rFonts w:ascii="宋体"/>
          <w:b/>
          <w:bCs/>
          <w:kern w:val="0"/>
          <w:sz w:val="28"/>
          <w:szCs w:val="28"/>
        </w:rPr>
      </w:pPr>
      <w:r>
        <w:rPr>
          <w:rFonts w:ascii="宋体" w:hAnsi="宋体"/>
          <w:kern w:val="0"/>
          <w:sz w:val="28"/>
          <w:szCs w:val="28"/>
        </w:rPr>
        <w:t>2</w:t>
      </w:r>
      <w:r>
        <w:rPr>
          <w:rFonts w:hint="eastAsia" w:ascii="宋体" w:hAnsi="宋体"/>
          <w:kern w:val="0"/>
          <w:sz w:val="28"/>
          <w:szCs w:val="28"/>
        </w:rPr>
        <w:t>．</w:t>
      </w:r>
      <w:r>
        <w:rPr>
          <w:rFonts w:ascii="宋体" w:hAnsi="宋体"/>
          <w:b/>
          <w:bCs/>
          <w:kern w:val="0"/>
          <w:sz w:val="28"/>
          <w:szCs w:val="28"/>
        </w:rPr>
        <w:t>2020</w:t>
      </w:r>
      <w:r>
        <w:rPr>
          <w:rFonts w:hint="eastAsia" w:ascii="宋体" w:hAnsi="宋体"/>
          <w:b/>
          <w:bCs/>
          <w:kern w:val="0"/>
          <w:sz w:val="28"/>
          <w:szCs w:val="28"/>
        </w:rPr>
        <w:t>年度预算支出决算及结余情况</w:t>
      </w:r>
    </w:p>
    <w:tbl>
      <w:tblPr>
        <w:tblStyle w:val="4"/>
        <w:tblW w:w="8756" w:type="dxa"/>
        <w:tblInd w:w="108" w:type="dxa"/>
        <w:tblLayout w:type="fixed"/>
        <w:tblCellMar>
          <w:top w:w="0" w:type="dxa"/>
          <w:left w:w="0" w:type="dxa"/>
          <w:bottom w:w="0" w:type="dxa"/>
          <w:right w:w="0" w:type="dxa"/>
        </w:tblCellMar>
      </w:tblPr>
      <w:tblGrid>
        <w:gridCol w:w="3156"/>
        <w:gridCol w:w="1835"/>
        <w:gridCol w:w="1560"/>
        <w:gridCol w:w="2205"/>
      </w:tblGrid>
      <w:tr>
        <w:tblPrEx>
          <w:tblCellMar>
            <w:top w:w="0" w:type="dxa"/>
            <w:left w:w="0" w:type="dxa"/>
            <w:bottom w:w="0" w:type="dxa"/>
            <w:right w:w="0" w:type="dxa"/>
          </w:tblCellMar>
        </w:tblPrEx>
        <w:trPr>
          <w:trHeight w:val="405" w:hRule="atLeast"/>
        </w:trPr>
        <w:tc>
          <w:tcPr>
            <w:tcW w:w="3156"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比较项目</w:t>
            </w:r>
          </w:p>
        </w:tc>
        <w:tc>
          <w:tcPr>
            <w:tcW w:w="1835" w:type="dxa"/>
            <w:vMerge w:val="restar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ind w:firstLine="442"/>
              <w:jc w:val="both"/>
              <w:rPr>
                <w:color w:val="222222"/>
                <w:kern w:val="0"/>
                <w:szCs w:val="21"/>
              </w:rPr>
            </w:pPr>
            <w:r>
              <w:rPr>
                <w:rFonts w:hint="eastAsia" w:ascii="宋体" w:hAnsi="宋体"/>
                <w:b/>
                <w:bCs/>
                <w:color w:val="222222"/>
                <w:kern w:val="0"/>
                <w:sz w:val="22"/>
                <w:szCs w:val="22"/>
              </w:rPr>
              <w:t>支出项目</w:t>
            </w:r>
          </w:p>
        </w:tc>
        <w:tc>
          <w:tcPr>
            <w:tcW w:w="3765" w:type="dxa"/>
            <w:gridSpan w:val="2"/>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机关本级（万元）</w:t>
            </w:r>
          </w:p>
        </w:tc>
      </w:tr>
      <w:tr>
        <w:tblPrEx>
          <w:tblCellMar>
            <w:top w:w="0" w:type="dxa"/>
            <w:left w:w="0" w:type="dxa"/>
            <w:bottom w:w="0" w:type="dxa"/>
            <w:right w:w="0" w:type="dxa"/>
          </w:tblCellMar>
        </w:tblPrEx>
        <w:trPr>
          <w:trHeight w:val="405" w:hRule="atLeast"/>
        </w:trPr>
        <w:tc>
          <w:tcPr>
            <w:tcW w:w="315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color w:val="222222"/>
                <w:kern w:val="0"/>
                <w:szCs w:val="21"/>
              </w:rPr>
            </w:pPr>
          </w:p>
        </w:tc>
        <w:tc>
          <w:tcPr>
            <w:tcW w:w="1835" w:type="dxa"/>
            <w:vMerge w:val="continue"/>
            <w:tcBorders>
              <w:top w:val="single" w:color="000000" w:sz="8" w:space="0"/>
              <w:left w:val="nil"/>
              <w:bottom w:val="single" w:color="000000" w:sz="8" w:space="0"/>
              <w:right w:val="single" w:color="000000" w:sz="8" w:space="0"/>
            </w:tcBorders>
            <w:vAlign w:val="center"/>
          </w:tcPr>
          <w:p>
            <w:pPr>
              <w:widowControl/>
              <w:jc w:val="left"/>
              <w:rPr>
                <w:color w:val="222222"/>
                <w:kern w:val="0"/>
                <w:szCs w:val="21"/>
              </w:rPr>
            </w:pP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合</w:t>
            </w:r>
            <w:r>
              <w:rPr>
                <w:rFonts w:ascii="宋体" w:hAnsi="宋体"/>
                <w:b/>
                <w:bCs/>
                <w:color w:val="222222"/>
                <w:kern w:val="0"/>
                <w:sz w:val="22"/>
                <w:szCs w:val="22"/>
              </w:rPr>
              <w:t xml:space="preserve"> </w:t>
            </w:r>
            <w:r>
              <w:rPr>
                <w:rFonts w:hint="eastAsia" w:ascii="宋体" w:hAnsi="宋体"/>
                <w:b/>
                <w:bCs/>
                <w:color w:val="222222"/>
                <w:kern w:val="0"/>
                <w:sz w:val="22"/>
                <w:szCs w:val="22"/>
              </w:rPr>
              <w:t>计</w:t>
            </w:r>
          </w:p>
        </w:tc>
        <w:tc>
          <w:tcPr>
            <w:tcW w:w="220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ind w:firstLine="221" w:firstLineChars="100"/>
              <w:jc w:val="both"/>
              <w:rPr>
                <w:color w:val="222222"/>
                <w:kern w:val="0"/>
                <w:szCs w:val="21"/>
              </w:rPr>
            </w:pPr>
            <w:r>
              <w:rPr>
                <w:rFonts w:hint="eastAsia" w:ascii="宋体" w:hAnsi="宋体"/>
                <w:b/>
                <w:bCs/>
                <w:color w:val="222222"/>
                <w:kern w:val="0"/>
                <w:sz w:val="22"/>
                <w:szCs w:val="22"/>
              </w:rPr>
              <w:t>其中：财政拨款</w:t>
            </w:r>
          </w:p>
        </w:tc>
      </w:tr>
      <w:tr>
        <w:tblPrEx>
          <w:tblCellMar>
            <w:top w:w="0" w:type="dxa"/>
            <w:left w:w="0" w:type="dxa"/>
            <w:bottom w:w="0" w:type="dxa"/>
            <w:right w:w="0" w:type="dxa"/>
          </w:tblCellMar>
        </w:tblPrEx>
        <w:trPr>
          <w:trHeight w:val="405" w:hRule="atLeast"/>
        </w:trPr>
        <w:tc>
          <w:tcPr>
            <w:tcW w:w="315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预算金额</w:t>
            </w:r>
          </w:p>
        </w:tc>
        <w:tc>
          <w:tcPr>
            <w:tcW w:w="183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基本支出</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color w:val="222222"/>
                <w:kern w:val="0"/>
                <w:szCs w:val="21"/>
              </w:rPr>
            </w:pPr>
            <w:r>
              <w:rPr>
                <w:rFonts w:ascii="宋体" w:hAnsi="宋体"/>
                <w:kern w:val="0"/>
                <w:szCs w:val="21"/>
              </w:rPr>
              <w:t>296.01</w:t>
            </w:r>
          </w:p>
        </w:tc>
        <w:tc>
          <w:tcPr>
            <w:tcW w:w="220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color w:val="222222"/>
                <w:kern w:val="0"/>
                <w:szCs w:val="21"/>
              </w:rPr>
            </w:pPr>
            <w:r>
              <w:rPr>
                <w:rFonts w:ascii="宋体" w:hAnsi="宋体"/>
                <w:kern w:val="0"/>
                <w:szCs w:val="21"/>
              </w:rPr>
              <w:t>296.01</w:t>
            </w:r>
          </w:p>
        </w:tc>
      </w:tr>
      <w:tr>
        <w:tblPrEx>
          <w:tblCellMar>
            <w:top w:w="0" w:type="dxa"/>
            <w:left w:w="0" w:type="dxa"/>
            <w:bottom w:w="0" w:type="dxa"/>
            <w:right w:w="0" w:type="dxa"/>
          </w:tblCellMar>
        </w:tblPrEx>
        <w:trPr>
          <w:trHeight w:val="405" w:hRule="atLeast"/>
        </w:trPr>
        <w:tc>
          <w:tcPr>
            <w:tcW w:w="3156" w:type="dxa"/>
            <w:vMerge w:val="continue"/>
            <w:tcBorders>
              <w:top w:val="nil"/>
              <w:left w:val="single" w:color="000000" w:sz="8" w:space="0"/>
              <w:bottom w:val="single" w:color="000000" w:sz="8" w:space="0"/>
              <w:right w:val="single" w:color="000000" w:sz="8" w:space="0"/>
            </w:tcBorders>
            <w:vAlign w:val="center"/>
          </w:tcPr>
          <w:p>
            <w:pPr>
              <w:widowControl/>
              <w:jc w:val="left"/>
              <w:rPr>
                <w:color w:val="222222"/>
                <w:kern w:val="0"/>
                <w:szCs w:val="21"/>
              </w:rPr>
            </w:pPr>
          </w:p>
        </w:tc>
        <w:tc>
          <w:tcPr>
            <w:tcW w:w="183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项目支出</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color w:val="222222"/>
                <w:kern w:val="0"/>
                <w:szCs w:val="21"/>
              </w:rPr>
            </w:pPr>
            <w:r>
              <w:rPr>
                <w:rFonts w:ascii="宋体" w:hAnsi="宋体"/>
                <w:kern w:val="0"/>
                <w:szCs w:val="21"/>
              </w:rPr>
              <w:t>266.38</w:t>
            </w:r>
          </w:p>
        </w:tc>
        <w:tc>
          <w:tcPr>
            <w:tcW w:w="220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color w:val="222222"/>
                <w:kern w:val="0"/>
                <w:szCs w:val="21"/>
              </w:rPr>
            </w:pPr>
            <w:r>
              <w:rPr>
                <w:rFonts w:ascii="宋体" w:hAnsi="宋体"/>
                <w:kern w:val="0"/>
                <w:szCs w:val="21"/>
              </w:rPr>
              <w:t>266.38</w:t>
            </w:r>
          </w:p>
        </w:tc>
      </w:tr>
      <w:tr>
        <w:tblPrEx>
          <w:tblCellMar>
            <w:top w:w="0" w:type="dxa"/>
            <w:left w:w="0" w:type="dxa"/>
            <w:bottom w:w="0" w:type="dxa"/>
            <w:right w:w="0" w:type="dxa"/>
          </w:tblCellMar>
        </w:tblPrEx>
        <w:trPr>
          <w:trHeight w:val="405" w:hRule="atLeast"/>
        </w:trPr>
        <w:tc>
          <w:tcPr>
            <w:tcW w:w="3156" w:type="dxa"/>
            <w:vMerge w:val="continue"/>
            <w:tcBorders>
              <w:top w:val="nil"/>
              <w:left w:val="single" w:color="000000" w:sz="8" w:space="0"/>
              <w:bottom w:val="single" w:color="000000" w:sz="8" w:space="0"/>
              <w:right w:val="single" w:color="000000" w:sz="8" w:space="0"/>
            </w:tcBorders>
            <w:vAlign w:val="center"/>
          </w:tcPr>
          <w:p>
            <w:pPr>
              <w:widowControl/>
              <w:jc w:val="left"/>
              <w:rPr>
                <w:color w:val="222222"/>
                <w:kern w:val="0"/>
                <w:szCs w:val="21"/>
              </w:rPr>
            </w:pPr>
          </w:p>
        </w:tc>
        <w:tc>
          <w:tcPr>
            <w:tcW w:w="183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合</w:t>
            </w:r>
            <w:r>
              <w:rPr>
                <w:rFonts w:ascii="宋体" w:hAnsi="宋体"/>
                <w:b/>
                <w:bCs/>
                <w:color w:val="222222"/>
                <w:kern w:val="0"/>
                <w:sz w:val="22"/>
                <w:szCs w:val="22"/>
              </w:rPr>
              <w:t xml:space="preserve"> </w:t>
            </w:r>
            <w:r>
              <w:rPr>
                <w:rFonts w:hint="eastAsia" w:ascii="宋体" w:hAnsi="宋体"/>
                <w:b/>
                <w:bCs/>
                <w:color w:val="222222"/>
                <w:kern w:val="0"/>
                <w:sz w:val="22"/>
                <w:szCs w:val="22"/>
              </w:rPr>
              <w:t>计</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color w:val="222222"/>
                <w:kern w:val="0"/>
                <w:szCs w:val="21"/>
              </w:rPr>
            </w:pPr>
            <w:r>
              <w:rPr>
                <w:rFonts w:ascii="宋体" w:hAnsi="宋体"/>
                <w:kern w:val="0"/>
                <w:szCs w:val="21"/>
              </w:rPr>
              <w:fldChar w:fldCharType="begin"/>
            </w:r>
            <w:r>
              <w:rPr>
                <w:rFonts w:ascii="宋体" w:hAnsi="宋体"/>
                <w:kern w:val="0"/>
                <w:szCs w:val="21"/>
              </w:rPr>
              <w:instrText xml:space="preserve"> =SUM(ABOVE) \* MERGEFORMAT </w:instrText>
            </w:r>
            <w:r>
              <w:rPr>
                <w:rFonts w:ascii="宋体" w:hAnsi="宋体"/>
                <w:kern w:val="0"/>
                <w:szCs w:val="21"/>
              </w:rPr>
              <w:fldChar w:fldCharType="separate"/>
            </w:r>
            <w:r>
              <w:rPr>
                <w:rFonts w:ascii="宋体" w:hAnsi="宋体"/>
                <w:kern w:val="0"/>
                <w:szCs w:val="21"/>
              </w:rPr>
              <w:t>562.39</w:t>
            </w:r>
            <w:r>
              <w:rPr>
                <w:rFonts w:ascii="宋体" w:hAnsi="宋体"/>
                <w:kern w:val="0"/>
                <w:szCs w:val="21"/>
              </w:rPr>
              <w:fldChar w:fldCharType="end"/>
            </w:r>
          </w:p>
        </w:tc>
        <w:tc>
          <w:tcPr>
            <w:tcW w:w="220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color w:val="222222"/>
                <w:kern w:val="0"/>
                <w:szCs w:val="21"/>
              </w:rPr>
            </w:pPr>
            <w:r>
              <w:rPr>
                <w:rFonts w:ascii="宋体" w:hAnsi="宋体"/>
                <w:kern w:val="0"/>
                <w:szCs w:val="21"/>
              </w:rPr>
              <w:fldChar w:fldCharType="begin"/>
            </w:r>
            <w:r>
              <w:rPr>
                <w:rFonts w:ascii="宋体" w:hAnsi="宋体"/>
                <w:kern w:val="0"/>
                <w:szCs w:val="21"/>
              </w:rPr>
              <w:instrText xml:space="preserve"> =SUM(ABOVE) \* MERGEFORMAT </w:instrText>
            </w:r>
            <w:r>
              <w:rPr>
                <w:rFonts w:ascii="宋体" w:hAnsi="宋体"/>
                <w:kern w:val="0"/>
                <w:szCs w:val="21"/>
              </w:rPr>
              <w:fldChar w:fldCharType="separate"/>
            </w:r>
            <w:r>
              <w:rPr>
                <w:rFonts w:ascii="宋体" w:hAnsi="宋体"/>
                <w:kern w:val="0"/>
                <w:szCs w:val="21"/>
              </w:rPr>
              <w:t>562.39</w:t>
            </w:r>
            <w:r>
              <w:rPr>
                <w:rFonts w:ascii="宋体" w:hAnsi="宋体"/>
                <w:kern w:val="0"/>
                <w:szCs w:val="21"/>
              </w:rPr>
              <w:fldChar w:fldCharType="end"/>
            </w:r>
          </w:p>
        </w:tc>
      </w:tr>
      <w:tr>
        <w:tblPrEx>
          <w:tblCellMar>
            <w:top w:w="0" w:type="dxa"/>
            <w:left w:w="0" w:type="dxa"/>
            <w:bottom w:w="0" w:type="dxa"/>
            <w:right w:w="0" w:type="dxa"/>
          </w:tblCellMar>
        </w:tblPrEx>
        <w:trPr>
          <w:trHeight w:val="405" w:hRule="atLeast"/>
        </w:trPr>
        <w:tc>
          <w:tcPr>
            <w:tcW w:w="315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决算金额</w:t>
            </w:r>
          </w:p>
        </w:tc>
        <w:tc>
          <w:tcPr>
            <w:tcW w:w="183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基本支出</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color w:val="222222"/>
                <w:kern w:val="0"/>
                <w:szCs w:val="21"/>
              </w:rPr>
            </w:pPr>
            <w:r>
              <w:rPr>
                <w:rFonts w:ascii="宋体" w:hAnsi="宋体"/>
                <w:kern w:val="0"/>
                <w:szCs w:val="21"/>
              </w:rPr>
              <w:t>228.0</w:t>
            </w:r>
          </w:p>
        </w:tc>
        <w:tc>
          <w:tcPr>
            <w:tcW w:w="220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color w:val="222222"/>
                <w:kern w:val="0"/>
                <w:szCs w:val="21"/>
              </w:rPr>
            </w:pPr>
            <w:r>
              <w:rPr>
                <w:rFonts w:ascii="宋体" w:hAnsi="宋体"/>
                <w:kern w:val="0"/>
                <w:szCs w:val="21"/>
              </w:rPr>
              <w:t>212.85</w:t>
            </w:r>
          </w:p>
        </w:tc>
      </w:tr>
      <w:tr>
        <w:tblPrEx>
          <w:tblCellMar>
            <w:top w:w="0" w:type="dxa"/>
            <w:left w:w="0" w:type="dxa"/>
            <w:bottom w:w="0" w:type="dxa"/>
            <w:right w:w="0" w:type="dxa"/>
          </w:tblCellMar>
        </w:tblPrEx>
        <w:trPr>
          <w:trHeight w:val="405" w:hRule="atLeast"/>
        </w:trPr>
        <w:tc>
          <w:tcPr>
            <w:tcW w:w="3156" w:type="dxa"/>
            <w:vMerge w:val="continue"/>
            <w:tcBorders>
              <w:top w:val="nil"/>
              <w:left w:val="single" w:color="000000" w:sz="8" w:space="0"/>
              <w:bottom w:val="single" w:color="000000" w:sz="8" w:space="0"/>
              <w:right w:val="single" w:color="000000" w:sz="8" w:space="0"/>
            </w:tcBorders>
            <w:vAlign w:val="center"/>
          </w:tcPr>
          <w:p>
            <w:pPr>
              <w:widowControl/>
              <w:jc w:val="left"/>
              <w:rPr>
                <w:color w:val="222222"/>
                <w:kern w:val="0"/>
                <w:szCs w:val="21"/>
              </w:rPr>
            </w:pPr>
          </w:p>
        </w:tc>
        <w:tc>
          <w:tcPr>
            <w:tcW w:w="183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项目支出</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color w:val="222222"/>
                <w:kern w:val="0"/>
                <w:szCs w:val="21"/>
              </w:rPr>
            </w:pPr>
            <w:r>
              <w:rPr>
                <w:rFonts w:ascii="宋体" w:hAnsi="宋体"/>
                <w:kern w:val="0"/>
                <w:szCs w:val="21"/>
              </w:rPr>
              <w:t>373.74</w:t>
            </w:r>
          </w:p>
        </w:tc>
        <w:tc>
          <w:tcPr>
            <w:tcW w:w="220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color w:val="222222"/>
                <w:kern w:val="0"/>
                <w:szCs w:val="21"/>
              </w:rPr>
            </w:pPr>
            <w:r>
              <w:rPr>
                <w:kern w:val="0"/>
                <w:sz w:val="20"/>
                <w:szCs w:val="20"/>
              </w:rPr>
              <w:t>356.08</w:t>
            </w:r>
          </w:p>
        </w:tc>
      </w:tr>
      <w:tr>
        <w:trPr>
          <w:trHeight w:val="405" w:hRule="atLeast"/>
        </w:trPr>
        <w:tc>
          <w:tcPr>
            <w:tcW w:w="3156" w:type="dxa"/>
            <w:vMerge w:val="continue"/>
            <w:tcBorders>
              <w:top w:val="nil"/>
              <w:left w:val="single" w:color="000000" w:sz="8" w:space="0"/>
              <w:bottom w:val="single" w:color="000000" w:sz="8" w:space="0"/>
              <w:right w:val="single" w:color="000000" w:sz="8" w:space="0"/>
            </w:tcBorders>
            <w:vAlign w:val="center"/>
          </w:tcPr>
          <w:p>
            <w:pPr>
              <w:widowControl/>
              <w:jc w:val="left"/>
              <w:rPr>
                <w:color w:val="222222"/>
                <w:kern w:val="0"/>
                <w:szCs w:val="21"/>
              </w:rPr>
            </w:pPr>
          </w:p>
        </w:tc>
        <w:tc>
          <w:tcPr>
            <w:tcW w:w="183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合</w:t>
            </w:r>
            <w:r>
              <w:rPr>
                <w:rFonts w:ascii="宋体" w:hAnsi="宋体"/>
                <w:b/>
                <w:bCs/>
                <w:color w:val="222222"/>
                <w:kern w:val="0"/>
                <w:sz w:val="22"/>
                <w:szCs w:val="22"/>
              </w:rPr>
              <w:t xml:space="preserve"> </w:t>
            </w:r>
            <w:r>
              <w:rPr>
                <w:rFonts w:hint="eastAsia" w:ascii="宋体" w:hAnsi="宋体"/>
                <w:b/>
                <w:bCs/>
                <w:color w:val="222222"/>
                <w:kern w:val="0"/>
                <w:sz w:val="22"/>
                <w:szCs w:val="22"/>
              </w:rPr>
              <w:t>计</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color w:val="222222"/>
                <w:kern w:val="0"/>
                <w:szCs w:val="21"/>
              </w:rPr>
            </w:pPr>
            <w:r>
              <w:rPr>
                <w:rFonts w:ascii="宋体" w:hAnsi="宋体"/>
                <w:kern w:val="0"/>
                <w:szCs w:val="21"/>
              </w:rPr>
              <w:t>601.74</w:t>
            </w:r>
          </w:p>
        </w:tc>
        <w:tc>
          <w:tcPr>
            <w:tcW w:w="220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color w:val="222222"/>
                <w:kern w:val="0"/>
                <w:szCs w:val="21"/>
              </w:rPr>
            </w:pPr>
            <w:r>
              <w:rPr>
                <w:kern w:val="0"/>
                <w:sz w:val="20"/>
                <w:szCs w:val="20"/>
              </w:rPr>
              <w:t>568.93</w:t>
            </w:r>
          </w:p>
        </w:tc>
      </w:tr>
      <w:tr>
        <w:tblPrEx>
          <w:tblCellMar>
            <w:top w:w="0" w:type="dxa"/>
            <w:left w:w="0" w:type="dxa"/>
            <w:bottom w:w="0" w:type="dxa"/>
            <w:right w:w="0" w:type="dxa"/>
          </w:tblCellMar>
        </w:tblPrEx>
        <w:trPr>
          <w:trHeight w:val="405" w:hRule="atLeast"/>
        </w:trPr>
        <w:tc>
          <w:tcPr>
            <w:tcW w:w="315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执行差异</w:t>
            </w:r>
          </w:p>
          <w:p>
            <w:pPr>
              <w:widowControl/>
              <w:ind w:firstLine="442"/>
              <w:jc w:val="center"/>
              <w:rPr>
                <w:color w:val="222222"/>
                <w:kern w:val="0"/>
                <w:szCs w:val="21"/>
              </w:rPr>
            </w:pPr>
            <w:r>
              <w:rPr>
                <w:rFonts w:hint="eastAsia" w:ascii="宋体" w:hAnsi="宋体"/>
                <w:b/>
                <w:bCs/>
                <w:color w:val="222222"/>
                <w:kern w:val="0"/>
                <w:sz w:val="22"/>
                <w:szCs w:val="22"/>
              </w:rPr>
              <w:t>（预算</w:t>
            </w:r>
            <w:r>
              <w:rPr>
                <w:rFonts w:ascii="宋体"/>
                <w:b/>
                <w:bCs/>
                <w:color w:val="222222"/>
                <w:kern w:val="0"/>
                <w:sz w:val="22"/>
                <w:szCs w:val="22"/>
              </w:rPr>
              <w:t>-</w:t>
            </w:r>
            <w:r>
              <w:rPr>
                <w:rFonts w:hint="eastAsia" w:ascii="宋体" w:hAnsi="宋体"/>
                <w:b/>
                <w:bCs/>
                <w:color w:val="222222"/>
                <w:kern w:val="0"/>
                <w:sz w:val="22"/>
                <w:szCs w:val="22"/>
              </w:rPr>
              <w:t>决算）</w:t>
            </w:r>
          </w:p>
        </w:tc>
        <w:tc>
          <w:tcPr>
            <w:tcW w:w="183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基本支出</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color w:val="222222"/>
                <w:kern w:val="0"/>
                <w:szCs w:val="21"/>
              </w:rPr>
            </w:pPr>
            <w:r>
              <w:rPr>
                <w:kern w:val="0"/>
                <w:sz w:val="20"/>
                <w:szCs w:val="20"/>
              </w:rPr>
              <w:t xml:space="preserve"> 68.01</w:t>
            </w:r>
          </w:p>
        </w:tc>
        <w:tc>
          <w:tcPr>
            <w:tcW w:w="220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color w:val="222222"/>
                <w:kern w:val="0"/>
                <w:szCs w:val="21"/>
              </w:rPr>
            </w:pPr>
            <w:r>
              <w:rPr>
                <w:rFonts w:ascii="宋体" w:hAnsi="宋体"/>
                <w:kern w:val="0"/>
                <w:szCs w:val="21"/>
              </w:rPr>
              <w:t>83.16</w:t>
            </w:r>
          </w:p>
        </w:tc>
      </w:tr>
      <w:tr>
        <w:tblPrEx>
          <w:tblCellMar>
            <w:top w:w="0" w:type="dxa"/>
            <w:left w:w="0" w:type="dxa"/>
            <w:bottom w:w="0" w:type="dxa"/>
            <w:right w:w="0" w:type="dxa"/>
          </w:tblCellMar>
        </w:tblPrEx>
        <w:trPr>
          <w:trHeight w:val="405" w:hRule="atLeast"/>
        </w:trPr>
        <w:tc>
          <w:tcPr>
            <w:tcW w:w="3156" w:type="dxa"/>
            <w:vMerge w:val="continue"/>
            <w:tcBorders>
              <w:top w:val="nil"/>
              <w:left w:val="single" w:color="000000" w:sz="8" w:space="0"/>
              <w:bottom w:val="single" w:color="000000" w:sz="8" w:space="0"/>
              <w:right w:val="single" w:color="000000" w:sz="8" w:space="0"/>
            </w:tcBorders>
            <w:vAlign w:val="center"/>
          </w:tcPr>
          <w:p>
            <w:pPr>
              <w:widowControl/>
              <w:jc w:val="left"/>
              <w:rPr>
                <w:color w:val="222222"/>
                <w:kern w:val="0"/>
                <w:szCs w:val="21"/>
              </w:rPr>
            </w:pPr>
          </w:p>
        </w:tc>
        <w:tc>
          <w:tcPr>
            <w:tcW w:w="183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项目支出</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color w:val="222222"/>
                <w:kern w:val="0"/>
                <w:szCs w:val="21"/>
              </w:rPr>
            </w:pPr>
            <w:r>
              <w:rPr>
                <w:rFonts w:ascii="宋体"/>
                <w:kern w:val="0"/>
                <w:szCs w:val="21"/>
              </w:rPr>
              <w:t>-</w:t>
            </w:r>
            <w:r>
              <w:rPr>
                <w:rFonts w:ascii="宋体" w:hAnsi="宋体"/>
                <w:kern w:val="0"/>
                <w:szCs w:val="21"/>
              </w:rPr>
              <w:t>107.36</w:t>
            </w:r>
          </w:p>
        </w:tc>
        <w:tc>
          <w:tcPr>
            <w:tcW w:w="220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color w:val="222222"/>
                <w:kern w:val="0"/>
                <w:szCs w:val="21"/>
              </w:rPr>
            </w:pPr>
            <w:r>
              <w:rPr>
                <w:rFonts w:ascii="宋体"/>
                <w:kern w:val="0"/>
                <w:szCs w:val="21"/>
              </w:rPr>
              <w:t>-</w:t>
            </w:r>
            <w:r>
              <w:rPr>
                <w:rFonts w:ascii="宋体" w:hAnsi="宋体"/>
                <w:kern w:val="0"/>
                <w:szCs w:val="21"/>
              </w:rPr>
              <w:t>89.70</w:t>
            </w:r>
          </w:p>
        </w:tc>
      </w:tr>
      <w:tr>
        <w:tblPrEx>
          <w:tblCellMar>
            <w:top w:w="0" w:type="dxa"/>
            <w:left w:w="0" w:type="dxa"/>
            <w:bottom w:w="0" w:type="dxa"/>
            <w:right w:w="0" w:type="dxa"/>
          </w:tblCellMar>
        </w:tblPrEx>
        <w:trPr>
          <w:trHeight w:val="405" w:hRule="atLeast"/>
        </w:trPr>
        <w:tc>
          <w:tcPr>
            <w:tcW w:w="3156" w:type="dxa"/>
            <w:vMerge w:val="continue"/>
            <w:tcBorders>
              <w:top w:val="nil"/>
              <w:left w:val="single" w:color="000000" w:sz="8" w:space="0"/>
              <w:bottom w:val="single" w:color="000000" w:sz="8" w:space="0"/>
              <w:right w:val="single" w:color="000000" w:sz="8" w:space="0"/>
            </w:tcBorders>
            <w:vAlign w:val="center"/>
          </w:tcPr>
          <w:p>
            <w:pPr>
              <w:widowControl/>
              <w:jc w:val="left"/>
              <w:rPr>
                <w:color w:val="222222"/>
                <w:kern w:val="0"/>
                <w:szCs w:val="21"/>
              </w:rPr>
            </w:pPr>
          </w:p>
        </w:tc>
        <w:tc>
          <w:tcPr>
            <w:tcW w:w="183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合</w:t>
            </w:r>
            <w:r>
              <w:rPr>
                <w:rFonts w:ascii="宋体" w:hAnsi="宋体"/>
                <w:b/>
                <w:bCs/>
                <w:color w:val="222222"/>
                <w:kern w:val="0"/>
                <w:sz w:val="22"/>
                <w:szCs w:val="22"/>
              </w:rPr>
              <w:t xml:space="preserve"> </w:t>
            </w:r>
            <w:r>
              <w:rPr>
                <w:rFonts w:hint="eastAsia" w:ascii="宋体" w:hAnsi="宋体"/>
                <w:b/>
                <w:bCs/>
                <w:color w:val="222222"/>
                <w:kern w:val="0"/>
                <w:sz w:val="22"/>
                <w:szCs w:val="22"/>
              </w:rPr>
              <w:t>计</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color w:val="222222"/>
                <w:kern w:val="0"/>
                <w:szCs w:val="21"/>
              </w:rPr>
            </w:pPr>
            <w:r>
              <w:rPr>
                <w:rFonts w:ascii="宋体"/>
                <w:kern w:val="0"/>
                <w:szCs w:val="21"/>
              </w:rPr>
              <w:t>-</w:t>
            </w:r>
            <w:r>
              <w:rPr>
                <w:rFonts w:ascii="宋体" w:hAnsi="宋体"/>
                <w:kern w:val="0"/>
                <w:szCs w:val="21"/>
              </w:rPr>
              <w:t>39.35</w:t>
            </w:r>
          </w:p>
        </w:tc>
        <w:tc>
          <w:tcPr>
            <w:tcW w:w="220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color w:val="222222"/>
                <w:kern w:val="0"/>
                <w:szCs w:val="21"/>
              </w:rPr>
            </w:pPr>
            <w:r>
              <w:rPr>
                <w:rFonts w:ascii="宋体"/>
                <w:kern w:val="0"/>
                <w:szCs w:val="21"/>
              </w:rPr>
              <w:t>-</w:t>
            </w:r>
            <w:r>
              <w:rPr>
                <w:rFonts w:ascii="宋体" w:hAnsi="宋体"/>
                <w:kern w:val="0"/>
                <w:szCs w:val="21"/>
              </w:rPr>
              <w:t>6.54</w:t>
            </w:r>
          </w:p>
        </w:tc>
      </w:tr>
    </w:tbl>
    <w:p>
      <w:pPr>
        <w:spacing w:line="500" w:lineRule="exact"/>
        <w:ind w:firstLine="640"/>
        <w:rPr>
          <w:kern w:val="0"/>
          <w:sz w:val="20"/>
          <w:szCs w:val="20"/>
        </w:rPr>
      </w:pPr>
      <w:r>
        <w:rPr>
          <w:rFonts w:hint="eastAsia" w:ascii="宋体" w:hAnsi="宋体"/>
          <w:kern w:val="0"/>
          <w:sz w:val="28"/>
          <w:szCs w:val="28"/>
        </w:rPr>
        <w:t>针对上述数据反映情况，说明如下：</w:t>
      </w:r>
    </w:p>
    <w:p>
      <w:pPr>
        <w:numPr>
          <w:ilvl w:val="0"/>
          <w:numId w:val="1"/>
        </w:numPr>
        <w:spacing w:line="500" w:lineRule="exact"/>
        <w:ind w:firstLine="640"/>
        <w:rPr>
          <w:rFonts w:ascii="宋体"/>
          <w:kern w:val="0"/>
          <w:sz w:val="28"/>
          <w:szCs w:val="28"/>
        </w:rPr>
      </w:pPr>
      <w:r>
        <w:rPr>
          <w:rFonts w:hint="eastAsia" w:ascii="宋体" w:hAnsi="宋体"/>
          <w:kern w:val="0"/>
          <w:sz w:val="28"/>
          <w:szCs w:val="28"/>
        </w:rPr>
        <w:t>通过加强预算收支管理，不断建立健全内部管理制度，梳理内部管理流程，部门整体支出管理情况得到提升。</w:t>
      </w:r>
    </w:p>
    <w:p>
      <w:pPr>
        <w:numPr>
          <w:ilvl w:val="0"/>
          <w:numId w:val="1"/>
        </w:numPr>
        <w:spacing w:line="500" w:lineRule="exact"/>
        <w:ind w:firstLine="640"/>
        <w:rPr>
          <w:rFonts w:ascii="宋体"/>
          <w:kern w:val="0"/>
          <w:sz w:val="28"/>
          <w:szCs w:val="28"/>
        </w:rPr>
      </w:pPr>
      <w:r>
        <w:rPr>
          <w:rFonts w:hint="eastAsia" w:ascii="宋体" w:hAnsi="宋体"/>
          <w:kern w:val="0"/>
          <w:sz w:val="28"/>
          <w:szCs w:val="28"/>
        </w:rPr>
        <w:t>年度预算资金收支情况</w:t>
      </w:r>
      <w:r>
        <w:rPr>
          <w:rFonts w:ascii="宋体" w:hAnsi="宋体"/>
          <w:kern w:val="0"/>
          <w:sz w:val="28"/>
          <w:szCs w:val="28"/>
        </w:rPr>
        <w:t>:2020</w:t>
      </w:r>
      <w:r>
        <w:rPr>
          <w:rFonts w:hint="eastAsia" w:ascii="宋体" w:hAnsi="宋体"/>
          <w:kern w:val="0"/>
          <w:sz w:val="28"/>
          <w:szCs w:val="28"/>
        </w:rPr>
        <w:t>年预算总收入</w:t>
      </w:r>
      <w:r>
        <w:rPr>
          <w:rFonts w:ascii="宋体" w:hAnsi="宋体"/>
          <w:kern w:val="0"/>
          <w:sz w:val="28"/>
          <w:szCs w:val="28"/>
        </w:rPr>
        <w:t>562.39</w:t>
      </w:r>
      <w:r>
        <w:rPr>
          <w:rFonts w:hint="eastAsia" w:ascii="宋体" w:hAnsi="宋体"/>
          <w:kern w:val="0"/>
          <w:sz w:val="28"/>
          <w:szCs w:val="28"/>
        </w:rPr>
        <w:t>万元，其中基本支出</w:t>
      </w:r>
      <w:r>
        <w:rPr>
          <w:rFonts w:ascii="宋体" w:hAnsi="宋体"/>
          <w:kern w:val="0"/>
          <w:sz w:val="28"/>
          <w:szCs w:val="28"/>
        </w:rPr>
        <w:t>293</w:t>
      </w:r>
      <w:r>
        <w:rPr>
          <w:rFonts w:hint="eastAsia" w:ascii="宋体" w:hAnsi="宋体"/>
          <w:kern w:val="0"/>
          <w:sz w:val="28"/>
          <w:szCs w:val="28"/>
        </w:rPr>
        <w:t>万元，项目支出</w:t>
      </w:r>
      <w:r>
        <w:rPr>
          <w:rFonts w:ascii="宋体" w:hAnsi="宋体"/>
          <w:kern w:val="0"/>
          <w:sz w:val="28"/>
          <w:szCs w:val="28"/>
        </w:rPr>
        <w:t>266.38</w:t>
      </w:r>
      <w:r>
        <w:rPr>
          <w:rFonts w:hint="eastAsia" w:ascii="宋体" w:hAnsi="宋体"/>
          <w:kern w:val="0"/>
          <w:sz w:val="28"/>
          <w:szCs w:val="28"/>
        </w:rPr>
        <w:t>万元。</w:t>
      </w:r>
      <w:r>
        <w:rPr>
          <w:rFonts w:ascii="宋体" w:hAnsi="宋体"/>
          <w:kern w:val="0"/>
          <w:sz w:val="28"/>
          <w:szCs w:val="28"/>
        </w:rPr>
        <w:t xml:space="preserve"> </w:t>
      </w:r>
    </w:p>
    <w:p>
      <w:pPr>
        <w:numPr>
          <w:ilvl w:val="0"/>
          <w:numId w:val="1"/>
        </w:numPr>
        <w:spacing w:line="500" w:lineRule="exact"/>
        <w:ind w:firstLine="640"/>
        <w:rPr>
          <w:rFonts w:ascii="宋体"/>
          <w:kern w:val="0"/>
          <w:sz w:val="28"/>
          <w:szCs w:val="28"/>
        </w:rPr>
      </w:pPr>
      <w:r>
        <w:rPr>
          <w:rFonts w:hint="eastAsia" w:ascii="宋体" w:hAnsi="宋体"/>
          <w:kern w:val="0"/>
          <w:sz w:val="28"/>
          <w:szCs w:val="28"/>
        </w:rPr>
        <w:t>全年决算总支出</w:t>
      </w:r>
      <w:r>
        <w:rPr>
          <w:rFonts w:ascii="宋体" w:hAnsi="宋体"/>
          <w:kern w:val="0"/>
          <w:sz w:val="28"/>
          <w:szCs w:val="28"/>
        </w:rPr>
        <w:t>601.74</w:t>
      </w:r>
      <w:r>
        <w:rPr>
          <w:rFonts w:hint="eastAsia" w:ascii="宋体" w:hAnsi="宋体"/>
          <w:kern w:val="0"/>
          <w:sz w:val="28"/>
          <w:szCs w:val="28"/>
        </w:rPr>
        <w:t>万元，其中基本支出</w:t>
      </w:r>
      <w:r>
        <w:rPr>
          <w:rFonts w:ascii="宋体" w:hAnsi="宋体"/>
          <w:kern w:val="0"/>
          <w:sz w:val="28"/>
          <w:szCs w:val="28"/>
        </w:rPr>
        <w:t>228</w:t>
      </w:r>
      <w:r>
        <w:rPr>
          <w:rFonts w:hint="eastAsia" w:ascii="宋体" w:hAnsi="宋体"/>
          <w:kern w:val="0"/>
          <w:sz w:val="28"/>
          <w:szCs w:val="28"/>
        </w:rPr>
        <w:t>万元，项目支出</w:t>
      </w:r>
      <w:r>
        <w:rPr>
          <w:rFonts w:ascii="宋体" w:hAnsi="宋体"/>
          <w:kern w:val="0"/>
          <w:sz w:val="28"/>
          <w:szCs w:val="28"/>
        </w:rPr>
        <w:t>373.74</w:t>
      </w:r>
      <w:r>
        <w:rPr>
          <w:rFonts w:hint="eastAsia" w:ascii="宋体" w:hAnsi="宋体"/>
          <w:kern w:val="0"/>
          <w:sz w:val="28"/>
          <w:szCs w:val="28"/>
        </w:rPr>
        <w:t>万元，决算数大于预算数主要因为项目支出增加。</w:t>
      </w:r>
    </w:p>
    <w:p>
      <w:pPr>
        <w:numPr>
          <w:ilvl w:val="0"/>
          <w:numId w:val="1"/>
        </w:numPr>
        <w:spacing w:line="500" w:lineRule="exact"/>
        <w:ind w:firstLine="640"/>
        <w:rPr>
          <w:rFonts w:ascii="宋体"/>
          <w:kern w:val="0"/>
          <w:sz w:val="28"/>
          <w:szCs w:val="28"/>
        </w:rPr>
      </w:pPr>
      <w:r>
        <w:rPr>
          <w:rFonts w:hint="eastAsia" w:ascii="宋体" w:hAnsi="宋体"/>
          <w:kern w:val="0"/>
          <w:sz w:val="28"/>
          <w:szCs w:val="28"/>
        </w:rPr>
        <w:t>年度财政拨款决算支出情况：</w:t>
      </w:r>
      <w:r>
        <w:rPr>
          <w:rFonts w:ascii="宋体" w:hAnsi="宋体"/>
          <w:kern w:val="0"/>
          <w:sz w:val="28"/>
          <w:szCs w:val="28"/>
        </w:rPr>
        <w:t>2020</w:t>
      </w:r>
      <w:r>
        <w:rPr>
          <w:rFonts w:hint="eastAsia" w:ascii="宋体" w:hAnsi="宋体"/>
          <w:kern w:val="0"/>
          <w:sz w:val="28"/>
          <w:szCs w:val="28"/>
        </w:rPr>
        <w:t>年年初预算为</w:t>
      </w:r>
      <w:r>
        <w:rPr>
          <w:rFonts w:ascii="宋体" w:hAnsi="宋体"/>
          <w:kern w:val="0"/>
          <w:sz w:val="28"/>
          <w:szCs w:val="28"/>
        </w:rPr>
        <w:t>568.93</w:t>
      </w:r>
      <w:r>
        <w:rPr>
          <w:rFonts w:hint="eastAsia" w:ascii="宋体" w:hAnsi="宋体"/>
          <w:kern w:val="0"/>
          <w:sz w:val="28"/>
          <w:szCs w:val="28"/>
        </w:rPr>
        <w:t>万元，其中基本支出</w:t>
      </w:r>
      <w:r>
        <w:rPr>
          <w:rFonts w:ascii="宋体" w:hAnsi="宋体"/>
          <w:kern w:val="0"/>
          <w:sz w:val="28"/>
          <w:szCs w:val="28"/>
        </w:rPr>
        <w:t>212.85</w:t>
      </w:r>
      <w:r>
        <w:rPr>
          <w:rFonts w:hint="eastAsia" w:ascii="宋体" w:hAnsi="宋体"/>
          <w:kern w:val="0"/>
          <w:sz w:val="28"/>
          <w:szCs w:val="28"/>
        </w:rPr>
        <w:t>万元，使用内容为人员经费和日常公用经费；项目支出</w:t>
      </w:r>
      <w:r>
        <w:rPr>
          <w:rFonts w:ascii="宋体" w:hAnsi="宋体"/>
          <w:kern w:val="0"/>
          <w:sz w:val="28"/>
          <w:szCs w:val="28"/>
        </w:rPr>
        <w:t>356.08</w:t>
      </w:r>
      <w:r>
        <w:rPr>
          <w:rFonts w:hint="eastAsia" w:ascii="宋体" w:hAnsi="宋体"/>
          <w:kern w:val="0"/>
          <w:sz w:val="28"/>
          <w:szCs w:val="28"/>
        </w:rPr>
        <w:t>万元，使用内容为第七次全国人口普查工作经费、联网直报、民意调查等业务工作专项。</w:t>
      </w:r>
    </w:p>
    <w:p>
      <w:pPr>
        <w:spacing w:line="500" w:lineRule="exact"/>
        <w:ind w:firstLine="640"/>
        <w:rPr>
          <w:rFonts w:ascii="黑体" w:hAnsi="黑体" w:eastAsia="黑体" w:cs="黑体"/>
          <w:kern w:val="0"/>
          <w:sz w:val="28"/>
          <w:szCs w:val="28"/>
        </w:rPr>
      </w:pPr>
      <w:r>
        <w:rPr>
          <w:rFonts w:hint="eastAsia" w:ascii="黑体" w:hAnsi="黑体" w:eastAsia="黑体" w:cs="黑体"/>
          <w:kern w:val="0"/>
          <w:sz w:val="28"/>
          <w:szCs w:val="28"/>
        </w:rPr>
        <w:t>三、绩效评价工作情况</w:t>
      </w:r>
    </w:p>
    <w:p>
      <w:pPr>
        <w:spacing w:line="440" w:lineRule="exact"/>
        <w:ind w:firstLine="643"/>
        <w:rPr>
          <w:kern w:val="0"/>
          <w:sz w:val="20"/>
          <w:szCs w:val="20"/>
        </w:rPr>
      </w:pPr>
      <w:r>
        <w:rPr>
          <w:rFonts w:hint="eastAsia" w:ascii="宋体" w:hAnsi="宋体"/>
          <w:b/>
          <w:bCs/>
          <w:kern w:val="0"/>
          <w:sz w:val="28"/>
          <w:szCs w:val="28"/>
        </w:rPr>
        <w:t>（一）绩效评价目的</w:t>
      </w:r>
    </w:p>
    <w:p>
      <w:pPr>
        <w:spacing w:line="440" w:lineRule="exact"/>
        <w:ind w:firstLine="640"/>
        <w:rPr>
          <w:kern w:val="0"/>
          <w:sz w:val="20"/>
          <w:szCs w:val="20"/>
        </w:rPr>
      </w:pPr>
      <w:r>
        <w:rPr>
          <w:rFonts w:hint="eastAsia" w:ascii="宋体" w:hAnsi="宋体"/>
          <w:kern w:val="0"/>
          <w:sz w:val="28"/>
          <w:szCs w:val="28"/>
        </w:rPr>
        <w:t>本次绩效评价的目的是为了全面分析和综合评价我局本级财政预算资金的使用管理情况，为切实提高财政资金使用效益，强化预算支出的责任和效率提供参考依据。</w:t>
      </w:r>
    </w:p>
    <w:p>
      <w:pPr>
        <w:spacing w:line="440" w:lineRule="exact"/>
        <w:ind w:firstLine="643"/>
        <w:rPr>
          <w:kern w:val="0"/>
          <w:sz w:val="20"/>
          <w:szCs w:val="20"/>
        </w:rPr>
      </w:pPr>
      <w:r>
        <w:rPr>
          <w:rFonts w:hint="eastAsia" w:ascii="宋体" w:hAnsi="宋体"/>
          <w:b/>
          <w:bCs/>
          <w:kern w:val="0"/>
          <w:sz w:val="28"/>
          <w:szCs w:val="28"/>
        </w:rPr>
        <w:t>（二）绩效评价工作过程，主要包括前期准备、组织实施和分析评价等内容</w:t>
      </w:r>
    </w:p>
    <w:p>
      <w:pPr>
        <w:spacing w:line="440" w:lineRule="exact"/>
        <w:ind w:firstLine="640"/>
        <w:rPr>
          <w:kern w:val="0"/>
          <w:sz w:val="20"/>
          <w:szCs w:val="20"/>
        </w:rPr>
      </w:pPr>
      <w:r>
        <w:rPr>
          <w:rFonts w:hint="eastAsia" w:ascii="宋体" w:hAnsi="宋体"/>
          <w:kern w:val="0"/>
          <w:sz w:val="28"/>
          <w:szCs w:val="28"/>
        </w:rPr>
        <w:t>我们按照省财政厅绩效评价规程要求，第一阶段为前期准备：由我局人秘股牵头，组织有关业务股室制定了详细的工作方案，明确股室责任，确定评价指标细则；第二阶段为股室自评：根据上一阶段任务布置，各股室按照要求展开自评工作，并将评价结果报财务室；第三阶段为定性终评，并出具评价报告：财务室在股室自评的基础上，查阅相关文件资料和财务凭证，对收集资料进行定量定性分析，综合评议后形成评价结论，出具绩效评价报告。</w:t>
      </w:r>
    </w:p>
    <w:p>
      <w:pPr>
        <w:spacing w:line="440" w:lineRule="exact"/>
        <w:ind w:firstLine="640"/>
        <w:rPr>
          <w:rFonts w:ascii="黑体" w:hAnsi="黑体" w:eastAsia="黑体" w:cs="黑体"/>
          <w:kern w:val="0"/>
          <w:sz w:val="28"/>
          <w:szCs w:val="28"/>
        </w:rPr>
      </w:pPr>
      <w:r>
        <w:rPr>
          <w:rFonts w:hint="eastAsia" w:ascii="黑体" w:hAnsi="黑体" w:eastAsia="黑体" w:cs="黑体"/>
          <w:kern w:val="0"/>
          <w:sz w:val="28"/>
          <w:szCs w:val="28"/>
        </w:rPr>
        <w:t>四、整体支出使用管理情况</w:t>
      </w:r>
    </w:p>
    <w:p>
      <w:pPr>
        <w:spacing w:line="440" w:lineRule="exact"/>
        <w:ind w:firstLine="643"/>
        <w:rPr>
          <w:kern w:val="0"/>
          <w:sz w:val="20"/>
          <w:szCs w:val="20"/>
        </w:rPr>
      </w:pPr>
      <w:r>
        <w:rPr>
          <w:rFonts w:hint="eastAsia" w:ascii="宋体" w:hAnsi="宋体"/>
          <w:b/>
          <w:bCs/>
          <w:kern w:val="0"/>
          <w:sz w:val="28"/>
          <w:szCs w:val="28"/>
        </w:rPr>
        <w:t>（一）基本支出使用管理情况</w:t>
      </w:r>
    </w:p>
    <w:p>
      <w:pPr>
        <w:spacing w:line="440" w:lineRule="exact"/>
        <w:ind w:firstLine="640"/>
        <w:rPr>
          <w:rFonts w:ascii="宋体"/>
          <w:kern w:val="0"/>
          <w:sz w:val="28"/>
          <w:szCs w:val="28"/>
        </w:rPr>
      </w:pPr>
      <w:r>
        <w:rPr>
          <w:rFonts w:hint="eastAsia" w:ascii="宋体" w:hAnsi="宋体"/>
          <w:kern w:val="0"/>
          <w:sz w:val="28"/>
          <w:szCs w:val="28"/>
        </w:rPr>
        <w:t>我局基本支出的范围和主要用途包括局机关的人员经费和日常公用经费。具体包括：工资福利支出、对个人和家庭的补助、商品和服务支出、其他资本性支出。基本支出的管理和使用情况如下：</w:t>
      </w:r>
    </w:p>
    <w:p>
      <w:pPr>
        <w:spacing w:line="440" w:lineRule="exact"/>
        <w:ind w:firstLine="643"/>
        <w:rPr>
          <w:kern w:val="0"/>
          <w:sz w:val="20"/>
          <w:szCs w:val="20"/>
        </w:rPr>
      </w:pPr>
      <w:r>
        <w:rPr>
          <w:rFonts w:ascii="宋体" w:hAnsi="宋体"/>
          <w:b/>
          <w:bCs/>
          <w:kern w:val="0"/>
          <w:sz w:val="28"/>
          <w:szCs w:val="28"/>
        </w:rPr>
        <w:t xml:space="preserve">1. </w:t>
      </w:r>
      <w:r>
        <w:rPr>
          <w:rFonts w:hint="eastAsia" w:ascii="宋体" w:hAnsi="宋体"/>
          <w:b/>
          <w:bCs/>
          <w:kern w:val="0"/>
          <w:sz w:val="28"/>
          <w:szCs w:val="28"/>
        </w:rPr>
        <w:t>基本支出本年预算指标可用情况</w:t>
      </w:r>
      <w:r>
        <w:rPr>
          <w:rFonts w:hint="eastAsia" w:ascii="宋体" w:hAnsi="宋体"/>
          <w:kern w:val="0"/>
          <w:sz w:val="28"/>
          <w:szCs w:val="28"/>
        </w:rPr>
        <w:t>（单位：万元）</w:t>
      </w:r>
    </w:p>
    <w:tbl>
      <w:tblPr>
        <w:tblStyle w:val="4"/>
        <w:tblW w:w="4998" w:type="pct"/>
        <w:tblInd w:w="0" w:type="dxa"/>
        <w:tblLayout w:type="autofit"/>
        <w:tblCellMar>
          <w:top w:w="0" w:type="dxa"/>
          <w:left w:w="0" w:type="dxa"/>
          <w:bottom w:w="0" w:type="dxa"/>
          <w:right w:w="0" w:type="dxa"/>
        </w:tblCellMar>
      </w:tblPr>
      <w:tblGrid>
        <w:gridCol w:w="2781"/>
        <w:gridCol w:w="1861"/>
        <w:gridCol w:w="1979"/>
        <w:gridCol w:w="2211"/>
      </w:tblGrid>
      <w:tr>
        <w:tblPrEx>
          <w:tblCellMar>
            <w:top w:w="0" w:type="dxa"/>
            <w:left w:w="0" w:type="dxa"/>
            <w:bottom w:w="0" w:type="dxa"/>
            <w:right w:w="0" w:type="dxa"/>
          </w:tblCellMar>
        </w:tblPrEx>
        <w:trPr>
          <w:trHeight w:val="525" w:hRule="atLeast"/>
        </w:trPr>
        <w:tc>
          <w:tcPr>
            <w:tcW w:w="1574"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预算项目</w:t>
            </w:r>
          </w:p>
        </w:tc>
        <w:tc>
          <w:tcPr>
            <w:tcW w:w="1053"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本年预算</w:t>
            </w:r>
          </w:p>
        </w:tc>
        <w:tc>
          <w:tcPr>
            <w:tcW w:w="1120"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本年追加</w:t>
            </w:r>
          </w:p>
        </w:tc>
        <w:tc>
          <w:tcPr>
            <w:tcW w:w="1251"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本年可用指标</w:t>
            </w:r>
          </w:p>
        </w:tc>
      </w:tr>
      <w:tr>
        <w:tblPrEx>
          <w:tblCellMar>
            <w:top w:w="0" w:type="dxa"/>
            <w:left w:w="0" w:type="dxa"/>
            <w:bottom w:w="0" w:type="dxa"/>
            <w:right w:w="0" w:type="dxa"/>
          </w:tblCellMar>
        </w:tblPrEx>
        <w:trPr>
          <w:trHeight w:val="90" w:hRule="atLeast"/>
        </w:trPr>
        <w:tc>
          <w:tcPr>
            <w:tcW w:w="1574" w:type="pc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工资福利支出</w:t>
            </w:r>
          </w:p>
        </w:tc>
        <w:tc>
          <w:tcPr>
            <w:tcW w:w="1053"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hAnsi="宋体"/>
                <w:kern w:val="0"/>
                <w:szCs w:val="21"/>
              </w:rPr>
              <w:t>117.0</w:t>
            </w:r>
          </w:p>
        </w:tc>
        <w:tc>
          <w:tcPr>
            <w:tcW w:w="1120"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p>
        </w:tc>
        <w:tc>
          <w:tcPr>
            <w:tcW w:w="2554"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highlight w:val="yellow"/>
              </w:rPr>
            </w:pPr>
            <w:r>
              <w:rPr>
                <w:rFonts w:ascii="宋体" w:hAnsi="宋体"/>
                <w:kern w:val="0"/>
                <w:szCs w:val="21"/>
              </w:rPr>
              <w:t>117.0</w:t>
            </w:r>
          </w:p>
        </w:tc>
      </w:tr>
      <w:tr>
        <w:tblPrEx>
          <w:tblCellMar>
            <w:top w:w="0" w:type="dxa"/>
            <w:left w:w="0" w:type="dxa"/>
            <w:bottom w:w="0" w:type="dxa"/>
            <w:right w:w="0" w:type="dxa"/>
          </w:tblCellMar>
        </w:tblPrEx>
        <w:trPr>
          <w:trHeight w:val="90" w:hRule="atLeast"/>
        </w:trPr>
        <w:tc>
          <w:tcPr>
            <w:tcW w:w="1574" w:type="pc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商品和服务支出</w:t>
            </w:r>
          </w:p>
        </w:tc>
        <w:tc>
          <w:tcPr>
            <w:tcW w:w="1053"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hAnsi="宋体"/>
                <w:kern w:val="0"/>
                <w:szCs w:val="21"/>
              </w:rPr>
              <w:t>174.41</w:t>
            </w:r>
          </w:p>
        </w:tc>
        <w:tc>
          <w:tcPr>
            <w:tcW w:w="1120"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p>
        </w:tc>
        <w:tc>
          <w:tcPr>
            <w:tcW w:w="2554"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highlight w:val="yellow"/>
              </w:rPr>
            </w:pPr>
            <w:r>
              <w:rPr>
                <w:rFonts w:ascii="宋体" w:hAnsi="宋体"/>
                <w:kern w:val="0"/>
                <w:szCs w:val="21"/>
              </w:rPr>
              <w:t>174.41</w:t>
            </w:r>
          </w:p>
        </w:tc>
      </w:tr>
      <w:tr>
        <w:tblPrEx>
          <w:tblCellMar>
            <w:top w:w="0" w:type="dxa"/>
            <w:left w:w="0" w:type="dxa"/>
            <w:bottom w:w="0" w:type="dxa"/>
            <w:right w:w="0" w:type="dxa"/>
          </w:tblCellMar>
        </w:tblPrEx>
        <w:trPr>
          <w:trHeight w:val="90" w:hRule="atLeast"/>
        </w:trPr>
        <w:tc>
          <w:tcPr>
            <w:tcW w:w="1574" w:type="pc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对个人和家庭补助</w:t>
            </w:r>
          </w:p>
        </w:tc>
        <w:tc>
          <w:tcPr>
            <w:tcW w:w="1053"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hAnsi="宋体"/>
                <w:kern w:val="0"/>
                <w:szCs w:val="21"/>
              </w:rPr>
              <w:t>4.64</w:t>
            </w:r>
          </w:p>
        </w:tc>
        <w:tc>
          <w:tcPr>
            <w:tcW w:w="1120"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p>
        </w:tc>
        <w:tc>
          <w:tcPr>
            <w:tcW w:w="2554"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highlight w:val="yellow"/>
              </w:rPr>
            </w:pPr>
            <w:r>
              <w:rPr>
                <w:rFonts w:ascii="宋体" w:hAnsi="宋体"/>
                <w:kern w:val="0"/>
                <w:szCs w:val="21"/>
              </w:rPr>
              <w:t>4.64</w:t>
            </w:r>
          </w:p>
        </w:tc>
      </w:tr>
      <w:tr>
        <w:tblPrEx>
          <w:tblCellMar>
            <w:top w:w="0" w:type="dxa"/>
            <w:left w:w="0" w:type="dxa"/>
            <w:bottom w:w="0" w:type="dxa"/>
            <w:right w:w="0" w:type="dxa"/>
          </w:tblCellMar>
        </w:tblPrEx>
        <w:trPr>
          <w:trHeight w:val="90" w:hRule="atLeast"/>
        </w:trPr>
        <w:tc>
          <w:tcPr>
            <w:tcW w:w="1574" w:type="pc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合</w:t>
            </w:r>
            <w:r>
              <w:rPr>
                <w:rFonts w:ascii="宋体" w:hAnsi="宋体"/>
                <w:b/>
                <w:bCs/>
                <w:kern w:val="0"/>
                <w:szCs w:val="21"/>
              </w:rPr>
              <w:t xml:space="preserve"> </w:t>
            </w:r>
            <w:r>
              <w:rPr>
                <w:rFonts w:hint="eastAsia" w:ascii="宋体" w:hAnsi="宋体"/>
                <w:b/>
                <w:bCs/>
                <w:kern w:val="0"/>
                <w:szCs w:val="21"/>
              </w:rPr>
              <w:t>计</w:t>
            </w:r>
          </w:p>
        </w:tc>
        <w:tc>
          <w:tcPr>
            <w:tcW w:w="1053"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hAnsi="宋体"/>
                <w:kern w:val="0"/>
                <w:szCs w:val="21"/>
              </w:rPr>
              <w:fldChar w:fldCharType="begin"/>
            </w:r>
            <w:r>
              <w:rPr>
                <w:rFonts w:ascii="宋体" w:hAnsi="宋体"/>
                <w:kern w:val="0"/>
                <w:szCs w:val="21"/>
              </w:rPr>
              <w:instrText xml:space="preserve"> =SUM(ABOVE) \* MERGEFORMAT </w:instrText>
            </w:r>
            <w:r>
              <w:rPr>
                <w:rFonts w:ascii="宋体" w:hAnsi="宋体"/>
                <w:kern w:val="0"/>
                <w:szCs w:val="21"/>
              </w:rPr>
              <w:fldChar w:fldCharType="separate"/>
            </w:r>
            <w:r>
              <w:rPr>
                <w:rFonts w:ascii="宋体" w:hAnsi="宋体"/>
                <w:kern w:val="0"/>
                <w:szCs w:val="21"/>
              </w:rPr>
              <w:t>296.05</w:t>
            </w:r>
            <w:r>
              <w:rPr>
                <w:rFonts w:ascii="宋体" w:hAnsi="宋体"/>
                <w:kern w:val="0"/>
                <w:szCs w:val="21"/>
              </w:rPr>
              <w:fldChar w:fldCharType="end"/>
            </w:r>
          </w:p>
        </w:tc>
        <w:tc>
          <w:tcPr>
            <w:tcW w:w="1120"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p>
        </w:tc>
        <w:tc>
          <w:tcPr>
            <w:tcW w:w="2554"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highlight w:val="yellow"/>
              </w:rPr>
            </w:pPr>
            <w:r>
              <w:rPr>
                <w:rFonts w:ascii="宋体" w:hAnsi="宋体"/>
                <w:kern w:val="0"/>
                <w:szCs w:val="21"/>
              </w:rPr>
              <w:fldChar w:fldCharType="begin"/>
            </w:r>
            <w:r>
              <w:rPr>
                <w:rFonts w:ascii="宋体" w:hAnsi="宋体"/>
                <w:kern w:val="0"/>
                <w:szCs w:val="21"/>
              </w:rPr>
              <w:instrText xml:space="preserve"> =SUM(ABOVE) \* MERGEFORMAT </w:instrText>
            </w:r>
            <w:r>
              <w:rPr>
                <w:rFonts w:ascii="宋体" w:hAnsi="宋体"/>
                <w:kern w:val="0"/>
                <w:szCs w:val="21"/>
              </w:rPr>
              <w:fldChar w:fldCharType="separate"/>
            </w:r>
            <w:r>
              <w:rPr>
                <w:rFonts w:ascii="宋体" w:hAnsi="宋体"/>
                <w:kern w:val="0"/>
                <w:szCs w:val="21"/>
              </w:rPr>
              <w:t>296.05</w:t>
            </w:r>
            <w:r>
              <w:rPr>
                <w:rFonts w:ascii="宋体" w:hAnsi="宋体"/>
                <w:kern w:val="0"/>
                <w:szCs w:val="21"/>
              </w:rPr>
              <w:fldChar w:fldCharType="end"/>
            </w:r>
          </w:p>
        </w:tc>
      </w:tr>
    </w:tbl>
    <w:p>
      <w:pPr>
        <w:spacing w:line="440" w:lineRule="exact"/>
        <w:ind w:firstLine="640"/>
        <w:rPr>
          <w:kern w:val="0"/>
          <w:sz w:val="20"/>
          <w:szCs w:val="20"/>
        </w:rPr>
      </w:pPr>
      <w:r>
        <w:rPr>
          <w:rFonts w:hint="eastAsia" w:ascii="宋体" w:hAnsi="宋体"/>
          <w:kern w:val="0"/>
          <w:sz w:val="28"/>
          <w:szCs w:val="28"/>
        </w:rPr>
        <w:t>根据本年预算、上年结余和本年预算追加情况，本年基本支出预算可用指标</w:t>
      </w:r>
      <w:r>
        <w:rPr>
          <w:rFonts w:ascii="宋体" w:hAnsi="宋体"/>
          <w:kern w:val="0"/>
          <w:sz w:val="28"/>
          <w:szCs w:val="28"/>
        </w:rPr>
        <w:t>294.02</w:t>
      </w:r>
      <w:r>
        <w:rPr>
          <w:rFonts w:hint="eastAsia" w:ascii="宋体" w:hAnsi="宋体"/>
          <w:kern w:val="0"/>
          <w:sz w:val="28"/>
          <w:szCs w:val="28"/>
        </w:rPr>
        <w:t>万元。</w:t>
      </w:r>
    </w:p>
    <w:p>
      <w:pPr>
        <w:spacing w:line="440" w:lineRule="exact"/>
        <w:ind w:firstLine="643"/>
        <w:rPr>
          <w:kern w:val="0"/>
          <w:sz w:val="20"/>
          <w:szCs w:val="20"/>
        </w:rPr>
      </w:pPr>
      <w:r>
        <w:rPr>
          <w:rFonts w:ascii="宋体" w:hAnsi="宋体"/>
          <w:b/>
          <w:bCs/>
          <w:kern w:val="0"/>
          <w:sz w:val="28"/>
          <w:szCs w:val="28"/>
        </w:rPr>
        <w:t xml:space="preserve">2. </w:t>
      </w:r>
      <w:r>
        <w:rPr>
          <w:rFonts w:hint="eastAsia" w:ascii="宋体" w:hAnsi="宋体"/>
          <w:b/>
          <w:bCs/>
          <w:kern w:val="0"/>
          <w:sz w:val="28"/>
          <w:szCs w:val="28"/>
        </w:rPr>
        <w:t>本年基本支出预算执行情况</w:t>
      </w:r>
      <w:r>
        <w:rPr>
          <w:rFonts w:hint="eastAsia" w:ascii="宋体" w:hAnsi="宋体"/>
          <w:kern w:val="0"/>
          <w:sz w:val="28"/>
          <w:szCs w:val="28"/>
        </w:rPr>
        <w:t>（单位：万元）</w:t>
      </w:r>
    </w:p>
    <w:tbl>
      <w:tblPr>
        <w:tblStyle w:val="4"/>
        <w:tblW w:w="4999" w:type="pct"/>
        <w:tblInd w:w="0" w:type="dxa"/>
        <w:tblLayout w:type="autofit"/>
        <w:tblCellMar>
          <w:top w:w="0" w:type="dxa"/>
          <w:left w:w="0" w:type="dxa"/>
          <w:bottom w:w="0" w:type="dxa"/>
          <w:right w:w="0" w:type="dxa"/>
        </w:tblCellMar>
      </w:tblPr>
      <w:tblGrid>
        <w:gridCol w:w="2757"/>
        <w:gridCol w:w="2198"/>
        <w:gridCol w:w="2198"/>
        <w:gridCol w:w="1681"/>
      </w:tblGrid>
      <w:tr>
        <w:tblPrEx>
          <w:tblCellMar>
            <w:top w:w="0" w:type="dxa"/>
            <w:left w:w="0" w:type="dxa"/>
            <w:bottom w:w="0" w:type="dxa"/>
            <w:right w:w="0" w:type="dxa"/>
          </w:tblCellMar>
        </w:tblPrEx>
        <w:trPr>
          <w:trHeight w:val="480" w:hRule="atLeast"/>
        </w:trPr>
        <w:tc>
          <w:tcPr>
            <w:tcW w:w="1560"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预算项目</w:t>
            </w:r>
          </w:p>
        </w:tc>
        <w:tc>
          <w:tcPr>
            <w:tcW w:w="124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预算可用指标</w:t>
            </w:r>
          </w:p>
        </w:tc>
        <w:tc>
          <w:tcPr>
            <w:tcW w:w="1244"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本年决算金额</w:t>
            </w:r>
          </w:p>
        </w:tc>
        <w:tc>
          <w:tcPr>
            <w:tcW w:w="951"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差额</w:t>
            </w:r>
          </w:p>
        </w:tc>
      </w:tr>
      <w:tr>
        <w:tblPrEx>
          <w:tblCellMar>
            <w:top w:w="0" w:type="dxa"/>
            <w:left w:w="0" w:type="dxa"/>
            <w:bottom w:w="0" w:type="dxa"/>
            <w:right w:w="0" w:type="dxa"/>
          </w:tblCellMar>
        </w:tblPrEx>
        <w:trPr>
          <w:trHeight w:val="480" w:hRule="atLeast"/>
        </w:trPr>
        <w:tc>
          <w:tcPr>
            <w:tcW w:w="1560" w:type="pc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工资福利支出</w:t>
            </w:r>
          </w:p>
        </w:tc>
        <w:tc>
          <w:tcPr>
            <w:tcW w:w="253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highlight w:val="yellow"/>
              </w:rPr>
            </w:pPr>
            <w:r>
              <w:rPr>
                <w:rFonts w:ascii="宋体" w:hAnsi="宋体"/>
                <w:kern w:val="0"/>
                <w:szCs w:val="21"/>
              </w:rPr>
              <w:t>117.0</w:t>
            </w:r>
          </w:p>
        </w:tc>
        <w:tc>
          <w:tcPr>
            <w:tcW w:w="1244"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hAnsi="宋体"/>
                <w:kern w:val="0"/>
                <w:szCs w:val="21"/>
              </w:rPr>
              <w:t>166.45</w:t>
            </w:r>
          </w:p>
        </w:tc>
        <w:tc>
          <w:tcPr>
            <w:tcW w:w="951"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hAnsi="宋体"/>
                <w:kern w:val="0"/>
                <w:szCs w:val="21"/>
              </w:rPr>
              <w:t xml:space="preserve"> -49.45</w:t>
            </w:r>
          </w:p>
        </w:tc>
      </w:tr>
      <w:tr>
        <w:tblPrEx>
          <w:tblCellMar>
            <w:top w:w="0" w:type="dxa"/>
            <w:left w:w="0" w:type="dxa"/>
            <w:bottom w:w="0" w:type="dxa"/>
            <w:right w:w="0" w:type="dxa"/>
          </w:tblCellMar>
        </w:tblPrEx>
        <w:trPr>
          <w:trHeight w:val="480" w:hRule="atLeast"/>
        </w:trPr>
        <w:tc>
          <w:tcPr>
            <w:tcW w:w="1560" w:type="pc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商品和服务支出</w:t>
            </w:r>
          </w:p>
        </w:tc>
        <w:tc>
          <w:tcPr>
            <w:tcW w:w="253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highlight w:val="yellow"/>
              </w:rPr>
            </w:pPr>
            <w:r>
              <w:rPr>
                <w:rFonts w:ascii="宋体" w:hAnsi="宋体"/>
                <w:kern w:val="0"/>
                <w:szCs w:val="21"/>
              </w:rPr>
              <w:t>174.41</w:t>
            </w:r>
          </w:p>
        </w:tc>
        <w:tc>
          <w:tcPr>
            <w:tcW w:w="1244"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hAnsi="宋体"/>
                <w:kern w:val="0"/>
                <w:szCs w:val="21"/>
              </w:rPr>
              <w:t xml:space="preserve"> 51.97</w:t>
            </w:r>
          </w:p>
        </w:tc>
        <w:tc>
          <w:tcPr>
            <w:tcW w:w="951"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hAnsi="宋体"/>
                <w:kern w:val="0"/>
                <w:szCs w:val="21"/>
              </w:rPr>
              <w:t xml:space="preserve"> 122.44</w:t>
            </w:r>
          </w:p>
        </w:tc>
      </w:tr>
      <w:tr>
        <w:tblPrEx>
          <w:tblCellMar>
            <w:top w:w="0" w:type="dxa"/>
            <w:left w:w="0" w:type="dxa"/>
            <w:bottom w:w="0" w:type="dxa"/>
            <w:right w:w="0" w:type="dxa"/>
          </w:tblCellMar>
        </w:tblPrEx>
        <w:trPr>
          <w:trHeight w:val="480" w:hRule="atLeast"/>
        </w:trPr>
        <w:tc>
          <w:tcPr>
            <w:tcW w:w="1560" w:type="pc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对个人和家庭补助</w:t>
            </w:r>
          </w:p>
        </w:tc>
        <w:tc>
          <w:tcPr>
            <w:tcW w:w="253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highlight w:val="yellow"/>
              </w:rPr>
            </w:pPr>
            <w:r>
              <w:rPr>
                <w:rFonts w:ascii="宋体" w:hAnsi="宋体"/>
                <w:kern w:val="0"/>
                <w:szCs w:val="21"/>
              </w:rPr>
              <w:t>4.64</w:t>
            </w:r>
          </w:p>
        </w:tc>
        <w:tc>
          <w:tcPr>
            <w:tcW w:w="1244"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hAnsi="宋体"/>
                <w:kern w:val="0"/>
                <w:szCs w:val="21"/>
              </w:rPr>
              <w:t xml:space="preserve"> 9.57</w:t>
            </w:r>
          </w:p>
        </w:tc>
        <w:tc>
          <w:tcPr>
            <w:tcW w:w="951"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kern w:val="0"/>
                <w:sz w:val="20"/>
                <w:szCs w:val="20"/>
              </w:rPr>
              <w:t xml:space="preserve"> -4.93</w:t>
            </w:r>
          </w:p>
        </w:tc>
      </w:tr>
      <w:tr>
        <w:tblPrEx>
          <w:tblCellMar>
            <w:top w:w="0" w:type="dxa"/>
            <w:left w:w="0" w:type="dxa"/>
            <w:bottom w:w="0" w:type="dxa"/>
            <w:right w:w="0" w:type="dxa"/>
          </w:tblCellMar>
        </w:tblPrEx>
        <w:trPr>
          <w:trHeight w:val="480" w:hRule="atLeast"/>
        </w:trPr>
        <w:tc>
          <w:tcPr>
            <w:tcW w:w="1560" w:type="pc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合</w:t>
            </w:r>
            <w:r>
              <w:rPr>
                <w:rFonts w:ascii="宋体" w:hAnsi="宋体"/>
                <w:b/>
                <w:bCs/>
                <w:kern w:val="0"/>
                <w:szCs w:val="21"/>
              </w:rPr>
              <w:t xml:space="preserve"> </w:t>
            </w:r>
            <w:r>
              <w:rPr>
                <w:rFonts w:hint="eastAsia" w:ascii="宋体" w:hAnsi="宋体"/>
                <w:b/>
                <w:bCs/>
                <w:kern w:val="0"/>
                <w:szCs w:val="21"/>
              </w:rPr>
              <w:t>计</w:t>
            </w:r>
          </w:p>
        </w:tc>
        <w:tc>
          <w:tcPr>
            <w:tcW w:w="253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highlight w:val="yellow"/>
              </w:rPr>
            </w:pPr>
            <w:r>
              <w:rPr>
                <w:rFonts w:ascii="宋体" w:hAnsi="宋体"/>
                <w:kern w:val="0"/>
                <w:szCs w:val="21"/>
              </w:rPr>
              <w:fldChar w:fldCharType="begin"/>
            </w:r>
            <w:r>
              <w:rPr>
                <w:rFonts w:ascii="宋体" w:hAnsi="宋体"/>
                <w:kern w:val="0"/>
                <w:szCs w:val="21"/>
              </w:rPr>
              <w:instrText xml:space="preserve"> =SUM(ABOVE) \* MERGEFORMAT </w:instrText>
            </w:r>
            <w:r>
              <w:rPr>
                <w:rFonts w:ascii="宋体" w:hAnsi="宋体"/>
                <w:kern w:val="0"/>
                <w:szCs w:val="21"/>
              </w:rPr>
              <w:fldChar w:fldCharType="separate"/>
            </w:r>
            <w:r>
              <w:rPr>
                <w:rFonts w:ascii="宋体" w:hAnsi="宋体"/>
                <w:kern w:val="0"/>
                <w:szCs w:val="21"/>
              </w:rPr>
              <w:t>296.05</w:t>
            </w:r>
            <w:r>
              <w:rPr>
                <w:rFonts w:ascii="宋体" w:hAnsi="宋体"/>
                <w:kern w:val="0"/>
                <w:szCs w:val="21"/>
              </w:rPr>
              <w:fldChar w:fldCharType="end"/>
            </w:r>
          </w:p>
        </w:tc>
        <w:tc>
          <w:tcPr>
            <w:tcW w:w="1244"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hAnsi="宋体"/>
                <w:kern w:val="0"/>
                <w:szCs w:val="21"/>
              </w:rPr>
              <w:t xml:space="preserve"> 227.99</w:t>
            </w:r>
          </w:p>
        </w:tc>
        <w:tc>
          <w:tcPr>
            <w:tcW w:w="951"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hAnsi="宋体"/>
                <w:kern w:val="0"/>
                <w:szCs w:val="21"/>
              </w:rPr>
              <w:t xml:space="preserve"> 68.06</w:t>
            </w:r>
          </w:p>
        </w:tc>
      </w:tr>
    </w:tbl>
    <w:p>
      <w:pPr>
        <w:spacing w:line="440" w:lineRule="exact"/>
        <w:ind w:firstLine="643"/>
        <w:rPr>
          <w:kern w:val="0"/>
          <w:sz w:val="20"/>
          <w:szCs w:val="20"/>
        </w:rPr>
      </w:pPr>
      <w:r>
        <w:rPr>
          <w:rFonts w:hint="eastAsia" w:ascii="宋体" w:hAnsi="宋体"/>
          <w:b/>
          <w:bCs/>
          <w:kern w:val="0"/>
          <w:sz w:val="28"/>
          <w:szCs w:val="28"/>
        </w:rPr>
        <w:t>（二）“三公”经费使用管理情况</w:t>
      </w:r>
    </w:p>
    <w:p>
      <w:pPr>
        <w:spacing w:line="440" w:lineRule="exact"/>
        <w:ind w:firstLine="643"/>
        <w:rPr>
          <w:kern w:val="0"/>
          <w:sz w:val="20"/>
          <w:szCs w:val="20"/>
        </w:rPr>
      </w:pPr>
      <w:r>
        <w:rPr>
          <w:rFonts w:ascii="宋体" w:hAnsi="宋体"/>
          <w:b/>
          <w:bCs/>
          <w:kern w:val="0"/>
          <w:sz w:val="28"/>
          <w:szCs w:val="28"/>
        </w:rPr>
        <w:t>1.</w:t>
      </w:r>
      <w:r>
        <w:rPr>
          <w:rFonts w:hint="eastAsia" w:ascii="宋体" w:hAnsi="宋体"/>
          <w:b/>
          <w:bCs/>
          <w:kern w:val="0"/>
          <w:sz w:val="28"/>
          <w:szCs w:val="28"/>
          <w:lang w:val="en-US" w:eastAsia="zh-CN"/>
        </w:rPr>
        <w:t xml:space="preserve"> </w:t>
      </w:r>
      <w:r>
        <w:rPr>
          <w:rFonts w:ascii="宋体" w:hAnsi="宋体"/>
          <w:b/>
          <w:bCs/>
          <w:kern w:val="0"/>
          <w:sz w:val="28"/>
          <w:szCs w:val="28"/>
        </w:rPr>
        <w:t>2020</w:t>
      </w:r>
      <w:r>
        <w:rPr>
          <w:rFonts w:hint="eastAsia" w:ascii="宋体" w:hAnsi="宋体"/>
          <w:b/>
          <w:bCs/>
          <w:kern w:val="0"/>
          <w:sz w:val="28"/>
          <w:szCs w:val="28"/>
        </w:rPr>
        <w:t>年“三公”经费预算情况</w:t>
      </w:r>
      <w:r>
        <w:rPr>
          <w:rFonts w:hint="eastAsia" w:ascii="宋体" w:hAnsi="宋体"/>
          <w:kern w:val="0"/>
          <w:sz w:val="28"/>
          <w:szCs w:val="28"/>
        </w:rPr>
        <w:t>（单位：万元）</w:t>
      </w:r>
    </w:p>
    <w:tbl>
      <w:tblPr>
        <w:tblStyle w:val="4"/>
        <w:tblW w:w="4998" w:type="pct"/>
        <w:tblInd w:w="0" w:type="dxa"/>
        <w:tblLayout w:type="autofit"/>
        <w:tblCellMar>
          <w:top w:w="0" w:type="dxa"/>
          <w:left w:w="0" w:type="dxa"/>
          <w:bottom w:w="0" w:type="dxa"/>
          <w:right w:w="0" w:type="dxa"/>
        </w:tblCellMar>
      </w:tblPr>
      <w:tblGrid>
        <w:gridCol w:w="2425"/>
        <w:gridCol w:w="2135"/>
        <w:gridCol w:w="2135"/>
        <w:gridCol w:w="2137"/>
      </w:tblGrid>
      <w:tr>
        <w:tblPrEx>
          <w:tblCellMar>
            <w:top w:w="0" w:type="dxa"/>
            <w:left w:w="0" w:type="dxa"/>
            <w:bottom w:w="0" w:type="dxa"/>
            <w:right w:w="0" w:type="dxa"/>
          </w:tblCellMar>
        </w:tblPrEx>
        <w:trPr>
          <w:trHeight w:val="90" w:hRule="atLeast"/>
        </w:trPr>
        <w:tc>
          <w:tcPr>
            <w:tcW w:w="1372"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费用项目</w:t>
            </w:r>
          </w:p>
        </w:tc>
        <w:tc>
          <w:tcPr>
            <w:tcW w:w="12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基本支出</w:t>
            </w:r>
          </w:p>
        </w:tc>
        <w:tc>
          <w:tcPr>
            <w:tcW w:w="1208"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项目支出</w:t>
            </w:r>
          </w:p>
        </w:tc>
        <w:tc>
          <w:tcPr>
            <w:tcW w:w="1209" w:type="pc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rPr>
                <w:kern w:val="0"/>
                <w:sz w:val="20"/>
                <w:szCs w:val="20"/>
              </w:rPr>
            </w:pPr>
            <w:r>
              <w:rPr>
                <w:rFonts w:hint="eastAsia" w:ascii="宋体" w:hAnsi="宋体"/>
                <w:b/>
                <w:bCs/>
                <w:kern w:val="0"/>
                <w:szCs w:val="21"/>
              </w:rPr>
              <w:t>合计</w:t>
            </w:r>
          </w:p>
        </w:tc>
      </w:tr>
      <w:tr>
        <w:tblPrEx>
          <w:tblCellMar>
            <w:top w:w="0" w:type="dxa"/>
            <w:left w:w="0" w:type="dxa"/>
            <w:bottom w:w="0" w:type="dxa"/>
            <w:right w:w="0" w:type="dxa"/>
          </w:tblCellMar>
        </w:tblPrEx>
        <w:trPr>
          <w:trHeight w:val="425" w:hRule="atLeast"/>
        </w:trPr>
        <w:tc>
          <w:tcPr>
            <w:tcW w:w="1372" w:type="pc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textAlignment w:val="center"/>
              <w:rPr>
                <w:kern w:val="0"/>
                <w:sz w:val="20"/>
                <w:szCs w:val="20"/>
              </w:rPr>
            </w:pPr>
            <w:r>
              <w:rPr>
                <w:rFonts w:hint="eastAsia" w:ascii="宋体" w:hAnsi="宋体"/>
                <w:b/>
                <w:bCs/>
                <w:kern w:val="0"/>
                <w:szCs w:val="21"/>
              </w:rPr>
              <w:t>公务接待费</w:t>
            </w:r>
          </w:p>
        </w:tc>
        <w:tc>
          <w:tcPr>
            <w:tcW w:w="1208"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hAnsi="宋体"/>
                <w:kern w:val="0"/>
                <w:szCs w:val="21"/>
              </w:rPr>
              <w:t>6</w:t>
            </w:r>
          </w:p>
        </w:tc>
        <w:tc>
          <w:tcPr>
            <w:tcW w:w="1208"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kern w:val="0"/>
                <w:szCs w:val="21"/>
              </w:rPr>
              <w:t>0</w:t>
            </w:r>
          </w:p>
        </w:tc>
        <w:tc>
          <w:tcPr>
            <w:tcW w:w="1209"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hAnsi="宋体"/>
                <w:kern w:val="0"/>
                <w:szCs w:val="21"/>
              </w:rPr>
              <w:t>6</w:t>
            </w:r>
          </w:p>
        </w:tc>
      </w:tr>
      <w:tr>
        <w:tblPrEx>
          <w:tblCellMar>
            <w:top w:w="0" w:type="dxa"/>
            <w:left w:w="0" w:type="dxa"/>
            <w:bottom w:w="0" w:type="dxa"/>
            <w:right w:w="0" w:type="dxa"/>
          </w:tblCellMar>
        </w:tblPrEx>
        <w:trPr>
          <w:trHeight w:val="90" w:hRule="atLeast"/>
        </w:trPr>
        <w:tc>
          <w:tcPr>
            <w:tcW w:w="1372" w:type="pc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textAlignment w:val="center"/>
              <w:rPr>
                <w:kern w:val="0"/>
                <w:sz w:val="20"/>
                <w:szCs w:val="20"/>
              </w:rPr>
            </w:pPr>
            <w:r>
              <w:rPr>
                <w:rFonts w:hint="eastAsia" w:ascii="宋体" w:hAnsi="宋体"/>
                <w:b/>
                <w:bCs/>
                <w:kern w:val="0"/>
                <w:szCs w:val="21"/>
              </w:rPr>
              <w:t>公车运行维护费</w:t>
            </w:r>
          </w:p>
        </w:tc>
        <w:tc>
          <w:tcPr>
            <w:tcW w:w="1208"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kern w:val="0"/>
                <w:szCs w:val="21"/>
              </w:rPr>
              <w:t>0</w:t>
            </w:r>
          </w:p>
        </w:tc>
        <w:tc>
          <w:tcPr>
            <w:tcW w:w="1208"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kern w:val="0"/>
                <w:szCs w:val="21"/>
              </w:rPr>
              <w:t>0</w:t>
            </w:r>
          </w:p>
        </w:tc>
        <w:tc>
          <w:tcPr>
            <w:tcW w:w="1209"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kern w:val="0"/>
                <w:szCs w:val="21"/>
              </w:rPr>
              <w:t>0</w:t>
            </w:r>
          </w:p>
        </w:tc>
      </w:tr>
      <w:tr>
        <w:tblPrEx>
          <w:tblCellMar>
            <w:top w:w="0" w:type="dxa"/>
            <w:left w:w="0" w:type="dxa"/>
            <w:bottom w:w="0" w:type="dxa"/>
            <w:right w:w="0" w:type="dxa"/>
          </w:tblCellMar>
        </w:tblPrEx>
        <w:trPr>
          <w:trHeight w:val="90" w:hRule="atLeast"/>
        </w:trPr>
        <w:tc>
          <w:tcPr>
            <w:tcW w:w="1372" w:type="pc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textAlignment w:val="center"/>
              <w:rPr>
                <w:kern w:val="0"/>
                <w:sz w:val="20"/>
                <w:szCs w:val="20"/>
              </w:rPr>
            </w:pPr>
            <w:r>
              <w:rPr>
                <w:rFonts w:hint="eastAsia" w:ascii="宋体" w:hAnsi="宋体"/>
                <w:b/>
                <w:bCs/>
                <w:kern w:val="0"/>
                <w:szCs w:val="21"/>
              </w:rPr>
              <w:t>因公出国费用</w:t>
            </w:r>
          </w:p>
        </w:tc>
        <w:tc>
          <w:tcPr>
            <w:tcW w:w="1208"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kern w:val="0"/>
                <w:szCs w:val="21"/>
              </w:rPr>
              <w:t>0</w:t>
            </w:r>
          </w:p>
        </w:tc>
        <w:tc>
          <w:tcPr>
            <w:tcW w:w="1208"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kern w:val="0"/>
                <w:szCs w:val="21"/>
              </w:rPr>
              <w:t>0</w:t>
            </w:r>
          </w:p>
        </w:tc>
        <w:tc>
          <w:tcPr>
            <w:tcW w:w="1209"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kern w:val="0"/>
                <w:szCs w:val="21"/>
              </w:rPr>
              <w:t>0</w:t>
            </w:r>
          </w:p>
        </w:tc>
      </w:tr>
      <w:tr>
        <w:tblPrEx>
          <w:tblCellMar>
            <w:top w:w="0" w:type="dxa"/>
            <w:left w:w="0" w:type="dxa"/>
            <w:bottom w:w="0" w:type="dxa"/>
            <w:right w:w="0" w:type="dxa"/>
          </w:tblCellMar>
        </w:tblPrEx>
        <w:trPr>
          <w:trHeight w:val="315" w:hRule="atLeast"/>
        </w:trPr>
        <w:tc>
          <w:tcPr>
            <w:tcW w:w="1372" w:type="pc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textAlignment w:val="center"/>
              <w:rPr>
                <w:kern w:val="0"/>
                <w:sz w:val="20"/>
                <w:szCs w:val="20"/>
              </w:rPr>
            </w:pPr>
            <w:r>
              <w:rPr>
                <w:rFonts w:hint="eastAsia" w:ascii="宋体" w:hAnsi="宋体"/>
                <w:b/>
                <w:bCs/>
                <w:kern w:val="0"/>
                <w:szCs w:val="21"/>
              </w:rPr>
              <w:t>公务车购置费</w:t>
            </w:r>
          </w:p>
        </w:tc>
        <w:tc>
          <w:tcPr>
            <w:tcW w:w="1208"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kern w:val="0"/>
                <w:szCs w:val="21"/>
              </w:rPr>
              <w:t>0</w:t>
            </w:r>
          </w:p>
        </w:tc>
        <w:tc>
          <w:tcPr>
            <w:tcW w:w="1208"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kern w:val="0"/>
                <w:szCs w:val="21"/>
              </w:rPr>
              <w:t>0</w:t>
            </w:r>
          </w:p>
        </w:tc>
        <w:tc>
          <w:tcPr>
            <w:tcW w:w="1209"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kern w:val="0"/>
                <w:szCs w:val="21"/>
              </w:rPr>
              <w:t>0</w:t>
            </w:r>
          </w:p>
        </w:tc>
      </w:tr>
      <w:tr>
        <w:tblPrEx>
          <w:tblCellMar>
            <w:top w:w="0" w:type="dxa"/>
            <w:left w:w="0" w:type="dxa"/>
            <w:bottom w:w="0" w:type="dxa"/>
            <w:right w:w="0" w:type="dxa"/>
          </w:tblCellMar>
        </w:tblPrEx>
        <w:trPr>
          <w:trHeight w:val="380" w:hRule="atLeast"/>
        </w:trPr>
        <w:tc>
          <w:tcPr>
            <w:tcW w:w="1372" w:type="pc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2"/>
              <w:jc w:val="center"/>
              <w:textAlignment w:val="center"/>
              <w:rPr>
                <w:kern w:val="0"/>
                <w:sz w:val="20"/>
                <w:szCs w:val="20"/>
              </w:rPr>
            </w:pPr>
            <w:r>
              <w:rPr>
                <w:rFonts w:hint="eastAsia" w:ascii="宋体" w:hAnsi="宋体"/>
                <w:b/>
                <w:bCs/>
                <w:kern w:val="0"/>
                <w:szCs w:val="21"/>
              </w:rPr>
              <w:t>合计</w:t>
            </w:r>
          </w:p>
        </w:tc>
        <w:tc>
          <w:tcPr>
            <w:tcW w:w="1208"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hAnsi="宋体"/>
                <w:kern w:val="0"/>
                <w:szCs w:val="21"/>
              </w:rPr>
              <w:t>6</w:t>
            </w:r>
          </w:p>
        </w:tc>
        <w:tc>
          <w:tcPr>
            <w:tcW w:w="1208"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kern w:val="0"/>
                <w:szCs w:val="21"/>
              </w:rPr>
              <w:t>0</w:t>
            </w:r>
          </w:p>
        </w:tc>
        <w:tc>
          <w:tcPr>
            <w:tcW w:w="1209"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ind w:firstLine="440"/>
              <w:jc w:val="center"/>
              <w:rPr>
                <w:kern w:val="0"/>
                <w:sz w:val="20"/>
                <w:szCs w:val="20"/>
              </w:rPr>
            </w:pPr>
            <w:r>
              <w:rPr>
                <w:rFonts w:ascii="宋体" w:hAnsi="宋体"/>
                <w:kern w:val="0"/>
                <w:szCs w:val="21"/>
              </w:rPr>
              <w:t>6</w:t>
            </w:r>
          </w:p>
        </w:tc>
      </w:tr>
    </w:tbl>
    <w:p>
      <w:pPr>
        <w:spacing w:line="440" w:lineRule="exact"/>
        <w:ind w:firstLine="640"/>
        <w:rPr>
          <w:kern w:val="0"/>
          <w:sz w:val="20"/>
          <w:szCs w:val="20"/>
        </w:rPr>
      </w:pPr>
      <w:r>
        <w:rPr>
          <w:rFonts w:hint="eastAsia" w:ascii="宋体" w:hAnsi="宋体"/>
          <w:kern w:val="0"/>
          <w:sz w:val="28"/>
          <w:szCs w:val="28"/>
        </w:rPr>
        <w:t>我局</w:t>
      </w:r>
      <w:r>
        <w:rPr>
          <w:rFonts w:ascii="宋体" w:hAnsi="宋体"/>
          <w:kern w:val="0"/>
          <w:sz w:val="28"/>
          <w:szCs w:val="28"/>
        </w:rPr>
        <w:t>2020</w:t>
      </w:r>
      <w:r>
        <w:rPr>
          <w:rFonts w:hint="eastAsia" w:ascii="宋体" w:hAnsi="宋体"/>
          <w:kern w:val="0"/>
          <w:sz w:val="28"/>
          <w:szCs w:val="28"/>
        </w:rPr>
        <w:t>年“三公”经费预算金额为</w:t>
      </w:r>
      <w:r>
        <w:rPr>
          <w:rFonts w:ascii="宋体" w:hAnsi="宋体"/>
          <w:kern w:val="0"/>
          <w:sz w:val="28"/>
          <w:szCs w:val="28"/>
        </w:rPr>
        <w:t>6</w:t>
      </w:r>
      <w:r>
        <w:rPr>
          <w:rFonts w:hint="eastAsia" w:ascii="宋体" w:hAnsi="宋体"/>
          <w:kern w:val="0"/>
          <w:sz w:val="28"/>
          <w:szCs w:val="28"/>
        </w:rPr>
        <w:t>万元，全部为财政拨款资金，并在我局门户网站进行了公示。</w:t>
      </w:r>
    </w:p>
    <w:p>
      <w:pPr>
        <w:spacing w:line="440" w:lineRule="exact"/>
        <w:ind w:firstLine="643"/>
        <w:rPr>
          <w:kern w:val="0"/>
          <w:sz w:val="20"/>
          <w:szCs w:val="20"/>
        </w:rPr>
      </w:pPr>
      <w:r>
        <w:rPr>
          <w:rFonts w:ascii="宋体" w:hAnsi="宋体"/>
          <w:b/>
          <w:bCs/>
          <w:kern w:val="0"/>
          <w:sz w:val="28"/>
          <w:szCs w:val="28"/>
        </w:rPr>
        <w:t>2</w:t>
      </w:r>
      <w:r>
        <w:rPr>
          <w:rFonts w:hint="eastAsia" w:ascii="宋体" w:hAnsi="宋体"/>
          <w:b/>
          <w:bCs/>
          <w:kern w:val="0"/>
          <w:sz w:val="28"/>
          <w:szCs w:val="28"/>
        </w:rPr>
        <w:t>．“三公”经费预算执行情况</w:t>
      </w:r>
      <w:r>
        <w:rPr>
          <w:rFonts w:hint="eastAsia" w:ascii="宋体" w:hAnsi="宋体"/>
          <w:kern w:val="0"/>
          <w:sz w:val="28"/>
          <w:szCs w:val="28"/>
        </w:rPr>
        <w:t>（单位：万元）</w:t>
      </w:r>
    </w:p>
    <w:tbl>
      <w:tblPr>
        <w:tblStyle w:val="4"/>
        <w:tblW w:w="4998" w:type="pct"/>
        <w:tblInd w:w="0" w:type="dxa"/>
        <w:tblLayout w:type="autofit"/>
        <w:tblCellMar>
          <w:top w:w="0" w:type="dxa"/>
          <w:left w:w="0" w:type="dxa"/>
          <w:bottom w:w="0" w:type="dxa"/>
          <w:right w:w="0" w:type="dxa"/>
        </w:tblCellMar>
      </w:tblPr>
      <w:tblGrid>
        <w:gridCol w:w="1359"/>
        <w:gridCol w:w="1205"/>
        <w:gridCol w:w="1207"/>
        <w:gridCol w:w="1343"/>
        <w:gridCol w:w="1209"/>
        <w:gridCol w:w="1302"/>
        <w:gridCol w:w="1207"/>
      </w:tblGrid>
      <w:tr>
        <w:tblPrEx>
          <w:tblCellMar>
            <w:top w:w="0" w:type="dxa"/>
            <w:left w:w="0" w:type="dxa"/>
            <w:bottom w:w="0" w:type="dxa"/>
            <w:right w:w="0" w:type="dxa"/>
          </w:tblCellMar>
        </w:tblPrEx>
        <w:trPr>
          <w:trHeight w:val="585" w:hRule="atLeast"/>
        </w:trPr>
        <w:tc>
          <w:tcPr>
            <w:tcW w:w="769" w:type="pct"/>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hint="eastAsia" w:ascii="宋体" w:hAnsi="宋体"/>
                <w:b/>
                <w:bCs/>
                <w:kern w:val="0"/>
                <w:szCs w:val="21"/>
              </w:rPr>
              <w:t>费用项目</w:t>
            </w:r>
          </w:p>
        </w:tc>
        <w:tc>
          <w:tcPr>
            <w:tcW w:w="1365" w:type="pct"/>
            <w:gridSpan w:val="2"/>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hint="eastAsia" w:ascii="宋体" w:hAnsi="宋体"/>
                <w:b/>
                <w:bCs/>
                <w:kern w:val="0"/>
                <w:szCs w:val="21"/>
              </w:rPr>
              <w:t>预算金额</w:t>
            </w:r>
          </w:p>
        </w:tc>
        <w:tc>
          <w:tcPr>
            <w:tcW w:w="1444" w:type="pct"/>
            <w:gridSpan w:val="2"/>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hint="eastAsia" w:ascii="宋体" w:hAnsi="宋体"/>
                <w:b/>
                <w:bCs/>
                <w:kern w:val="0"/>
                <w:szCs w:val="21"/>
              </w:rPr>
              <w:t>决算金额</w:t>
            </w:r>
          </w:p>
        </w:tc>
        <w:tc>
          <w:tcPr>
            <w:tcW w:w="1420" w:type="pct"/>
            <w:gridSpan w:val="2"/>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hint="eastAsia" w:ascii="宋体" w:hAnsi="宋体"/>
                <w:b/>
                <w:bCs/>
                <w:kern w:val="0"/>
                <w:szCs w:val="21"/>
              </w:rPr>
              <w:t>增加额（预</w:t>
            </w:r>
            <w:r>
              <w:rPr>
                <w:rFonts w:ascii="宋体"/>
                <w:b/>
                <w:bCs/>
                <w:kern w:val="0"/>
                <w:szCs w:val="21"/>
              </w:rPr>
              <w:t>-</w:t>
            </w:r>
            <w:r>
              <w:rPr>
                <w:rFonts w:hint="eastAsia" w:ascii="宋体" w:hAnsi="宋体"/>
                <w:b/>
                <w:bCs/>
                <w:kern w:val="0"/>
                <w:szCs w:val="21"/>
              </w:rPr>
              <w:t>决）</w:t>
            </w:r>
          </w:p>
        </w:tc>
      </w:tr>
      <w:tr>
        <w:tblPrEx>
          <w:tblCellMar>
            <w:top w:w="0" w:type="dxa"/>
            <w:left w:w="0" w:type="dxa"/>
            <w:bottom w:w="0" w:type="dxa"/>
            <w:right w:w="0" w:type="dxa"/>
          </w:tblCellMar>
        </w:tblPrEx>
        <w:trPr>
          <w:trHeight w:val="585" w:hRule="atLeast"/>
        </w:trPr>
        <w:tc>
          <w:tcPr>
            <w:tcW w:w="769" w:type="pct"/>
            <w:vMerge w:val="continue"/>
            <w:tcBorders>
              <w:top w:val="single" w:color="000000" w:sz="8" w:space="0"/>
              <w:left w:val="single" w:color="000000" w:sz="8" w:space="0"/>
              <w:bottom w:val="single" w:color="000000" w:sz="8" w:space="0"/>
              <w:right w:val="single" w:color="000000" w:sz="8" w:space="0"/>
            </w:tcBorders>
            <w:vAlign w:val="center"/>
          </w:tcPr>
          <w:p>
            <w:pPr>
              <w:spacing w:line="440" w:lineRule="exact"/>
              <w:jc w:val="left"/>
              <w:rPr>
                <w:kern w:val="0"/>
                <w:sz w:val="20"/>
                <w:szCs w:val="20"/>
              </w:rPr>
            </w:pPr>
          </w:p>
        </w:tc>
        <w:tc>
          <w:tcPr>
            <w:tcW w:w="682"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hint="eastAsia" w:ascii="宋体" w:hAnsi="宋体"/>
                <w:b/>
                <w:bCs/>
                <w:kern w:val="0"/>
                <w:szCs w:val="21"/>
              </w:rPr>
              <w:t>基本支出</w:t>
            </w:r>
          </w:p>
        </w:tc>
        <w:tc>
          <w:tcPr>
            <w:tcW w:w="683"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hint="eastAsia" w:ascii="宋体" w:hAnsi="宋体"/>
                <w:b/>
                <w:bCs/>
                <w:kern w:val="0"/>
                <w:szCs w:val="21"/>
              </w:rPr>
              <w:t>项目支出</w:t>
            </w:r>
          </w:p>
        </w:tc>
        <w:tc>
          <w:tcPr>
            <w:tcW w:w="760"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hint="eastAsia" w:ascii="宋体" w:hAnsi="宋体"/>
                <w:b/>
                <w:bCs/>
                <w:kern w:val="0"/>
                <w:szCs w:val="21"/>
              </w:rPr>
              <w:t>基本支出</w:t>
            </w:r>
          </w:p>
        </w:tc>
        <w:tc>
          <w:tcPr>
            <w:tcW w:w="683"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hint="eastAsia" w:ascii="宋体" w:hAnsi="宋体"/>
                <w:b/>
                <w:bCs/>
                <w:kern w:val="0"/>
                <w:szCs w:val="21"/>
              </w:rPr>
              <w:t>项目支出</w:t>
            </w:r>
          </w:p>
        </w:tc>
        <w:tc>
          <w:tcPr>
            <w:tcW w:w="737"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hint="eastAsia" w:ascii="宋体" w:hAnsi="宋体"/>
                <w:b/>
                <w:bCs/>
                <w:kern w:val="0"/>
                <w:szCs w:val="21"/>
              </w:rPr>
              <w:t>基本支出</w:t>
            </w:r>
          </w:p>
        </w:tc>
        <w:tc>
          <w:tcPr>
            <w:tcW w:w="683"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hint="eastAsia" w:ascii="宋体" w:hAnsi="宋体"/>
                <w:b/>
                <w:bCs/>
                <w:kern w:val="0"/>
                <w:szCs w:val="21"/>
              </w:rPr>
              <w:t>项目支出</w:t>
            </w:r>
          </w:p>
        </w:tc>
      </w:tr>
      <w:tr>
        <w:tblPrEx>
          <w:tblCellMar>
            <w:top w:w="0" w:type="dxa"/>
            <w:left w:w="0" w:type="dxa"/>
            <w:bottom w:w="0" w:type="dxa"/>
            <w:right w:w="0" w:type="dxa"/>
          </w:tblCellMar>
        </w:tblPrEx>
        <w:trPr>
          <w:trHeight w:val="585" w:hRule="atLeast"/>
        </w:trPr>
        <w:tc>
          <w:tcPr>
            <w:tcW w:w="769" w:type="pc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hint="eastAsia" w:ascii="宋体" w:hAnsi="宋体"/>
                <w:b/>
                <w:bCs/>
                <w:kern w:val="0"/>
                <w:szCs w:val="21"/>
              </w:rPr>
              <w:t>公务接待</w:t>
            </w:r>
          </w:p>
        </w:tc>
        <w:tc>
          <w:tcPr>
            <w:tcW w:w="682"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hAnsi="宋体"/>
                <w:kern w:val="0"/>
                <w:szCs w:val="21"/>
              </w:rPr>
              <w:t>6</w:t>
            </w:r>
          </w:p>
        </w:tc>
        <w:tc>
          <w:tcPr>
            <w:tcW w:w="683"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w:t>
            </w:r>
          </w:p>
        </w:tc>
        <w:tc>
          <w:tcPr>
            <w:tcW w:w="760"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hAnsi="宋体"/>
                <w:kern w:val="0"/>
                <w:szCs w:val="21"/>
              </w:rPr>
              <w:t>5.99</w:t>
            </w:r>
          </w:p>
        </w:tc>
        <w:tc>
          <w:tcPr>
            <w:tcW w:w="683"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00</w:t>
            </w:r>
          </w:p>
        </w:tc>
        <w:tc>
          <w:tcPr>
            <w:tcW w:w="737"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hAnsi="宋体"/>
                <w:kern w:val="0"/>
                <w:szCs w:val="21"/>
              </w:rPr>
              <w:t>0.01</w:t>
            </w:r>
          </w:p>
        </w:tc>
        <w:tc>
          <w:tcPr>
            <w:tcW w:w="683"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w:t>
            </w:r>
          </w:p>
        </w:tc>
      </w:tr>
      <w:tr>
        <w:tblPrEx>
          <w:tblCellMar>
            <w:top w:w="0" w:type="dxa"/>
            <w:left w:w="0" w:type="dxa"/>
            <w:bottom w:w="0" w:type="dxa"/>
            <w:right w:w="0" w:type="dxa"/>
          </w:tblCellMar>
        </w:tblPrEx>
        <w:trPr>
          <w:trHeight w:val="585" w:hRule="atLeast"/>
        </w:trPr>
        <w:tc>
          <w:tcPr>
            <w:tcW w:w="769" w:type="pc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hint="eastAsia" w:ascii="宋体" w:hAnsi="宋体"/>
                <w:b/>
                <w:bCs/>
                <w:kern w:val="0"/>
                <w:szCs w:val="21"/>
              </w:rPr>
              <w:t>公车运行</w:t>
            </w:r>
          </w:p>
        </w:tc>
        <w:tc>
          <w:tcPr>
            <w:tcW w:w="682"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w:t>
            </w:r>
          </w:p>
        </w:tc>
        <w:tc>
          <w:tcPr>
            <w:tcW w:w="683"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w:t>
            </w:r>
          </w:p>
        </w:tc>
        <w:tc>
          <w:tcPr>
            <w:tcW w:w="760"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w:t>
            </w:r>
          </w:p>
        </w:tc>
        <w:tc>
          <w:tcPr>
            <w:tcW w:w="683"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w:t>
            </w:r>
          </w:p>
        </w:tc>
        <w:tc>
          <w:tcPr>
            <w:tcW w:w="737"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w:t>
            </w:r>
          </w:p>
        </w:tc>
        <w:tc>
          <w:tcPr>
            <w:tcW w:w="683"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w:t>
            </w:r>
          </w:p>
        </w:tc>
      </w:tr>
      <w:tr>
        <w:tblPrEx>
          <w:tblCellMar>
            <w:top w:w="0" w:type="dxa"/>
            <w:left w:w="0" w:type="dxa"/>
            <w:bottom w:w="0" w:type="dxa"/>
            <w:right w:w="0" w:type="dxa"/>
          </w:tblCellMar>
        </w:tblPrEx>
        <w:trPr>
          <w:trHeight w:val="585" w:hRule="atLeast"/>
        </w:trPr>
        <w:tc>
          <w:tcPr>
            <w:tcW w:w="769" w:type="pc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hint="eastAsia" w:ascii="宋体" w:hAnsi="宋体"/>
                <w:b/>
                <w:bCs/>
                <w:kern w:val="0"/>
                <w:szCs w:val="21"/>
              </w:rPr>
              <w:t>公车购置</w:t>
            </w:r>
          </w:p>
        </w:tc>
        <w:tc>
          <w:tcPr>
            <w:tcW w:w="682"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w:t>
            </w:r>
          </w:p>
        </w:tc>
        <w:tc>
          <w:tcPr>
            <w:tcW w:w="683"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w:t>
            </w:r>
          </w:p>
        </w:tc>
        <w:tc>
          <w:tcPr>
            <w:tcW w:w="760"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w:t>
            </w:r>
          </w:p>
        </w:tc>
        <w:tc>
          <w:tcPr>
            <w:tcW w:w="683"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w:t>
            </w:r>
          </w:p>
        </w:tc>
        <w:tc>
          <w:tcPr>
            <w:tcW w:w="737"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w:t>
            </w:r>
          </w:p>
        </w:tc>
        <w:tc>
          <w:tcPr>
            <w:tcW w:w="683"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w:t>
            </w:r>
          </w:p>
        </w:tc>
      </w:tr>
      <w:tr>
        <w:tblPrEx>
          <w:tblCellMar>
            <w:top w:w="0" w:type="dxa"/>
            <w:left w:w="0" w:type="dxa"/>
            <w:bottom w:w="0" w:type="dxa"/>
            <w:right w:w="0" w:type="dxa"/>
          </w:tblCellMar>
        </w:tblPrEx>
        <w:trPr>
          <w:trHeight w:val="585" w:hRule="atLeast"/>
        </w:trPr>
        <w:tc>
          <w:tcPr>
            <w:tcW w:w="769" w:type="pc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hint="eastAsia" w:ascii="宋体" w:hAnsi="宋体"/>
                <w:b/>
                <w:bCs/>
                <w:kern w:val="0"/>
                <w:szCs w:val="21"/>
              </w:rPr>
              <w:t>因公出国</w:t>
            </w:r>
          </w:p>
        </w:tc>
        <w:tc>
          <w:tcPr>
            <w:tcW w:w="682"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w:t>
            </w:r>
          </w:p>
        </w:tc>
        <w:tc>
          <w:tcPr>
            <w:tcW w:w="683"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w:t>
            </w:r>
          </w:p>
        </w:tc>
        <w:tc>
          <w:tcPr>
            <w:tcW w:w="760"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w:t>
            </w:r>
          </w:p>
        </w:tc>
        <w:tc>
          <w:tcPr>
            <w:tcW w:w="683"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w:t>
            </w:r>
          </w:p>
        </w:tc>
        <w:tc>
          <w:tcPr>
            <w:tcW w:w="737"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w:t>
            </w:r>
          </w:p>
        </w:tc>
        <w:tc>
          <w:tcPr>
            <w:tcW w:w="683"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w:t>
            </w:r>
          </w:p>
        </w:tc>
      </w:tr>
      <w:tr>
        <w:tblPrEx>
          <w:tblCellMar>
            <w:top w:w="0" w:type="dxa"/>
            <w:left w:w="0" w:type="dxa"/>
            <w:bottom w:w="0" w:type="dxa"/>
            <w:right w:w="0" w:type="dxa"/>
          </w:tblCellMar>
        </w:tblPrEx>
        <w:trPr>
          <w:trHeight w:val="585" w:hRule="atLeast"/>
        </w:trPr>
        <w:tc>
          <w:tcPr>
            <w:tcW w:w="769" w:type="pc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hint="eastAsia" w:ascii="宋体" w:hAnsi="宋体"/>
                <w:b/>
                <w:bCs/>
                <w:kern w:val="0"/>
                <w:szCs w:val="21"/>
              </w:rPr>
              <w:t>合计</w:t>
            </w:r>
          </w:p>
        </w:tc>
        <w:tc>
          <w:tcPr>
            <w:tcW w:w="682"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hAnsi="宋体"/>
                <w:kern w:val="0"/>
                <w:szCs w:val="21"/>
              </w:rPr>
              <w:t>6</w:t>
            </w:r>
          </w:p>
        </w:tc>
        <w:tc>
          <w:tcPr>
            <w:tcW w:w="683"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w:t>
            </w:r>
          </w:p>
        </w:tc>
        <w:tc>
          <w:tcPr>
            <w:tcW w:w="760"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hAnsi="宋体"/>
                <w:kern w:val="0"/>
                <w:szCs w:val="21"/>
              </w:rPr>
              <w:t>5.99</w:t>
            </w:r>
          </w:p>
        </w:tc>
        <w:tc>
          <w:tcPr>
            <w:tcW w:w="683"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w:t>
            </w:r>
          </w:p>
        </w:tc>
        <w:tc>
          <w:tcPr>
            <w:tcW w:w="737"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hAnsi="宋体"/>
                <w:kern w:val="0"/>
                <w:szCs w:val="21"/>
              </w:rPr>
              <w:t>0.01</w:t>
            </w:r>
          </w:p>
        </w:tc>
        <w:tc>
          <w:tcPr>
            <w:tcW w:w="683" w:type="pct"/>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w:t>
            </w:r>
          </w:p>
        </w:tc>
      </w:tr>
    </w:tbl>
    <w:p>
      <w:pPr>
        <w:spacing w:line="440" w:lineRule="exact"/>
        <w:ind w:firstLine="640"/>
        <w:rPr>
          <w:rFonts w:ascii="宋体"/>
          <w:kern w:val="0"/>
          <w:sz w:val="28"/>
          <w:szCs w:val="28"/>
        </w:rPr>
      </w:pPr>
      <w:r>
        <w:rPr>
          <w:rFonts w:ascii="宋体" w:hAnsi="宋体"/>
          <w:kern w:val="0"/>
          <w:sz w:val="28"/>
          <w:szCs w:val="28"/>
        </w:rPr>
        <w:t>1</w:t>
      </w:r>
      <w:r>
        <w:rPr>
          <w:rFonts w:hint="eastAsia" w:ascii="宋体" w:hAnsi="宋体"/>
          <w:kern w:val="0"/>
          <w:sz w:val="28"/>
          <w:szCs w:val="28"/>
        </w:rPr>
        <w:t>、公务接待费</w:t>
      </w:r>
    </w:p>
    <w:p>
      <w:pPr>
        <w:spacing w:line="440" w:lineRule="exact"/>
        <w:ind w:firstLine="640"/>
        <w:rPr>
          <w:rFonts w:ascii="宋体"/>
          <w:kern w:val="0"/>
          <w:sz w:val="28"/>
          <w:szCs w:val="28"/>
        </w:rPr>
      </w:pPr>
      <w:r>
        <w:rPr>
          <w:rFonts w:hint="eastAsia" w:ascii="宋体" w:hAnsi="宋体"/>
          <w:kern w:val="0"/>
          <w:sz w:val="28"/>
          <w:szCs w:val="28"/>
        </w:rPr>
        <w:t>全年国内公务接待共</w:t>
      </w:r>
      <w:r>
        <w:rPr>
          <w:rFonts w:ascii="宋体" w:hAnsi="宋体"/>
          <w:kern w:val="0"/>
          <w:sz w:val="28"/>
          <w:szCs w:val="28"/>
        </w:rPr>
        <w:t>62</w:t>
      </w:r>
      <w:r>
        <w:rPr>
          <w:rFonts w:hint="eastAsia" w:ascii="宋体" w:hAnsi="宋体"/>
          <w:kern w:val="0"/>
          <w:sz w:val="28"/>
          <w:szCs w:val="28"/>
        </w:rPr>
        <w:t>批次，</w:t>
      </w:r>
      <w:r>
        <w:rPr>
          <w:rFonts w:ascii="宋体" w:hAnsi="宋体"/>
          <w:kern w:val="0"/>
          <w:sz w:val="28"/>
          <w:szCs w:val="28"/>
        </w:rPr>
        <w:t>1016</w:t>
      </w:r>
      <w:r>
        <w:rPr>
          <w:rFonts w:hint="eastAsia" w:ascii="宋体" w:hAnsi="宋体"/>
          <w:kern w:val="0"/>
          <w:sz w:val="28"/>
          <w:szCs w:val="28"/>
        </w:rPr>
        <w:t>人次。全年决算支出公务接待费</w:t>
      </w:r>
      <w:r>
        <w:rPr>
          <w:rFonts w:ascii="宋体" w:hAnsi="宋体"/>
          <w:kern w:val="0"/>
          <w:sz w:val="28"/>
          <w:szCs w:val="28"/>
        </w:rPr>
        <w:t>5.99</w:t>
      </w:r>
      <w:r>
        <w:rPr>
          <w:rFonts w:hint="eastAsia" w:ascii="宋体" w:hAnsi="宋体"/>
          <w:kern w:val="0"/>
          <w:sz w:val="28"/>
          <w:szCs w:val="28"/>
        </w:rPr>
        <w:t>万元，较年初预算节约</w:t>
      </w:r>
      <w:r>
        <w:rPr>
          <w:rFonts w:ascii="宋体" w:hAnsi="宋体"/>
          <w:kern w:val="0"/>
          <w:sz w:val="28"/>
          <w:szCs w:val="28"/>
        </w:rPr>
        <w:t>0.01</w:t>
      </w:r>
      <w:r>
        <w:rPr>
          <w:rFonts w:hint="eastAsia" w:ascii="宋体" w:hAnsi="宋体"/>
          <w:kern w:val="0"/>
          <w:sz w:val="28"/>
          <w:szCs w:val="28"/>
        </w:rPr>
        <w:t>万元，节约</w:t>
      </w:r>
      <w:r>
        <w:rPr>
          <w:rFonts w:ascii="宋体" w:hAnsi="宋体"/>
          <w:kern w:val="0"/>
          <w:sz w:val="28"/>
          <w:szCs w:val="28"/>
        </w:rPr>
        <w:t>0.17%</w:t>
      </w:r>
      <w:r>
        <w:rPr>
          <w:rFonts w:hint="eastAsia" w:ascii="宋体" w:hAnsi="宋体"/>
          <w:kern w:val="0"/>
          <w:sz w:val="28"/>
          <w:szCs w:val="28"/>
        </w:rPr>
        <w:t>；较上年支出减少</w:t>
      </w:r>
      <w:r>
        <w:rPr>
          <w:rFonts w:ascii="宋体" w:hAnsi="宋体"/>
          <w:kern w:val="0"/>
          <w:sz w:val="28"/>
          <w:szCs w:val="28"/>
        </w:rPr>
        <w:t>2</w:t>
      </w:r>
      <w:r>
        <w:rPr>
          <w:rFonts w:hint="eastAsia" w:ascii="宋体" w:hAnsi="宋体"/>
          <w:kern w:val="0"/>
          <w:sz w:val="28"/>
          <w:szCs w:val="28"/>
        </w:rPr>
        <w:t>万元，下降比为</w:t>
      </w:r>
      <w:r>
        <w:rPr>
          <w:rFonts w:ascii="宋体" w:hAnsi="宋体"/>
          <w:kern w:val="0"/>
          <w:sz w:val="28"/>
          <w:szCs w:val="28"/>
        </w:rPr>
        <w:t>25%</w:t>
      </w:r>
      <w:r>
        <w:rPr>
          <w:rFonts w:hint="eastAsia" w:ascii="宋体" w:hAnsi="宋体"/>
          <w:kern w:val="0"/>
          <w:sz w:val="28"/>
          <w:szCs w:val="28"/>
        </w:rPr>
        <w:t>。</w:t>
      </w:r>
    </w:p>
    <w:p>
      <w:pPr>
        <w:spacing w:line="440" w:lineRule="exact"/>
        <w:ind w:firstLine="640"/>
        <w:rPr>
          <w:rFonts w:ascii="宋体"/>
          <w:kern w:val="0"/>
          <w:sz w:val="28"/>
          <w:szCs w:val="28"/>
        </w:rPr>
      </w:pPr>
      <w:r>
        <w:rPr>
          <w:rFonts w:ascii="宋体" w:hAnsi="宋体"/>
          <w:kern w:val="0"/>
          <w:sz w:val="28"/>
          <w:szCs w:val="28"/>
        </w:rPr>
        <w:t>2</w:t>
      </w:r>
      <w:r>
        <w:rPr>
          <w:rFonts w:hint="eastAsia" w:ascii="宋体" w:hAnsi="宋体"/>
          <w:kern w:val="0"/>
          <w:sz w:val="28"/>
          <w:szCs w:val="28"/>
        </w:rPr>
        <w:t>、公务用车购置及运行维护费</w:t>
      </w:r>
    </w:p>
    <w:p>
      <w:pPr>
        <w:spacing w:line="440" w:lineRule="exact"/>
        <w:ind w:firstLine="640"/>
        <w:rPr>
          <w:rFonts w:ascii="宋体"/>
          <w:kern w:val="0"/>
          <w:sz w:val="28"/>
          <w:szCs w:val="28"/>
        </w:rPr>
      </w:pPr>
      <w:r>
        <w:rPr>
          <w:rFonts w:ascii="宋体" w:hAnsi="宋体"/>
          <w:kern w:val="0"/>
          <w:sz w:val="28"/>
          <w:szCs w:val="28"/>
        </w:rPr>
        <w:t>2020</w:t>
      </w:r>
      <w:r>
        <w:rPr>
          <w:rFonts w:hint="eastAsia" w:ascii="宋体" w:hAnsi="宋体"/>
          <w:kern w:val="0"/>
          <w:sz w:val="28"/>
          <w:szCs w:val="28"/>
        </w:rPr>
        <w:t>年我单位没有公务用车购置，</w:t>
      </w:r>
      <w:r>
        <w:rPr>
          <w:rFonts w:ascii="宋体" w:hAnsi="宋体"/>
          <w:kern w:val="0"/>
          <w:sz w:val="28"/>
          <w:szCs w:val="28"/>
        </w:rPr>
        <w:t xml:space="preserve"> </w:t>
      </w:r>
      <w:r>
        <w:rPr>
          <w:rFonts w:hint="eastAsia" w:ascii="宋体" w:hAnsi="宋体"/>
          <w:kern w:val="0"/>
          <w:sz w:val="28"/>
          <w:szCs w:val="28"/>
        </w:rPr>
        <w:t>公务用车运行维护费</w:t>
      </w:r>
      <w:r>
        <w:rPr>
          <w:rFonts w:ascii="宋体"/>
          <w:kern w:val="0"/>
          <w:sz w:val="28"/>
          <w:szCs w:val="28"/>
        </w:rPr>
        <w:t>0</w:t>
      </w:r>
      <w:r>
        <w:rPr>
          <w:rFonts w:hint="eastAsia" w:ascii="宋体" w:hAnsi="宋体"/>
          <w:kern w:val="0"/>
          <w:sz w:val="28"/>
          <w:szCs w:val="28"/>
        </w:rPr>
        <w:t>万元。</w:t>
      </w:r>
    </w:p>
    <w:p>
      <w:pPr>
        <w:numPr>
          <w:ilvl w:val="0"/>
          <w:numId w:val="2"/>
        </w:numPr>
        <w:spacing w:line="440" w:lineRule="exact"/>
        <w:ind w:firstLine="640"/>
        <w:rPr>
          <w:rFonts w:ascii="宋体"/>
          <w:kern w:val="0"/>
          <w:sz w:val="28"/>
          <w:szCs w:val="28"/>
        </w:rPr>
      </w:pPr>
      <w:r>
        <w:rPr>
          <w:rFonts w:hint="eastAsia" w:ascii="宋体" w:hAnsi="宋体"/>
          <w:kern w:val="0"/>
          <w:sz w:val="28"/>
          <w:szCs w:val="28"/>
        </w:rPr>
        <w:t>三公经费总体绩效自评</w:t>
      </w:r>
    </w:p>
    <w:p>
      <w:pPr>
        <w:spacing w:line="440" w:lineRule="exact"/>
        <w:ind w:firstLine="560" w:firstLineChars="200"/>
        <w:rPr>
          <w:kern w:val="0"/>
          <w:sz w:val="20"/>
          <w:szCs w:val="20"/>
        </w:rPr>
      </w:pPr>
      <w:r>
        <w:rPr>
          <w:rFonts w:hint="eastAsia" w:ascii="宋体" w:hAnsi="宋体"/>
          <w:kern w:val="0"/>
          <w:sz w:val="28"/>
          <w:szCs w:val="28"/>
        </w:rPr>
        <w:t>我局</w:t>
      </w:r>
      <w:r>
        <w:rPr>
          <w:rFonts w:ascii="宋体" w:hAnsi="宋体"/>
          <w:kern w:val="0"/>
          <w:sz w:val="28"/>
          <w:szCs w:val="28"/>
        </w:rPr>
        <w:t>2020</w:t>
      </w:r>
      <w:r>
        <w:rPr>
          <w:rFonts w:hint="eastAsia" w:ascii="宋体" w:hAnsi="宋体"/>
          <w:kern w:val="0"/>
          <w:sz w:val="28"/>
          <w:szCs w:val="28"/>
        </w:rPr>
        <w:t>年度“三公”经费预算</w:t>
      </w:r>
      <w:r>
        <w:rPr>
          <w:rFonts w:ascii="宋体" w:hAnsi="宋体"/>
          <w:kern w:val="0"/>
          <w:sz w:val="28"/>
          <w:szCs w:val="28"/>
        </w:rPr>
        <w:t>6</w:t>
      </w:r>
      <w:r>
        <w:rPr>
          <w:rFonts w:hint="eastAsia" w:ascii="宋体" w:hAnsi="宋体"/>
          <w:kern w:val="0"/>
          <w:sz w:val="28"/>
          <w:szCs w:val="28"/>
        </w:rPr>
        <w:t>万元，实际支出</w:t>
      </w:r>
      <w:r>
        <w:rPr>
          <w:rFonts w:ascii="宋体" w:hAnsi="宋体"/>
          <w:kern w:val="0"/>
          <w:sz w:val="28"/>
          <w:szCs w:val="28"/>
        </w:rPr>
        <w:t>5.99</w:t>
      </w:r>
      <w:r>
        <w:rPr>
          <w:rFonts w:hint="eastAsia" w:ascii="宋体" w:hAnsi="宋体"/>
          <w:kern w:val="0"/>
          <w:sz w:val="28"/>
          <w:szCs w:val="28"/>
        </w:rPr>
        <w:t>万元，结余</w:t>
      </w:r>
      <w:r>
        <w:rPr>
          <w:rFonts w:ascii="宋体" w:hAnsi="宋体"/>
          <w:kern w:val="0"/>
          <w:sz w:val="28"/>
          <w:szCs w:val="28"/>
        </w:rPr>
        <w:t>0.01</w:t>
      </w:r>
      <w:r>
        <w:rPr>
          <w:rFonts w:hint="eastAsia" w:ascii="宋体" w:hAnsi="宋体"/>
          <w:kern w:val="0"/>
          <w:sz w:val="28"/>
          <w:szCs w:val="28"/>
        </w:rPr>
        <w:t>万元。其中，基本支出</w:t>
      </w:r>
      <w:r>
        <w:rPr>
          <w:rFonts w:ascii="宋体" w:hAnsi="宋体"/>
          <w:kern w:val="0"/>
          <w:sz w:val="28"/>
          <w:szCs w:val="28"/>
        </w:rPr>
        <w:t>6</w:t>
      </w:r>
      <w:r>
        <w:rPr>
          <w:rFonts w:hint="eastAsia" w:ascii="宋体" w:hAnsi="宋体"/>
          <w:kern w:val="0"/>
          <w:sz w:val="28"/>
          <w:szCs w:val="28"/>
        </w:rPr>
        <w:t>万元，实际支出</w:t>
      </w:r>
      <w:r>
        <w:rPr>
          <w:rFonts w:ascii="宋体" w:hAnsi="宋体"/>
          <w:kern w:val="0"/>
          <w:sz w:val="28"/>
          <w:szCs w:val="28"/>
        </w:rPr>
        <w:t>5.99</w:t>
      </w:r>
      <w:r>
        <w:rPr>
          <w:rFonts w:hint="eastAsia" w:ascii="宋体" w:hAnsi="宋体"/>
          <w:kern w:val="0"/>
          <w:sz w:val="28"/>
          <w:szCs w:val="28"/>
        </w:rPr>
        <w:t>万元，结余</w:t>
      </w:r>
      <w:r>
        <w:rPr>
          <w:rFonts w:ascii="宋体" w:hAnsi="宋体"/>
          <w:kern w:val="0"/>
          <w:sz w:val="28"/>
          <w:szCs w:val="28"/>
        </w:rPr>
        <w:t>0.01</w:t>
      </w:r>
      <w:r>
        <w:rPr>
          <w:rFonts w:hint="eastAsia" w:ascii="宋体" w:hAnsi="宋体"/>
          <w:kern w:val="0"/>
          <w:sz w:val="28"/>
          <w:szCs w:val="28"/>
        </w:rPr>
        <w:t>万元，结余率</w:t>
      </w:r>
      <w:r>
        <w:rPr>
          <w:rFonts w:ascii="宋体" w:hAnsi="宋体"/>
          <w:kern w:val="0"/>
          <w:sz w:val="28"/>
          <w:szCs w:val="28"/>
        </w:rPr>
        <w:t>0.16%</w:t>
      </w:r>
      <w:r>
        <w:rPr>
          <w:rFonts w:hint="eastAsia" w:ascii="宋体" w:hAnsi="宋体"/>
          <w:kern w:val="0"/>
          <w:sz w:val="28"/>
          <w:szCs w:val="28"/>
        </w:rPr>
        <w:t>；全年未购置公务用车，“三公”经费总体控制非常好。</w:t>
      </w:r>
    </w:p>
    <w:p>
      <w:pPr>
        <w:spacing w:line="440" w:lineRule="exact"/>
        <w:ind w:firstLine="643"/>
        <w:rPr>
          <w:kern w:val="0"/>
          <w:sz w:val="20"/>
          <w:szCs w:val="20"/>
        </w:rPr>
      </w:pPr>
      <w:r>
        <w:rPr>
          <w:rFonts w:ascii="宋体" w:hAnsi="宋体"/>
          <w:b/>
          <w:bCs/>
          <w:kern w:val="0"/>
          <w:sz w:val="28"/>
          <w:szCs w:val="28"/>
        </w:rPr>
        <w:t>3</w:t>
      </w:r>
      <w:r>
        <w:rPr>
          <w:rFonts w:hint="eastAsia" w:ascii="宋体" w:hAnsi="宋体"/>
          <w:b/>
          <w:bCs/>
          <w:kern w:val="0"/>
          <w:sz w:val="28"/>
          <w:szCs w:val="28"/>
        </w:rPr>
        <w:t>．“三公”经费与上年对比情况</w:t>
      </w:r>
      <w:r>
        <w:rPr>
          <w:rFonts w:hint="eastAsia" w:ascii="宋体" w:hAnsi="宋体"/>
          <w:kern w:val="0"/>
          <w:sz w:val="28"/>
          <w:szCs w:val="28"/>
        </w:rPr>
        <w:t>（单位：万元）</w:t>
      </w:r>
    </w:p>
    <w:tbl>
      <w:tblPr>
        <w:tblStyle w:val="4"/>
        <w:tblW w:w="0" w:type="auto"/>
        <w:jc w:val="center"/>
        <w:tblLayout w:type="autofit"/>
        <w:tblCellMar>
          <w:top w:w="0" w:type="dxa"/>
          <w:left w:w="0" w:type="dxa"/>
          <w:bottom w:w="0" w:type="dxa"/>
          <w:right w:w="0" w:type="dxa"/>
        </w:tblCellMar>
      </w:tblPr>
      <w:tblGrid>
        <w:gridCol w:w="2157"/>
        <w:gridCol w:w="2169"/>
        <w:gridCol w:w="2169"/>
        <w:gridCol w:w="2341"/>
      </w:tblGrid>
      <w:tr>
        <w:tblPrEx>
          <w:tblCellMar>
            <w:top w:w="0" w:type="dxa"/>
            <w:left w:w="0" w:type="dxa"/>
            <w:bottom w:w="0" w:type="dxa"/>
            <w:right w:w="0" w:type="dxa"/>
          </w:tblCellMar>
        </w:tblPrEx>
        <w:trPr>
          <w:trHeight w:val="615" w:hRule="atLeast"/>
          <w:jc w:val="center"/>
        </w:trPr>
        <w:tc>
          <w:tcPr>
            <w:tcW w:w="253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hint="eastAsia" w:ascii="宋体" w:hAnsi="宋体"/>
                <w:b/>
                <w:bCs/>
                <w:kern w:val="0"/>
                <w:szCs w:val="21"/>
              </w:rPr>
              <w:t>费用项目</w:t>
            </w:r>
          </w:p>
        </w:tc>
        <w:tc>
          <w:tcPr>
            <w:tcW w:w="2505"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hAnsi="宋体"/>
                <w:b/>
                <w:bCs/>
                <w:kern w:val="0"/>
                <w:szCs w:val="21"/>
              </w:rPr>
              <w:t>2019</w:t>
            </w:r>
            <w:r>
              <w:rPr>
                <w:rFonts w:hint="eastAsia" w:ascii="宋体" w:hAnsi="宋体"/>
                <w:b/>
                <w:bCs/>
                <w:kern w:val="0"/>
                <w:szCs w:val="21"/>
              </w:rPr>
              <w:t>年决算数</w:t>
            </w:r>
          </w:p>
        </w:tc>
        <w:tc>
          <w:tcPr>
            <w:tcW w:w="2505"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hAnsi="宋体"/>
                <w:b/>
                <w:bCs/>
                <w:kern w:val="0"/>
                <w:szCs w:val="21"/>
              </w:rPr>
              <w:t>2020</w:t>
            </w:r>
            <w:r>
              <w:rPr>
                <w:rFonts w:hint="eastAsia" w:ascii="宋体" w:hAnsi="宋体"/>
                <w:b/>
                <w:bCs/>
                <w:kern w:val="0"/>
                <w:szCs w:val="21"/>
              </w:rPr>
              <w:t>年决算数</w:t>
            </w:r>
          </w:p>
        </w:tc>
        <w:tc>
          <w:tcPr>
            <w:tcW w:w="2506"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hint="eastAsia" w:ascii="宋体" w:hAnsi="宋体"/>
                <w:b/>
                <w:bCs/>
                <w:kern w:val="0"/>
                <w:szCs w:val="21"/>
              </w:rPr>
              <w:t>增减情况（</w:t>
            </w:r>
            <w:r>
              <w:rPr>
                <w:rFonts w:ascii="宋体" w:hAnsi="宋体"/>
                <w:b/>
                <w:bCs/>
                <w:kern w:val="0"/>
                <w:szCs w:val="21"/>
              </w:rPr>
              <w:t>2020-2019</w:t>
            </w:r>
            <w:r>
              <w:rPr>
                <w:rFonts w:hint="eastAsia" w:ascii="宋体" w:hAnsi="宋体"/>
                <w:b/>
                <w:bCs/>
                <w:kern w:val="0"/>
                <w:szCs w:val="21"/>
              </w:rPr>
              <w:t>）</w:t>
            </w:r>
          </w:p>
        </w:tc>
      </w:tr>
      <w:tr>
        <w:tblPrEx>
          <w:tblCellMar>
            <w:top w:w="0" w:type="dxa"/>
            <w:left w:w="0" w:type="dxa"/>
            <w:bottom w:w="0" w:type="dxa"/>
            <w:right w:w="0" w:type="dxa"/>
          </w:tblCellMar>
        </w:tblPrEx>
        <w:trPr>
          <w:trHeight w:val="615" w:hRule="atLeast"/>
          <w:jc w:val="center"/>
        </w:trPr>
        <w:tc>
          <w:tcPr>
            <w:tcW w:w="253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jc w:val="center"/>
              <w:textAlignment w:val="center"/>
              <w:rPr>
                <w:kern w:val="0"/>
                <w:sz w:val="20"/>
                <w:szCs w:val="20"/>
              </w:rPr>
            </w:pPr>
            <w:r>
              <w:rPr>
                <w:rFonts w:hint="eastAsia" w:ascii="宋体" w:hAnsi="宋体"/>
                <w:b/>
                <w:bCs/>
                <w:kern w:val="0"/>
                <w:szCs w:val="21"/>
              </w:rPr>
              <w:t>公务接待费</w:t>
            </w:r>
          </w:p>
        </w:tc>
        <w:tc>
          <w:tcPr>
            <w:tcW w:w="250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hAnsi="宋体"/>
                <w:kern w:val="0"/>
                <w:szCs w:val="21"/>
              </w:rPr>
              <w:t>6.11</w:t>
            </w:r>
          </w:p>
        </w:tc>
        <w:tc>
          <w:tcPr>
            <w:tcW w:w="250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hAnsi="宋体"/>
                <w:kern w:val="0"/>
                <w:szCs w:val="21"/>
              </w:rPr>
              <w:t>5.99</w:t>
            </w:r>
          </w:p>
        </w:tc>
        <w:tc>
          <w:tcPr>
            <w:tcW w:w="2506"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hAnsi="宋体"/>
                <w:kern w:val="0"/>
                <w:szCs w:val="21"/>
              </w:rPr>
              <w:t>-0.12</w:t>
            </w:r>
          </w:p>
        </w:tc>
      </w:tr>
      <w:tr>
        <w:tblPrEx>
          <w:tblCellMar>
            <w:top w:w="0" w:type="dxa"/>
            <w:left w:w="0" w:type="dxa"/>
            <w:bottom w:w="0" w:type="dxa"/>
            <w:right w:w="0" w:type="dxa"/>
          </w:tblCellMar>
        </w:tblPrEx>
        <w:trPr>
          <w:trHeight w:val="615" w:hRule="atLeast"/>
          <w:jc w:val="center"/>
        </w:trPr>
        <w:tc>
          <w:tcPr>
            <w:tcW w:w="253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jc w:val="center"/>
              <w:textAlignment w:val="center"/>
              <w:rPr>
                <w:kern w:val="0"/>
                <w:sz w:val="20"/>
                <w:szCs w:val="20"/>
              </w:rPr>
            </w:pPr>
            <w:r>
              <w:rPr>
                <w:rFonts w:hint="eastAsia" w:ascii="宋体" w:hAnsi="宋体"/>
                <w:b/>
                <w:bCs/>
                <w:kern w:val="0"/>
                <w:szCs w:val="21"/>
              </w:rPr>
              <w:t>公车运行维护费</w:t>
            </w:r>
          </w:p>
        </w:tc>
        <w:tc>
          <w:tcPr>
            <w:tcW w:w="250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w:t>
            </w:r>
          </w:p>
        </w:tc>
        <w:tc>
          <w:tcPr>
            <w:tcW w:w="250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w:t>
            </w:r>
          </w:p>
        </w:tc>
        <w:tc>
          <w:tcPr>
            <w:tcW w:w="2506"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w:t>
            </w:r>
          </w:p>
        </w:tc>
      </w:tr>
      <w:tr>
        <w:tblPrEx>
          <w:tblCellMar>
            <w:top w:w="0" w:type="dxa"/>
            <w:left w:w="0" w:type="dxa"/>
            <w:bottom w:w="0" w:type="dxa"/>
            <w:right w:w="0" w:type="dxa"/>
          </w:tblCellMar>
        </w:tblPrEx>
        <w:trPr>
          <w:trHeight w:val="615" w:hRule="atLeast"/>
          <w:jc w:val="center"/>
        </w:trPr>
        <w:tc>
          <w:tcPr>
            <w:tcW w:w="253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jc w:val="center"/>
              <w:textAlignment w:val="center"/>
              <w:rPr>
                <w:kern w:val="0"/>
                <w:sz w:val="20"/>
                <w:szCs w:val="20"/>
              </w:rPr>
            </w:pPr>
            <w:r>
              <w:rPr>
                <w:rFonts w:hint="eastAsia" w:ascii="宋体" w:hAnsi="宋体"/>
                <w:b/>
                <w:bCs/>
                <w:kern w:val="0"/>
                <w:szCs w:val="21"/>
              </w:rPr>
              <w:t>因公出国费用</w:t>
            </w:r>
          </w:p>
        </w:tc>
        <w:tc>
          <w:tcPr>
            <w:tcW w:w="250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w:t>
            </w:r>
          </w:p>
        </w:tc>
        <w:tc>
          <w:tcPr>
            <w:tcW w:w="250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w:t>
            </w:r>
          </w:p>
        </w:tc>
        <w:tc>
          <w:tcPr>
            <w:tcW w:w="2506"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w:t>
            </w:r>
          </w:p>
        </w:tc>
      </w:tr>
      <w:tr>
        <w:tblPrEx>
          <w:tblCellMar>
            <w:top w:w="0" w:type="dxa"/>
            <w:left w:w="0" w:type="dxa"/>
            <w:bottom w:w="0" w:type="dxa"/>
            <w:right w:w="0" w:type="dxa"/>
          </w:tblCellMar>
        </w:tblPrEx>
        <w:trPr>
          <w:trHeight w:val="615" w:hRule="atLeast"/>
          <w:jc w:val="center"/>
        </w:trPr>
        <w:tc>
          <w:tcPr>
            <w:tcW w:w="253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jc w:val="center"/>
              <w:textAlignment w:val="center"/>
              <w:rPr>
                <w:kern w:val="0"/>
                <w:sz w:val="20"/>
                <w:szCs w:val="20"/>
              </w:rPr>
            </w:pPr>
            <w:r>
              <w:rPr>
                <w:rFonts w:hint="eastAsia" w:ascii="宋体" w:hAnsi="宋体"/>
                <w:b/>
                <w:bCs/>
                <w:kern w:val="0"/>
                <w:szCs w:val="21"/>
              </w:rPr>
              <w:t>公务车购置费</w:t>
            </w:r>
          </w:p>
        </w:tc>
        <w:tc>
          <w:tcPr>
            <w:tcW w:w="250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w:t>
            </w:r>
          </w:p>
        </w:tc>
        <w:tc>
          <w:tcPr>
            <w:tcW w:w="250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w:t>
            </w:r>
          </w:p>
        </w:tc>
        <w:tc>
          <w:tcPr>
            <w:tcW w:w="2506"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w:t>
            </w:r>
          </w:p>
        </w:tc>
      </w:tr>
      <w:tr>
        <w:tblPrEx>
          <w:tblCellMar>
            <w:top w:w="0" w:type="dxa"/>
            <w:left w:w="0" w:type="dxa"/>
            <w:bottom w:w="0" w:type="dxa"/>
            <w:right w:w="0" w:type="dxa"/>
          </w:tblCellMar>
        </w:tblPrEx>
        <w:trPr>
          <w:trHeight w:val="615" w:hRule="atLeast"/>
          <w:jc w:val="center"/>
        </w:trPr>
        <w:tc>
          <w:tcPr>
            <w:tcW w:w="253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jc w:val="center"/>
              <w:textAlignment w:val="center"/>
              <w:rPr>
                <w:kern w:val="0"/>
                <w:sz w:val="20"/>
                <w:szCs w:val="20"/>
              </w:rPr>
            </w:pPr>
            <w:r>
              <w:rPr>
                <w:rFonts w:hint="eastAsia" w:ascii="宋体" w:hAnsi="宋体"/>
                <w:b/>
                <w:bCs/>
                <w:kern w:val="0"/>
                <w:szCs w:val="21"/>
              </w:rPr>
              <w:t>合计</w:t>
            </w:r>
          </w:p>
        </w:tc>
        <w:tc>
          <w:tcPr>
            <w:tcW w:w="250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hAnsi="宋体"/>
                <w:kern w:val="0"/>
                <w:szCs w:val="21"/>
              </w:rPr>
              <w:t>6.11</w:t>
            </w:r>
          </w:p>
        </w:tc>
        <w:tc>
          <w:tcPr>
            <w:tcW w:w="250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hAnsi="宋体"/>
                <w:kern w:val="0"/>
                <w:szCs w:val="21"/>
              </w:rPr>
              <w:t>5.99</w:t>
            </w:r>
          </w:p>
        </w:tc>
        <w:tc>
          <w:tcPr>
            <w:tcW w:w="2506"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hAnsi="宋体"/>
                <w:kern w:val="0"/>
                <w:szCs w:val="21"/>
              </w:rPr>
              <w:t>-0.12</w:t>
            </w:r>
          </w:p>
        </w:tc>
      </w:tr>
    </w:tbl>
    <w:p>
      <w:pPr>
        <w:spacing w:line="440" w:lineRule="exact"/>
        <w:ind w:firstLine="640"/>
        <w:rPr>
          <w:kern w:val="0"/>
          <w:sz w:val="20"/>
          <w:szCs w:val="20"/>
        </w:rPr>
      </w:pPr>
      <w:r>
        <w:rPr>
          <w:rFonts w:hint="eastAsia" w:ascii="宋体" w:hAnsi="宋体"/>
          <w:kern w:val="0"/>
          <w:sz w:val="28"/>
          <w:szCs w:val="28"/>
        </w:rPr>
        <w:t>从上表反映，本年“三公”经费较上年有所减少，减少金额为</w:t>
      </w:r>
      <w:r>
        <w:rPr>
          <w:rFonts w:ascii="宋体" w:hAnsi="宋体"/>
          <w:kern w:val="0"/>
          <w:sz w:val="28"/>
          <w:szCs w:val="28"/>
        </w:rPr>
        <w:t>0.12</w:t>
      </w:r>
      <w:r>
        <w:rPr>
          <w:rFonts w:hint="eastAsia" w:ascii="宋体" w:hAnsi="宋体"/>
          <w:kern w:val="0"/>
          <w:sz w:val="28"/>
          <w:szCs w:val="28"/>
        </w:rPr>
        <w:t>万元，减少</w:t>
      </w:r>
      <w:r>
        <w:rPr>
          <w:rFonts w:ascii="宋体" w:hAnsi="宋体"/>
          <w:kern w:val="0"/>
          <w:sz w:val="28"/>
          <w:szCs w:val="28"/>
        </w:rPr>
        <w:t>1.93%</w:t>
      </w:r>
      <w:r>
        <w:rPr>
          <w:rFonts w:hint="eastAsia" w:ascii="宋体" w:hAnsi="宋体"/>
          <w:kern w:val="0"/>
          <w:sz w:val="28"/>
          <w:szCs w:val="28"/>
        </w:rPr>
        <w:t>，控制较好。</w:t>
      </w:r>
    </w:p>
    <w:p>
      <w:pPr>
        <w:spacing w:line="440" w:lineRule="exact"/>
        <w:ind w:firstLine="643"/>
        <w:rPr>
          <w:kern w:val="0"/>
          <w:sz w:val="20"/>
          <w:szCs w:val="20"/>
        </w:rPr>
      </w:pPr>
      <w:r>
        <w:rPr>
          <w:rFonts w:hint="eastAsia" w:ascii="宋体" w:hAnsi="宋体"/>
          <w:b/>
          <w:bCs/>
          <w:kern w:val="0"/>
          <w:sz w:val="28"/>
          <w:szCs w:val="28"/>
        </w:rPr>
        <w:t>（三）专项支出管理和使用情况</w:t>
      </w:r>
    </w:p>
    <w:p>
      <w:pPr>
        <w:spacing w:line="440" w:lineRule="exact"/>
        <w:ind w:firstLine="643"/>
        <w:rPr>
          <w:kern w:val="0"/>
          <w:sz w:val="20"/>
          <w:szCs w:val="20"/>
        </w:rPr>
      </w:pPr>
      <w:r>
        <w:rPr>
          <w:rFonts w:ascii="宋体" w:hAnsi="宋体"/>
          <w:b/>
          <w:bCs/>
          <w:kern w:val="0"/>
          <w:sz w:val="28"/>
          <w:szCs w:val="28"/>
        </w:rPr>
        <w:t>1.  2020</w:t>
      </w:r>
      <w:r>
        <w:rPr>
          <w:rFonts w:hint="eastAsia" w:ascii="宋体" w:hAnsi="宋体"/>
          <w:b/>
          <w:bCs/>
          <w:kern w:val="0"/>
          <w:sz w:val="28"/>
          <w:szCs w:val="28"/>
        </w:rPr>
        <w:t>年局本级专项资金预算情况</w:t>
      </w:r>
      <w:r>
        <w:rPr>
          <w:rFonts w:hint="eastAsia" w:ascii="宋体" w:hAnsi="宋体"/>
          <w:kern w:val="0"/>
          <w:sz w:val="28"/>
          <w:szCs w:val="28"/>
        </w:rPr>
        <w:t>（单位：万元）</w:t>
      </w:r>
    </w:p>
    <w:tbl>
      <w:tblPr>
        <w:tblStyle w:val="4"/>
        <w:tblW w:w="0" w:type="auto"/>
        <w:jc w:val="center"/>
        <w:tblLayout w:type="autofit"/>
        <w:tblCellMar>
          <w:top w:w="0" w:type="dxa"/>
          <w:left w:w="0" w:type="dxa"/>
          <w:bottom w:w="0" w:type="dxa"/>
          <w:right w:w="0" w:type="dxa"/>
        </w:tblCellMar>
      </w:tblPr>
      <w:tblGrid>
        <w:gridCol w:w="1628"/>
        <w:gridCol w:w="1719"/>
        <w:gridCol w:w="1884"/>
        <w:gridCol w:w="1720"/>
        <w:gridCol w:w="1885"/>
      </w:tblGrid>
      <w:tr>
        <w:tblPrEx>
          <w:tblCellMar>
            <w:top w:w="0" w:type="dxa"/>
            <w:left w:w="0" w:type="dxa"/>
            <w:bottom w:w="0" w:type="dxa"/>
            <w:right w:w="0" w:type="dxa"/>
          </w:tblCellMar>
        </w:tblPrEx>
        <w:trPr>
          <w:trHeight w:val="640" w:hRule="atLeast"/>
          <w:jc w:val="center"/>
        </w:trPr>
        <w:tc>
          <w:tcPr>
            <w:tcW w:w="241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hint="eastAsia" w:ascii="宋体" w:hAnsi="宋体"/>
                <w:b/>
                <w:bCs/>
                <w:kern w:val="0"/>
                <w:szCs w:val="21"/>
              </w:rPr>
              <w:t>预算项目</w:t>
            </w:r>
          </w:p>
        </w:tc>
        <w:tc>
          <w:tcPr>
            <w:tcW w:w="256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hint="eastAsia" w:ascii="宋体" w:hAnsi="宋体"/>
                <w:b/>
                <w:bCs/>
                <w:kern w:val="0"/>
                <w:szCs w:val="21"/>
              </w:rPr>
              <w:t>上年结余</w:t>
            </w:r>
          </w:p>
        </w:tc>
        <w:tc>
          <w:tcPr>
            <w:tcW w:w="256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hint="eastAsia" w:ascii="宋体" w:hAnsi="宋体"/>
                <w:b/>
                <w:bCs/>
                <w:kern w:val="0"/>
                <w:szCs w:val="21"/>
              </w:rPr>
              <w:t>本年预算</w:t>
            </w:r>
          </w:p>
        </w:tc>
        <w:tc>
          <w:tcPr>
            <w:tcW w:w="256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hint="eastAsia" w:ascii="宋体" w:hAnsi="宋体"/>
                <w:b/>
                <w:bCs/>
                <w:kern w:val="0"/>
                <w:szCs w:val="21"/>
              </w:rPr>
              <w:t>本年追加</w:t>
            </w:r>
          </w:p>
        </w:tc>
        <w:tc>
          <w:tcPr>
            <w:tcW w:w="256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hint="eastAsia" w:ascii="宋体" w:hAnsi="宋体"/>
                <w:b/>
                <w:bCs/>
                <w:kern w:val="0"/>
                <w:szCs w:val="21"/>
              </w:rPr>
              <w:t>预算可用指标</w:t>
            </w:r>
          </w:p>
        </w:tc>
      </w:tr>
      <w:tr>
        <w:tblPrEx>
          <w:tblCellMar>
            <w:top w:w="0" w:type="dxa"/>
            <w:left w:w="0" w:type="dxa"/>
            <w:bottom w:w="0" w:type="dxa"/>
            <w:right w:w="0" w:type="dxa"/>
          </w:tblCellMar>
        </w:tblPrEx>
        <w:trPr>
          <w:trHeight w:val="620" w:hRule="atLeast"/>
          <w:jc w:val="center"/>
        </w:trPr>
        <w:tc>
          <w:tcPr>
            <w:tcW w:w="241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hint="eastAsia" w:ascii="宋体" w:hAnsi="宋体"/>
                <w:b/>
                <w:bCs/>
                <w:kern w:val="0"/>
                <w:szCs w:val="21"/>
              </w:rPr>
              <w:t>业务工作专项</w:t>
            </w:r>
          </w:p>
        </w:tc>
        <w:tc>
          <w:tcPr>
            <w:tcW w:w="2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w:t>
            </w:r>
          </w:p>
        </w:tc>
        <w:tc>
          <w:tcPr>
            <w:tcW w:w="2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hAnsi="宋体"/>
                <w:kern w:val="0"/>
                <w:szCs w:val="21"/>
              </w:rPr>
              <w:t>266.38</w:t>
            </w:r>
          </w:p>
        </w:tc>
        <w:tc>
          <w:tcPr>
            <w:tcW w:w="2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kern w:val="0"/>
                <w:szCs w:val="21"/>
              </w:rPr>
              <w:t>0</w:t>
            </w:r>
          </w:p>
        </w:tc>
        <w:tc>
          <w:tcPr>
            <w:tcW w:w="2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hAnsi="宋体"/>
                <w:kern w:val="0"/>
                <w:szCs w:val="21"/>
              </w:rPr>
              <w:t>266.38</w:t>
            </w:r>
          </w:p>
        </w:tc>
      </w:tr>
    </w:tbl>
    <w:p>
      <w:pPr>
        <w:spacing w:line="440" w:lineRule="exact"/>
        <w:ind w:firstLine="643"/>
        <w:rPr>
          <w:kern w:val="0"/>
          <w:sz w:val="20"/>
          <w:szCs w:val="20"/>
        </w:rPr>
      </w:pPr>
      <w:r>
        <w:rPr>
          <w:rFonts w:ascii="宋体" w:hAnsi="宋体"/>
          <w:b/>
          <w:bCs/>
          <w:kern w:val="0"/>
          <w:sz w:val="28"/>
          <w:szCs w:val="28"/>
        </w:rPr>
        <w:t>2</w:t>
      </w:r>
      <w:r>
        <w:rPr>
          <w:rFonts w:hint="eastAsia" w:ascii="宋体" w:hAnsi="宋体"/>
          <w:b/>
          <w:bCs/>
          <w:kern w:val="0"/>
          <w:sz w:val="28"/>
          <w:szCs w:val="28"/>
        </w:rPr>
        <w:t>．</w:t>
      </w:r>
      <w:r>
        <w:rPr>
          <w:rFonts w:ascii="宋体" w:hAnsi="宋体"/>
          <w:b/>
          <w:bCs/>
          <w:kern w:val="0"/>
          <w:sz w:val="28"/>
          <w:szCs w:val="28"/>
        </w:rPr>
        <w:t>2020</w:t>
      </w:r>
      <w:r>
        <w:rPr>
          <w:rFonts w:hint="eastAsia" w:ascii="宋体" w:hAnsi="宋体"/>
          <w:b/>
          <w:bCs/>
          <w:kern w:val="0"/>
          <w:sz w:val="28"/>
          <w:szCs w:val="28"/>
        </w:rPr>
        <w:t>年专项资金投入使用情况</w:t>
      </w:r>
      <w:r>
        <w:rPr>
          <w:rFonts w:hint="eastAsia" w:ascii="宋体" w:hAnsi="宋体"/>
          <w:kern w:val="0"/>
          <w:sz w:val="28"/>
          <w:szCs w:val="28"/>
        </w:rPr>
        <w:t>（单位：万元）</w:t>
      </w:r>
    </w:p>
    <w:tbl>
      <w:tblPr>
        <w:tblStyle w:val="4"/>
        <w:tblW w:w="0" w:type="auto"/>
        <w:tblInd w:w="80" w:type="dxa"/>
        <w:tblLayout w:type="autofit"/>
        <w:tblCellMar>
          <w:top w:w="0" w:type="dxa"/>
          <w:left w:w="0" w:type="dxa"/>
          <w:bottom w:w="0" w:type="dxa"/>
          <w:right w:w="0" w:type="dxa"/>
        </w:tblCellMar>
      </w:tblPr>
      <w:tblGrid>
        <w:gridCol w:w="1545"/>
        <w:gridCol w:w="1603"/>
        <w:gridCol w:w="1432"/>
        <w:gridCol w:w="2015"/>
        <w:gridCol w:w="2161"/>
      </w:tblGrid>
      <w:tr>
        <w:tblPrEx>
          <w:tblCellMar>
            <w:top w:w="0" w:type="dxa"/>
            <w:left w:w="0" w:type="dxa"/>
            <w:bottom w:w="0" w:type="dxa"/>
            <w:right w:w="0" w:type="dxa"/>
          </w:tblCellMar>
        </w:tblPrEx>
        <w:trPr>
          <w:trHeight w:val="201" w:hRule="atLeast"/>
        </w:trPr>
        <w:tc>
          <w:tcPr>
            <w:tcW w:w="176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hint="eastAsia" w:ascii="宋体" w:hAnsi="宋体"/>
                <w:b/>
                <w:bCs/>
                <w:kern w:val="0"/>
                <w:szCs w:val="21"/>
              </w:rPr>
              <w:t>预算项目</w:t>
            </w:r>
          </w:p>
        </w:tc>
        <w:tc>
          <w:tcPr>
            <w:tcW w:w="177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hint="eastAsia" w:ascii="宋体" w:hAnsi="宋体"/>
                <w:b/>
                <w:bCs/>
                <w:kern w:val="0"/>
                <w:szCs w:val="21"/>
              </w:rPr>
              <w:t>预算指标</w:t>
            </w:r>
          </w:p>
        </w:tc>
        <w:tc>
          <w:tcPr>
            <w:tcW w:w="1549"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hint="eastAsia" w:ascii="宋体" w:hAnsi="宋体"/>
                <w:b/>
                <w:bCs/>
                <w:kern w:val="0"/>
                <w:szCs w:val="21"/>
              </w:rPr>
              <w:t>实际使用</w:t>
            </w:r>
          </w:p>
        </w:tc>
        <w:tc>
          <w:tcPr>
            <w:tcW w:w="2251"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hint="eastAsia" w:ascii="宋体" w:hAnsi="宋体"/>
                <w:b/>
                <w:bCs/>
                <w:kern w:val="0"/>
                <w:szCs w:val="21"/>
              </w:rPr>
              <w:t>差额（预算</w:t>
            </w:r>
            <w:r>
              <w:rPr>
                <w:rFonts w:ascii="宋体"/>
                <w:b/>
                <w:bCs/>
                <w:kern w:val="0"/>
                <w:szCs w:val="21"/>
              </w:rPr>
              <w:t>-</w:t>
            </w:r>
            <w:r>
              <w:rPr>
                <w:rFonts w:hint="eastAsia" w:ascii="宋体" w:hAnsi="宋体"/>
                <w:b/>
                <w:bCs/>
                <w:kern w:val="0"/>
                <w:szCs w:val="21"/>
              </w:rPr>
              <w:t>实际）</w:t>
            </w:r>
          </w:p>
        </w:tc>
        <w:tc>
          <w:tcPr>
            <w:tcW w:w="242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rFonts w:ascii="宋体"/>
                <w:b/>
                <w:bCs/>
                <w:kern w:val="0"/>
                <w:szCs w:val="21"/>
              </w:rPr>
            </w:pPr>
            <w:r>
              <w:rPr>
                <w:rFonts w:hint="eastAsia" w:ascii="宋体" w:hAnsi="宋体"/>
                <w:b/>
                <w:bCs/>
                <w:kern w:val="0"/>
                <w:szCs w:val="21"/>
              </w:rPr>
              <w:t>使用比例</w:t>
            </w:r>
          </w:p>
          <w:p>
            <w:pPr>
              <w:spacing w:line="440" w:lineRule="exact"/>
              <w:jc w:val="center"/>
              <w:rPr>
                <w:kern w:val="0"/>
                <w:sz w:val="20"/>
                <w:szCs w:val="20"/>
              </w:rPr>
            </w:pPr>
            <w:r>
              <w:rPr>
                <w:rFonts w:hint="eastAsia" w:ascii="宋体" w:hAnsi="宋体"/>
                <w:b/>
                <w:bCs/>
                <w:kern w:val="0"/>
                <w:szCs w:val="21"/>
              </w:rPr>
              <w:t>（实际</w:t>
            </w:r>
            <w:r>
              <w:rPr>
                <w:rFonts w:ascii="宋体" w:hAnsi="宋体"/>
                <w:b/>
                <w:bCs/>
                <w:kern w:val="0"/>
                <w:szCs w:val="21"/>
              </w:rPr>
              <w:t>/</w:t>
            </w:r>
            <w:r>
              <w:rPr>
                <w:rFonts w:hint="eastAsia" w:ascii="宋体" w:hAnsi="宋体"/>
                <w:b/>
                <w:bCs/>
                <w:kern w:val="0"/>
                <w:szCs w:val="21"/>
              </w:rPr>
              <w:t>预算）</w:t>
            </w:r>
          </w:p>
        </w:tc>
      </w:tr>
      <w:tr>
        <w:tblPrEx>
          <w:tblCellMar>
            <w:top w:w="0" w:type="dxa"/>
            <w:left w:w="0" w:type="dxa"/>
            <w:bottom w:w="0" w:type="dxa"/>
            <w:right w:w="0" w:type="dxa"/>
          </w:tblCellMar>
        </w:tblPrEx>
        <w:trPr>
          <w:trHeight w:val="670" w:hRule="atLeast"/>
        </w:trPr>
        <w:tc>
          <w:tcPr>
            <w:tcW w:w="17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hint="eastAsia" w:ascii="宋体" w:hAnsi="宋体"/>
                <w:b/>
                <w:bCs/>
                <w:kern w:val="0"/>
                <w:szCs w:val="21"/>
              </w:rPr>
              <w:t>业务工作专项</w:t>
            </w:r>
          </w:p>
        </w:tc>
        <w:tc>
          <w:tcPr>
            <w:tcW w:w="17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kern w:val="0"/>
                <w:sz w:val="20"/>
                <w:szCs w:val="20"/>
              </w:rPr>
              <w:t>266.38</w:t>
            </w:r>
          </w:p>
        </w:tc>
        <w:tc>
          <w:tcPr>
            <w:tcW w:w="154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hAnsi="宋体"/>
                <w:kern w:val="0"/>
                <w:szCs w:val="21"/>
              </w:rPr>
              <w:t>373.74</w:t>
            </w:r>
          </w:p>
        </w:tc>
        <w:tc>
          <w:tcPr>
            <w:tcW w:w="2251"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kern w:val="0"/>
                <w:sz w:val="20"/>
                <w:szCs w:val="20"/>
              </w:rPr>
              <w:t>-107.36</w:t>
            </w:r>
          </w:p>
        </w:tc>
        <w:tc>
          <w:tcPr>
            <w:tcW w:w="2423"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40" w:lineRule="exact"/>
              <w:jc w:val="center"/>
              <w:rPr>
                <w:kern w:val="0"/>
                <w:sz w:val="20"/>
                <w:szCs w:val="20"/>
              </w:rPr>
            </w:pPr>
            <w:r>
              <w:rPr>
                <w:rFonts w:ascii="宋体" w:hAnsi="宋体"/>
                <w:kern w:val="0"/>
                <w:szCs w:val="21"/>
              </w:rPr>
              <w:t>140.3%</w:t>
            </w:r>
          </w:p>
        </w:tc>
      </w:tr>
    </w:tbl>
    <w:p>
      <w:pPr>
        <w:spacing w:line="440" w:lineRule="exact"/>
        <w:ind w:firstLine="640"/>
        <w:rPr>
          <w:kern w:val="0"/>
          <w:sz w:val="20"/>
          <w:szCs w:val="20"/>
        </w:rPr>
      </w:pPr>
      <w:r>
        <w:rPr>
          <w:rFonts w:hint="eastAsia" w:ascii="宋体" w:hAnsi="宋体"/>
          <w:kern w:val="0"/>
          <w:sz w:val="28"/>
          <w:szCs w:val="28"/>
        </w:rPr>
        <w:t>针对上表反映情况，说明如下：</w:t>
      </w:r>
    </w:p>
    <w:p>
      <w:pPr>
        <w:spacing w:line="440" w:lineRule="exact"/>
        <w:ind w:firstLine="640"/>
        <w:rPr>
          <w:kern w:val="0"/>
          <w:sz w:val="20"/>
          <w:szCs w:val="20"/>
        </w:rPr>
      </w:pPr>
      <w:r>
        <w:rPr>
          <w:rFonts w:hint="eastAsia" w:ascii="宋体" w:hAnsi="宋体"/>
          <w:kern w:val="0"/>
          <w:sz w:val="28"/>
          <w:szCs w:val="28"/>
        </w:rPr>
        <w:t>（</w:t>
      </w:r>
      <w:r>
        <w:rPr>
          <w:rFonts w:ascii="宋体" w:hAnsi="宋体"/>
          <w:kern w:val="0"/>
          <w:sz w:val="28"/>
          <w:szCs w:val="28"/>
        </w:rPr>
        <w:t>1</w:t>
      </w:r>
      <w:r>
        <w:rPr>
          <w:rFonts w:hint="eastAsia" w:ascii="宋体" w:hAnsi="宋体"/>
          <w:kern w:val="0"/>
          <w:sz w:val="28"/>
          <w:szCs w:val="28"/>
        </w:rPr>
        <w:t>）我局</w:t>
      </w:r>
      <w:r>
        <w:rPr>
          <w:rFonts w:ascii="宋体" w:hAnsi="宋体"/>
          <w:kern w:val="0"/>
          <w:sz w:val="28"/>
          <w:szCs w:val="28"/>
        </w:rPr>
        <w:t>2020</w:t>
      </w:r>
      <w:r>
        <w:rPr>
          <w:rFonts w:hint="eastAsia" w:ascii="宋体" w:hAnsi="宋体"/>
          <w:kern w:val="0"/>
          <w:sz w:val="28"/>
          <w:szCs w:val="28"/>
        </w:rPr>
        <w:t>年专项资金主要为业务工作专项，其主要用途为第七次全国人口普查，专项统计业务等。</w:t>
      </w:r>
    </w:p>
    <w:p>
      <w:pPr>
        <w:spacing w:line="440" w:lineRule="exact"/>
        <w:ind w:firstLine="640"/>
        <w:rPr>
          <w:rFonts w:ascii="宋体"/>
          <w:kern w:val="0"/>
          <w:sz w:val="28"/>
          <w:szCs w:val="28"/>
        </w:rPr>
      </w:pPr>
      <w:r>
        <w:rPr>
          <w:rFonts w:hint="eastAsia" w:ascii="宋体" w:hAnsi="宋体"/>
          <w:kern w:val="0"/>
          <w:sz w:val="28"/>
          <w:szCs w:val="28"/>
        </w:rPr>
        <w:t>（</w:t>
      </w:r>
      <w:r>
        <w:rPr>
          <w:rFonts w:ascii="宋体" w:hAnsi="宋体"/>
          <w:kern w:val="0"/>
          <w:sz w:val="28"/>
          <w:szCs w:val="28"/>
        </w:rPr>
        <w:t>2</w:t>
      </w:r>
      <w:r>
        <w:rPr>
          <w:rFonts w:hint="eastAsia" w:ascii="宋体" w:hAnsi="宋体"/>
          <w:kern w:val="0"/>
          <w:sz w:val="28"/>
          <w:szCs w:val="28"/>
        </w:rPr>
        <w:t>）业务工作专项投入指标中无上年的结余指标，本年预算安排</w:t>
      </w:r>
      <w:r>
        <w:rPr>
          <w:rFonts w:ascii="宋体" w:hAnsi="宋体"/>
          <w:kern w:val="0"/>
          <w:sz w:val="28"/>
          <w:szCs w:val="28"/>
        </w:rPr>
        <w:t>266.38</w:t>
      </w:r>
      <w:r>
        <w:rPr>
          <w:rFonts w:hint="eastAsia" w:ascii="宋体" w:hAnsi="宋体"/>
          <w:kern w:val="0"/>
          <w:sz w:val="28"/>
          <w:szCs w:val="28"/>
        </w:rPr>
        <w:t>万元。</w:t>
      </w:r>
    </w:p>
    <w:p>
      <w:pPr>
        <w:spacing w:line="440" w:lineRule="exact"/>
        <w:ind w:firstLine="640"/>
        <w:rPr>
          <w:rFonts w:ascii="宋体"/>
          <w:kern w:val="0"/>
          <w:sz w:val="28"/>
          <w:szCs w:val="28"/>
        </w:rPr>
      </w:pPr>
      <w:r>
        <w:rPr>
          <w:rFonts w:hint="eastAsia" w:ascii="宋体" w:hAnsi="宋体"/>
          <w:kern w:val="0"/>
          <w:sz w:val="28"/>
          <w:szCs w:val="28"/>
        </w:rPr>
        <w:t>项目支出是在基本支出之外为完成其特定的行政工作任务而发生的支出，主要用于一般行政管理事务、统计抽样调查、大型普查等其他行政管理事务支出。</w:t>
      </w:r>
    </w:p>
    <w:p>
      <w:pPr>
        <w:spacing w:line="440" w:lineRule="exact"/>
        <w:ind w:firstLine="640"/>
        <w:rPr>
          <w:rFonts w:ascii="宋体"/>
          <w:kern w:val="0"/>
          <w:sz w:val="28"/>
          <w:szCs w:val="28"/>
        </w:rPr>
      </w:pPr>
      <w:r>
        <w:rPr>
          <w:rFonts w:ascii="宋体" w:hAnsi="宋体"/>
          <w:kern w:val="0"/>
          <w:sz w:val="28"/>
          <w:szCs w:val="28"/>
        </w:rPr>
        <w:t>2020</w:t>
      </w:r>
      <w:r>
        <w:rPr>
          <w:rFonts w:hint="eastAsia" w:ascii="宋体" w:hAnsi="宋体"/>
          <w:kern w:val="0"/>
          <w:sz w:val="28"/>
          <w:szCs w:val="28"/>
        </w:rPr>
        <w:t>年年初预算批复的项目支出为</w:t>
      </w:r>
      <w:r>
        <w:rPr>
          <w:rFonts w:ascii="宋体" w:hAnsi="宋体"/>
          <w:kern w:val="0"/>
          <w:sz w:val="28"/>
          <w:szCs w:val="28"/>
        </w:rPr>
        <w:t>266.38</w:t>
      </w:r>
      <w:r>
        <w:rPr>
          <w:rFonts w:hint="eastAsia" w:ascii="宋体" w:hAnsi="宋体"/>
          <w:kern w:val="0"/>
          <w:sz w:val="28"/>
          <w:szCs w:val="28"/>
        </w:rPr>
        <w:t>万元，全年财政拨款收入为</w:t>
      </w:r>
      <w:r>
        <w:rPr>
          <w:rFonts w:ascii="宋体" w:hAnsi="宋体"/>
          <w:kern w:val="0"/>
          <w:sz w:val="28"/>
          <w:szCs w:val="28"/>
        </w:rPr>
        <w:t>373.74</w:t>
      </w:r>
      <w:r>
        <w:rPr>
          <w:rFonts w:hint="eastAsia" w:ascii="宋体" w:hAnsi="宋体"/>
          <w:kern w:val="0"/>
          <w:sz w:val="28"/>
          <w:szCs w:val="28"/>
        </w:rPr>
        <w:t>万元。全年财政拨款支出为</w:t>
      </w:r>
      <w:r>
        <w:rPr>
          <w:rFonts w:ascii="宋体" w:hAnsi="宋体"/>
          <w:kern w:val="0"/>
          <w:sz w:val="28"/>
          <w:szCs w:val="28"/>
        </w:rPr>
        <w:t>373.74</w:t>
      </w:r>
      <w:r>
        <w:rPr>
          <w:rFonts w:hint="eastAsia" w:ascii="宋体" w:hAnsi="宋体"/>
          <w:kern w:val="0"/>
          <w:sz w:val="28"/>
          <w:szCs w:val="28"/>
        </w:rPr>
        <w:t>万元。</w:t>
      </w:r>
    </w:p>
    <w:p>
      <w:pPr>
        <w:spacing w:line="440" w:lineRule="exact"/>
        <w:ind w:firstLine="640"/>
        <w:rPr>
          <w:rFonts w:ascii="宋体"/>
          <w:kern w:val="0"/>
          <w:sz w:val="28"/>
          <w:szCs w:val="28"/>
        </w:rPr>
      </w:pPr>
      <w:r>
        <w:rPr>
          <w:rFonts w:ascii="宋体" w:hAnsi="宋体"/>
          <w:kern w:val="0"/>
          <w:sz w:val="28"/>
          <w:szCs w:val="28"/>
        </w:rPr>
        <w:t>2020</w:t>
      </w:r>
      <w:r>
        <w:rPr>
          <w:rFonts w:hint="eastAsia" w:ascii="宋体" w:hAnsi="宋体"/>
          <w:kern w:val="0"/>
          <w:sz w:val="28"/>
          <w:szCs w:val="28"/>
        </w:rPr>
        <w:t>年决算项目支出为</w:t>
      </w:r>
      <w:r>
        <w:rPr>
          <w:rFonts w:ascii="宋体" w:hAnsi="宋体"/>
          <w:kern w:val="0"/>
          <w:sz w:val="28"/>
          <w:szCs w:val="28"/>
        </w:rPr>
        <w:t>373.74</w:t>
      </w:r>
      <w:r>
        <w:rPr>
          <w:rFonts w:hint="eastAsia" w:ascii="宋体" w:hAnsi="宋体"/>
          <w:kern w:val="0"/>
          <w:sz w:val="28"/>
          <w:szCs w:val="28"/>
        </w:rPr>
        <w:t>万元，其中：商品和服务支出</w:t>
      </w:r>
      <w:r>
        <w:rPr>
          <w:rFonts w:ascii="宋体" w:hAnsi="宋体"/>
          <w:kern w:val="0"/>
          <w:sz w:val="28"/>
          <w:szCs w:val="28"/>
        </w:rPr>
        <w:t>365.74</w:t>
      </w:r>
      <w:r>
        <w:rPr>
          <w:rFonts w:hint="eastAsia" w:ascii="宋体" w:hAnsi="宋体"/>
          <w:kern w:val="0"/>
          <w:sz w:val="28"/>
          <w:szCs w:val="28"/>
        </w:rPr>
        <w:t>万元、其他资本性支出</w:t>
      </w:r>
      <w:r>
        <w:rPr>
          <w:rFonts w:ascii="宋体" w:hAnsi="宋体"/>
          <w:kern w:val="0"/>
          <w:sz w:val="28"/>
          <w:szCs w:val="28"/>
        </w:rPr>
        <w:t xml:space="preserve"> 5</w:t>
      </w:r>
      <w:r>
        <w:rPr>
          <w:rFonts w:hint="eastAsia" w:ascii="宋体" w:hAnsi="宋体"/>
          <w:kern w:val="0"/>
          <w:sz w:val="28"/>
          <w:szCs w:val="28"/>
        </w:rPr>
        <w:t>万元。决算数与年初预算指标对比，</w:t>
      </w:r>
      <w:r>
        <w:rPr>
          <w:rFonts w:hint="eastAsia" w:ascii="宋体" w:hAnsi="宋体"/>
          <w:color w:val="000000"/>
          <w:kern w:val="0"/>
          <w:sz w:val="28"/>
          <w:szCs w:val="28"/>
        </w:rPr>
        <w:t>项目支出差异</w:t>
      </w:r>
      <w:r>
        <w:rPr>
          <w:rFonts w:ascii="宋体" w:hAnsi="宋体"/>
          <w:color w:val="000000"/>
          <w:kern w:val="0"/>
          <w:sz w:val="28"/>
          <w:szCs w:val="28"/>
        </w:rPr>
        <w:t xml:space="preserve"> 107.36</w:t>
      </w:r>
      <w:r>
        <w:rPr>
          <w:rFonts w:hint="eastAsia" w:ascii="宋体" w:hAnsi="宋体"/>
          <w:color w:val="000000"/>
          <w:kern w:val="0"/>
          <w:sz w:val="28"/>
          <w:szCs w:val="28"/>
        </w:rPr>
        <w:t>万元，其中商品服务支出差异</w:t>
      </w:r>
      <w:r>
        <w:rPr>
          <w:rFonts w:ascii="宋体" w:hAnsi="宋体"/>
          <w:color w:val="000000"/>
          <w:kern w:val="0"/>
          <w:sz w:val="28"/>
          <w:szCs w:val="28"/>
        </w:rPr>
        <w:t xml:space="preserve"> 107.36</w:t>
      </w:r>
      <w:r>
        <w:rPr>
          <w:rFonts w:hint="eastAsia" w:ascii="宋体" w:hAnsi="宋体"/>
          <w:color w:val="000000"/>
          <w:kern w:val="0"/>
          <w:sz w:val="28"/>
          <w:szCs w:val="28"/>
        </w:rPr>
        <w:t>万元</w:t>
      </w:r>
      <w:r>
        <w:rPr>
          <w:rFonts w:ascii="宋体"/>
          <w:kern w:val="0"/>
          <w:sz w:val="28"/>
          <w:szCs w:val="28"/>
        </w:rPr>
        <w:t>,</w:t>
      </w:r>
      <w:r>
        <w:rPr>
          <w:rFonts w:hint="eastAsia" w:ascii="宋体" w:hAnsi="宋体"/>
          <w:kern w:val="0"/>
          <w:sz w:val="28"/>
          <w:szCs w:val="28"/>
        </w:rPr>
        <w:t>主要原因是工作中厉行节约，降低了支出，同时因</w:t>
      </w:r>
      <w:r>
        <w:rPr>
          <w:rFonts w:ascii="宋体" w:hAnsi="宋体"/>
          <w:kern w:val="0"/>
          <w:sz w:val="28"/>
          <w:szCs w:val="28"/>
        </w:rPr>
        <w:t>2019</w:t>
      </w:r>
      <w:r>
        <w:rPr>
          <w:rFonts w:hint="eastAsia" w:ascii="宋体" w:hAnsi="宋体"/>
          <w:kern w:val="0"/>
          <w:sz w:val="28"/>
          <w:szCs w:val="28"/>
        </w:rPr>
        <w:t>年经济普查的部分印刷费和差旅费、劳务费等延迟到</w:t>
      </w:r>
      <w:r>
        <w:rPr>
          <w:rFonts w:ascii="宋体" w:hAnsi="宋体"/>
          <w:kern w:val="0"/>
          <w:sz w:val="28"/>
          <w:szCs w:val="28"/>
        </w:rPr>
        <w:t>2020</w:t>
      </w:r>
      <w:r>
        <w:rPr>
          <w:rFonts w:hint="eastAsia" w:ascii="宋体" w:hAnsi="宋体"/>
          <w:kern w:val="0"/>
          <w:sz w:val="28"/>
          <w:szCs w:val="28"/>
        </w:rPr>
        <w:t>年</w:t>
      </w:r>
      <w:r>
        <w:rPr>
          <w:rFonts w:ascii="宋体" w:hAnsi="宋体"/>
          <w:kern w:val="0"/>
          <w:sz w:val="28"/>
          <w:szCs w:val="28"/>
        </w:rPr>
        <w:t>1</w:t>
      </w:r>
      <w:r>
        <w:rPr>
          <w:rFonts w:hint="eastAsia" w:ascii="宋体" w:hAnsi="宋体"/>
          <w:kern w:val="0"/>
          <w:sz w:val="28"/>
          <w:szCs w:val="28"/>
        </w:rPr>
        <w:t>月才发放到位。</w:t>
      </w:r>
    </w:p>
    <w:p>
      <w:pPr>
        <w:spacing w:line="440" w:lineRule="exact"/>
        <w:ind w:firstLine="643"/>
        <w:rPr>
          <w:kern w:val="0"/>
          <w:sz w:val="20"/>
          <w:szCs w:val="20"/>
        </w:rPr>
      </w:pPr>
      <w:r>
        <w:rPr>
          <w:rFonts w:hint="eastAsia" w:ascii="宋体" w:hAnsi="宋体"/>
          <w:b/>
          <w:bCs/>
          <w:kern w:val="0"/>
          <w:sz w:val="28"/>
          <w:szCs w:val="28"/>
        </w:rPr>
        <w:t>（四）专项资金管理和组织实施情况</w:t>
      </w:r>
    </w:p>
    <w:p>
      <w:pPr>
        <w:spacing w:line="440" w:lineRule="exact"/>
        <w:ind w:firstLine="640"/>
        <w:rPr>
          <w:kern w:val="0"/>
          <w:sz w:val="20"/>
          <w:szCs w:val="20"/>
        </w:rPr>
      </w:pPr>
      <w:r>
        <w:rPr>
          <w:rFonts w:hint="eastAsia" w:ascii="宋体" w:hAnsi="宋体"/>
          <w:kern w:val="0"/>
          <w:sz w:val="28"/>
          <w:szCs w:val="28"/>
        </w:rPr>
        <w:t>我局建立了专项资金管理办法，严格遵循专款专用、独立核算的管理原则。专项项目的申报严格按照省财政资金管理的要求进行，专项资金财政拨款到位后及时进行了项目开展和资金投入。我局目前对专项资金的管理按照项目支出涉及的经济科目规定，根据财务管理办法的相关制度执行。</w:t>
      </w:r>
    </w:p>
    <w:p>
      <w:pPr>
        <w:spacing w:line="440" w:lineRule="exact"/>
        <w:ind w:firstLine="640"/>
        <w:rPr>
          <w:rFonts w:ascii="黑体" w:hAnsi="黑体" w:eastAsia="黑体" w:cs="黑体"/>
          <w:kern w:val="0"/>
          <w:sz w:val="28"/>
          <w:szCs w:val="28"/>
        </w:rPr>
      </w:pPr>
      <w:r>
        <w:rPr>
          <w:rFonts w:hint="eastAsia" w:ascii="黑体" w:hAnsi="黑体" w:eastAsia="黑体" w:cs="黑体"/>
          <w:kern w:val="0"/>
          <w:sz w:val="28"/>
          <w:szCs w:val="28"/>
        </w:rPr>
        <w:t>五、部门整体支出绩效评价</w:t>
      </w:r>
    </w:p>
    <w:p>
      <w:pPr>
        <w:spacing w:line="440" w:lineRule="exact"/>
        <w:ind w:firstLine="640"/>
        <w:rPr>
          <w:kern w:val="0"/>
          <w:sz w:val="20"/>
          <w:szCs w:val="20"/>
        </w:rPr>
      </w:pPr>
      <w:r>
        <w:rPr>
          <w:rFonts w:ascii="宋体" w:hAnsi="宋体"/>
          <w:kern w:val="0"/>
          <w:sz w:val="28"/>
          <w:szCs w:val="28"/>
        </w:rPr>
        <w:t>2020</w:t>
      </w:r>
      <w:r>
        <w:rPr>
          <w:rFonts w:hint="eastAsia" w:ascii="宋体" w:hAnsi="宋体"/>
          <w:kern w:val="0"/>
          <w:sz w:val="28"/>
          <w:szCs w:val="28"/>
        </w:rPr>
        <w:t>年，根据局年初工作规划和重点性工作，围绕市委、市政府全面建成小康社会的发展蓝图，积极履职，强化管理，较好的完成了年度工作目标。通过加强预算收支管理，不断建立健全内部管理制度，梳理内部管理流程，部门整体支出管理情况得到提升。根据</w:t>
      </w:r>
      <w:r>
        <w:rPr>
          <w:rFonts w:ascii="宋体" w:hAnsi="宋体"/>
          <w:kern w:val="0"/>
          <w:sz w:val="28"/>
          <w:szCs w:val="28"/>
        </w:rPr>
        <w:t>2020</w:t>
      </w:r>
      <w:r>
        <w:rPr>
          <w:rFonts w:hint="eastAsia" w:ascii="宋体" w:hAnsi="宋体"/>
          <w:kern w:val="0"/>
          <w:sz w:val="28"/>
          <w:szCs w:val="28"/>
        </w:rPr>
        <w:t>年度部门整体支出状况的概述和分析，部门整体支出绩效情况如下：</w:t>
      </w:r>
    </w:p>
    <w:p>
      <w:pPr>
        <w:spacing w:line="440" w:lineRule="exact"/>
        <w:ind w:firstLine="643"/>
        <w:rPr>
          <w:kern w:val="0"/>
          <w:sz w:val="20"/>
          <w:szCs w:val="20"/>
        </w:rPr>
      </w:pPr>
      <w:r>
        <w:rPr>
          <w:rFonts w:hint="eastAsia" w:ascii="宋体" w:hAnsi="宋体"/>
          <w:b/>
          <w:bCs/>
          <w:kern w:val="0"/>
          <w:sz w:val="28"/>
          <w:szCs w:val="28"/>
        </w:rPr>
        <w:t>（一）经济效益评价</w:t>
      </w:r>
    </w:p>
    <w:p>
      <w:pPr>
        <w:spacing w:line="440" w:lineRule="exact"/>
        <w:ind w:firstLine="643"/>
        <w:rPr>
          <w:kern w:val="0"/>
          <w:sz w:val="20"/>
          <w:szCs w:val="20"/>
        </w:rPr>
      </w:pPr>
      <w:r>
        <w:rPr>
          <w:rFonts w:ascii="宋体" w:hAnsi="宋体"/>
          <w:b/>
          <w:bCs/>
          <w:kern w:val="0"/>
          <w:sz w:val="28"/>
          <w:szCs w:val="28"/>
        </w:rPr>
        <w:t xml:space="preserve">1. </w:t>
      </w:r>
      <w:r>
        <w:rPr>
          <w:rFonts w:hint="eastAsia" w:ascii="宋体" w:hAnsi="宋体"/>
          <w:b/>
          <w:bCs/>
          <w:kern w:val="0"/>
          <w:sz w:val="28"/>
          <w:szCs w:val="28"/>
        </w:rPr>
        <w:t>本年预算配置控制较好。</w:t>
      </w:r>
      <w:r>
        <w:rPr>
          <w:rFonts w:hint="eastAsia" w:ascii="宋体" w:hAnsi="宋体"/>
          <w:kern w:val="0"/>
          <w:sz w:val="28"/>
          <w:szCs w:val="28"/>
        </w:rPr>
        <w:t>财政供养人员控制在预算编制以内，编制内在职人员控制率小于</w:t>
      </w:r>
      <w:r>
        <w:rPr>
          <w:rFonts w:ascii="宋体" w:hAnsi="宋体"/>
          <w:kern w:val="0"/>
          <w:sz w:val="28"/>
          <w:szCs w:val="28"/>
        </w:rPr>
        <w:t>100%</w:t>
      </w:r>
      <w:r>
        <w:rPr>
          <w:rFonts w:hint="eastAsia" w:ascii="宋体" w:hAnsi="宋体"/>
          <w:kern w:val="0"/>
          <w:sz w:val="28"/>
          <w:szCs w:val="28"/>
        </w:rPr>
        <w:t>；“三公”经费预算总额较上年减少</w:t>
      </w:r>
      <w:r>
        <w:rPr>
          <w:rFonts w:ascii="宋体" w:hAnsi="宋体"/>
          <w:kern w:val="0"/>
          <w:sz w:val="28"/>
          <w:szCs w:val="28"/>
        </w:rPr>
        <w:t>1.93%</w:t>
      </w:r>
      <w:r>
        <w:rPr>
          <w:rFonts w:hint="eastAsia" w:ascii="宋体" w:hAnsi="宋体"/>
          <w:kern w:val="0"/>
          <w:sz w:val="28"/>
          <w:szCs w:val="28"/>
        </w:rPr>
        <w:t>，“三公”经费变动率小于</w:t>
      </w:r>
      <w:r>
        <w:rPr>
          <w:rFonts w:ascii="宋体"/>
          <w:kern w:val="0"/>
          <w:sz w:val="28"/>
          <w:szCs w:val="28"/>
        </w:rPr>
        <w:t>0</w:t>
      </w:r>
      <w:r>
        <w:rPr>
          <w:rFonts w:hint="eastAsia" w:ascii="宋体" w:hAnsi="宋体"/>
          <w:kern w:val="0"/>
          <w:sz w:val="28"/>
          <w:szCs w:val="28"/>
        </w:rPr>
        <w:t>。</w:t>
      </w:r>
    </w:p>
    <w:p>
      <w:pPr>
        <w:spacing w:line="440" w:lineRule="exact"/>
        <w:ind w:firstLine="643"/>
        <w:rPr>
          <w:kern w:val="0"/>
          <w:sz w:val="20"/>
          <w:szCs w:val="20"/>
        </w:rPr>
      </w:pPr>
      <w:r>
        <w:rPr>
          <w:rFonts w:ascii="宋体" w:hAnsi="宋体"/>
          <w:b/>
          <w:bCs/>
          <w:kern w:val="0"/>
          <w:sz w:val="28"/>
          <w:szCs w:val="28"/>
        </w:rPr>
        <w:t xml:space="preserve">2. </w:t>
      </w:r>
      <w:r>
        <w:rPr>
          <w:rFonts w:hint="eastAsia" w:ascii="宋体" w:hAnsi="宋体"/>
          <w:b/>
          <w:bCs/>
          <w:kern w:val="0"/>
          <w:sz w:val="28"/>
          <w:szCs w:val="28"/>
        </w:rPr>
        <w:t>预算执行方面。</w:t>
      </w:r>
      <w:r>
        <w:rPr>
          <w:rFonts w:hint="eastAsia" w:ascii="宋体" w:hAnsi="宋体"/>
          <w:kern w:val="0"/>
          <w:sz w:val="28"/>
          <w:szCs w:val="28"/>
        </w:rPr>
        <w:t>支出总额控制在预算总额以内，除专项报告预算的追加和政策性工资绩效预算的追加外，本年部门预算未进行预算相关事项的调整；不存在截留或滞留专项资金情况；“三公”经费总体控制较好，未超本年预算和上年决算支出。</w:t>
      </w:r>
    </w:p>
    <w:p>
      <w:pPr>
        <w:spacing w:line="440" w:lineRule="exact"/>
        <w:ind w:firstLine="640"/>
        <w:rPr>
          <w:kern w:val="0"/>
          <w:sz w:val="20"/>
          <w:szCs w:val="20"/>
        </w:rPr>
      </w:pPr>
      <w:r>
        <w:rPr>
          <w:rFonts w:hint="eastAsia" w:ascii="宋体" w:hAnsi="宋体"/>
          <w:kern w:val="0"/>
          <w:sz w:val="28"/>
          <w:szCs w:val="28"/>
        </w:rPr>
        <w:t>预算管理方面，制度执行总体较为有效，仍需进一步强化；资金使用管理需进一步加强。</w:t>
      </w:r>
    </w:p>
    <w:p>
      <w:pPr>
        <w:spacing w:line="440" w:lineRule="exact"/>
        <w:ind w:firstLine="640"/>
        <w:rPr>
          <w:kern w:val="0"/>
          <w:sz w:val="20"/>
          <w:szCs w:val="20"/>
        </w:rPr>
      </w:pPr>
      <w:r>
        <w:rPr>
          <w:rFonts w:hint="eastAsia" w:ascii="宋体" w:hAnsi="宋体"/>
          <w:kern w:val="0"/>
          <w:sz w:val="28"/>
          <w:szCs w:val="28"/>
        </w:rPr>
        <w:t>资产管理方面，建立了资产管理制度，定期进行了盘点和资产清理，总体执行较好。</w:t>
      </w:r>
    </w:p>
    <w:p>
      <w:pPr>
        <w:spacing w:line="440" w:lineRule="exact"/>
        <w:ind w:firstLine="640"/>
        <w:rPr>
          <w:kern w:val="0"/>
          <w:sz w:val="20"/>
          <w:szCs w:val="20"/>
        </w:rPr>
      </w:pPr>
      <w:r>
        <w:rPr>
          <w:rFonts w:hint="eastAsia" w:ascii="宋体" w:hAnsi="宋体"/>
          <w:kern w:val="0"/>
          <w:sz w:val="28"/>
          <w:szCs w:val="28"/>
        </w:rPr>
        <w:t>根据部门整体支出绩效评价指标体系，本局</w:t>
      </w:r>
      <w:r>
        <w:rPr>
          <w:rFonts w:ascii="宋体" w:hAnsi="宋体"/>
          <w:kern w:val="0"/>
          <w:sz w:val="28"/>
          <w:szCs w:val="28"/>
        </w:rPr>
        <w:t>2020</w:t>
      </w:r>
      <w:r>
        <w:rPr>
          <w:rFonts w:hint="eastAsia" w:ascii="宋体" w:hAnsi="宋体"/>
          <w:kern w:val="0"/>
          <w:sz w:val="28"/>
          <w:szCs w:val="28"/>
        </w:rPr>
        <w:t>年度评价得分为</w:t>
      </w:r>
      <w:r>
        <w:rPr>
          <w:rFonts w:ascii="宋体" w:hAnsi="宋体"/>
          <w:kern w:val="0"/>
          <w:sz w:val="28"/>
          <w:szCs w:val="28"/>
        </w:rPr>
        <w:t>97</w:t>
      </w:r>
      <w:r>
        <w:rPr>
          <w:rFonts w:hint="eastAsia" w:ascii="宋体" w:hAnsi="宋体"/>
          <w:kern w:val="0"/>
          <w:sz w:val="28"/>
          <w:szCs w:val="28"/>
        </w:rPr>
        <w:t>分。</w:t>
      </w:r>
    </w:p>
    <w:p>
      <w:pPr>
        <w:spacing w:line="440" w:lineRule="exact"/>
        <w:ind w:firstLine="643"/>
        <w:rPr>
          <w:kern w:val="0"/>
          <w:sz w:val="20"/>
          <w:szCs w:val="20"/>
        </w:rPr>
      </w:pPr>
      <w:r>
        <w:rPr>
          <w:rFonts w:hint="eastAsia" w:ascii="宋体" w:hAnsi="宋体"/>
          <w:b/>
          <w:bCs/>
          <w:kern w:val="0"/>
          <w:sz w:val="28"/>
          <w:szCs w:val="28"/>
        </w:rPr>
        <w:t>（二）效率性评价和有效性评价</w:t>
      </w:r>
    </w:p>
    <w:p>
      <w:pPr>
        <w:widowControl/>
        <w:spacing w:line="580" w:lineRule="atLeast"/>
        <w:ind w:firstLine="640"/>
        <w:rPr>
          <w:rFonts w:ascii="宋体"/>
          <w:kern w:val="0"/>
          <w:sz w:val="28"/>
          <w:szCs w:val="28"/>
        </w:rPr>
      </w:pPr>
      <w:r>
        <w:rPr>
          <w:rFonts w:hint="eastAsia" w:ascii="宋体" w:hAnsi="宋体"/>
          <w:kern w:val="0"/>
          <w:sz w:val="28"/>
          <w:szCs w:val="28"/>
        </w:rPr>
        <w:t>我局预算安排的基本支出保障了我局正常的工作运行，体现了市委市政府对统计工作的关心和重视，预算安排的专项资产是非常必要的，我局在执行上是严格遵守各项财经纪律的，把统计工作的质量放在第一位</w:t>
      </w:r>
      <w:r>
        <w:rPr>
          <w:rFonts w:ascii="宋体"/>
          <w:kern w:val="0"/>
          <w:sz w:val="28"/>
          <w:szCs w:val="28"/>
        </w:rPr>
        <w:t>,</w:t>
      </w:r>
      <w:r>
        <w:rPr>
          <w:rFonts w:hint="eastAsia" w:ascii="宋体" w:hAnsi="宋体"/>
          <w:kern w:val="0"/>
          <w:sz w:val="28"/>
          <w:szCs w:val="28"/>
        </w:rPr>
        <w:t>在今后工作中我局将进一步提高行政经费支出透明度和资金使用效益，认真学习党的路线、方针、政策及法律法规知识，按照“三严三实”的要求，自觉在思想、政治、行动上与党中央保持高度一致，继续保持优良作风，独善其身，更好的为人民服务。</w:t>
      </w:r>
    </w:p>
    <w:p>
      <w:pPr>
        <w:spacing w:line="440" w:lineRule="exact"/>
        <w:ind w:firstLine="140" w:firstLineChars="50"/>
        <w:rPr>
          <w:rFonts w:ascii="宋体"/>
          <w:kern w:val="0"/>
          <w:sz w:val="28"/>
          <w:szCs w:val="28"/>
        </w:rPr>
      </w:pPr>
      <w:r>
        <w:rPr>
          <w:rFonts w:ascii="宋体" w:hAnsi="宋体"/>
          <w:kern w:val="0"/>
          <w:sz w:val="28"/>
          <w:szCs w:val="28"/>
        </w:rPr>
        <w:t xml:space="preserve">  </w:t>
      </w:r>
      <w:r>
        <w:rPr>
          <w:rFonts w:hint="eastAsia" w:ascii="宋体" w:hAnsi="宋体"/>
          <w:b/>
          <w:bCs/>
          <w:kern w:val="0"/>
          <w:sz w:val="28"/>
          <w:szCs w:val="28"/>
        </w:rPr>
        <w:t>（三）社会公众满意度评价</w:t>
      </w:r>
    </w:p>
    <w:p>
      <w:pPr>
        <w:spacing w:line="440" w:lineRule="exact"/>
        <w:ind w:firstLine="640"/>
        <w:rPr>
          <w:rFonts w:ascii="宋体"/>
          <w:kern w:val="0"/>
          <w:sz w:val="28"/>
          <w:szCs w:val="28"/>
        </w:rPr>
      </w:pPr>
      <w:r>
        <w:rPr>
          <w:rFonts w:ascii="宋体" w:hAnsi="宋体"/>
          <w:kern w:val="0"/>
          <w:sz w:val="28"/>
          <w:szCs w:val="28"/>
        </w:rPr>
        <w:t>2020</w:t>
      </w:r>
      <w:r>
        <w:rPr>
          <w:rFonts w:hint="eastAsia" w:ascii="宋体" w:hAnsi="宋体"/>
          <w:kern w:val="0"/>
          <w:sz w:val="28"/>
          <w:szCs w:val="28"/>
        </w:rPr>
        <w:t>年，全局干部职工在局党组的正确领导下，认真贯彻落实市委市政府决策部署，勤奋工作，创先争优，荣获全市平安建设工作先进单位、全市廉洁创建先进单位、全市美丽乡村建设挂联帮建先进单位等。</w:t>
      </w:r>
      <w:r>
        <w:rPr>
          <w:rFonts w:ascii="宋体" w:hAnsi="宋体"/>
          <w:kern w:val="0"/>
          <w:sz w:val="28"/>
          <w:szCs w:val="28"/>
        </w:rPr>
        <w:t>2020</w:t>
      </w:r>
      <w:r>
        <w:rPr>
          <w:rFonts w:hint="eastAsia" w:ascii="宋体" w:hAnsi="宋体"/>
          <w:kern w:val="0"/>
          <w:sz w:val="28"/>
          <w:szCs w:val="28"/>
        </w:rPr>
        <w:t>年武冈市统计局在民主测评中，满意度为</w:t>
      </w:r>
      <w:r>
        <w:rPr>
          <w:rFonts w:ascii="宋体" w:hAnsi="宋体"/>
          <w:kern w:val="0"/>
          <w:sz w:val="28"/>
          <w:szCs w:val="28"/>
        </w:rPr>
        <w:t>100%</w:t>
      </w:r>
      <w:r>
        <w:rPr>
          <w:rFonts w:hint="eastAsia" w:ascii="宋体" w:hAnsi="宋体"/>
          <w:kern w:val="0"/>
          <w:sz w:val="28"/>
          <w:szCs w:val="28"/>
        </w:rPr>
        <w:t>。</w:t>
      </w:r>
    </w:p>
    <w:p>
      <w:pPr>
        <w:spacing w:line="440" w:lineRule="exact"/>
        <w:ind w:firstLine="640"/>
        <w:rPr>
          <w:kern w:val="0"/>
          <w:sz w:val="20"/>
          <w:szCs w:val="20"/>
        </w:rPr>
      </w:pPr>
      <w:r>
        <w:rPr>
          <w:rFonts w:hint="eastAsia" w:ascii="宋体" w:hAnsi="宋体"/>
          <w:kern w:val="0"/>
          <w:sz w:val="28"/>
          <w:szCs w:val="28"/>
        </w:rPr>
        <w:t>六、存在的主要问题</w:t>
      </w:r>
    </w:p>
    <w:p>
      <w:pPr>
        <w:spacing w:line="440" w:lineRule="exact"/>
        <w:ind w:firstLine="640"/>
        <w:rPr>
          <w:rFonts w:ascii="宋体"/>
          <w:kern w:val="0"/>
          <w:sz w:val="28"/>
          <w:szCs w:val="28"/>
        </w:rPr>
      </w:pPr>
      <w:r>
        <w:rPr>
          <w:rFonts w:hint="eastAsia" w:ascii="宋体" w:hAnsi="宋体"/>
          <w:kern w:val="0"/>
          <w:sz w:val="28"/>
          <w:szCs w:val="28"/>
        </w:rPr>
        <w:t>（一）预算执行。由于省、邵统计部门临时性调查项目多，劳务费、物资设备费、差旅费支出较大，调查所需经费无法在年初列入预算，预算控制率波动较大。</w:t>
      </w:r>
    </w:p>
    <w:p>
      <w:pPr>
        <w:spacing w:line="440" w:lineRule="exact"/>
        <w:ind w:firstLine="640"/>
        <w:rPr>
          <w:rFonts w:ascii="宋体"/>
          <w:kern w:val="0"/>
          <w:sz w:val="28"/>
          <w:szCs w:val="28"/>
        </w:rPr>
      </w:pPr>
      <w:r>
        <w:rPr>
          <w:rFonts w:hint="eastAsia" w:ascii="宋体" w:hAnsi="宋体"/>
          <w:kern w:val="0"/>
          <w:sz w:val="28"/>
          <w:szCs w:val="28"/>
        </w:rPr>
        <w:t>（二）资产核算。</w:t>
      </w:r>
      <w:r>
        <w:rPr>
          <w:rFonts w:ascii="宋体" w:hAnsi="宋体"/>
          <w:kern w:val="0"/>
          <w:sz w:val="28"/>
          <w:szCs w:val="28"/>
        </w:rPr>
        <w:t xml:space="preserve"> </w:t>
      </w:r>
      <w:r>
        <w:rPr>
          <w:rFonts w:hint="eastAsia" w:ascii="宋体" w:hAnsi="宋体"/>
          <w:kern w:val="0"/>
          <w:sz w:val="28"/>
          <w:szCs w:val="28"/>
        </w:rPr>
        <w:t>资产核算工作虽按时完成，但存在部分固定资产设备超过使用年限未能及时进行报废处理。</w:t>
      </w:r>
    </w:p>
    <w:p>
      <w:pPr>
        <w:spacing w:line="440" w:lineRule="exact"/>
        <w:ind w:firstLine="640"/>
        <w:rPr>
          <w:rFonts w:ascii="宋体" w:cs="宋体"/>
          <w:kern w:val="0"/>
          <w:sz w:val="28"/>
          <w:szCs w:val="28"/>
        </w:rPr>
      </w:pPr>
      <w:r>
        <w:rPr>
          <w:rFonts w:hint="eastAsia" w:ascii="宋体" w:hAnsi="宋体" w:cs="宋体"/>
          <w:kern w:val="0"/>
          <w:sz w:val="28"/>
          <w:szCs w:val="28"/>
        </w:rPr>
        <w:t>（三）内部管理。电费支出等励行节约方面有提升的空间。</w:t>
      </w:r>
      <w:r>
        <w:rPr>
          <w:rFonts w:ascii="宋体" w:hAnsi="宋体" w:cs="宋体"/>
          <w:kern w:val="0"/>
          <w:sz w:val="28"/>
          <w:szCs w:val="28"/>
        </w:rPr>
        <w:t xml:space="preserve"> </w:t>
      </w:r>
    </w:p>
    <w:p>
      <w:pPr>
        <w:spacing w:line="440" w:lineRule="exact"/>
        <w:ind w:firstLine="640"/>
        <w:rPr>
          <w:rFonts w:ascii="宋体" w:cs="宋体"/>
          <w:kern w:val="0"/>
          <w:sz w:val="28"/>
          <w:szCs w:val="28"/>
        </w:rPr>
      </w:pPr>
      <w:r>
        <w:rPr>
          <w:rFonts w:hint="eastAsia" w:ascii="宋体" w:hAnsi="宋体" w:cs="宋体"/>
          <w:kern w:val="0"/>
          <w:sz w:val="28"/>
          <w:szCs w:val="28"/>
        </w:rPr>
        <w:t>（四）经费保障。因年底财务决算资金清零，次年预算批复时间较迟影响，年初单位发生的经济业务事项存在未能及时进行资金支付；受业务性质影响，平时支出较慢，年底支出比重较大，月度支出不平衡。</w:t>
      </w:r>
    </w:p>
    <w:p>
      <w:pPr>
        <w:spacing w:line="440" w:lineRule="exact"/>
        <w:ind w:firstLine="640"/>
        <w:rPr>
          <w:rFonts w:ascii="黑体" w:hAnsi="黑体" w:eastAsia="黑体" w:cs="黑体"/>
          <w:kern w:val="0"/>
          <w:sz w:val="28"/>
          <w:szCs w:val="28"/>
        </w:rPr>
      </w:pPr>
      <w:r>
        <w:rPr>
          <w:rFonts w:hint="eastAsia" w:ascii="黑体" w:hAnsi="黑体" w:eastAsia="黑体" w:cs="黑体"/>
          <w:kern w:val="0"/>
          <w:sz w:val="28"/>
          <w:szCs w:val="28"/>
        </w:rPr>
        <w:t>五、有关建议</w:t>
      </w:r>
    </w:p>
    <w:p>
      <w:pPr>
        <w:spacing w:line="440" w:lineRule="exact"/>
        <w:ind w:firstLine="640"/>
        <w:rPr>
          <w:rFonts w:ascii="宋体" w:cs="宋体"/>
          <w:kern w:val="0"/>
          <w:sz w:val="20"/>
          <w:szCs w:val="20"/>
        </w:rPr>
      </w:pPr>
      <w:r>
        <w:rPr>
          <w:rFonts w:hint="eastAsia" w:ascii="宋体" w:hAnsi="宋体" w:cs="宋体"/>
          <w:kern w:val="0"/>
          <w:sz w:val="28"/>
          <w:szCs w:val="28"/>
        </w:rPr>
        <w:t>针对上述存在的问题及我局整体支出管理工作的需要，拟实施的改进措施如下：</w:t>
      </w:r>
    </w:p>
    <w:p>
      <w:pPr>
        <w:spacing w:line="440" w:lineRule="exact"/>
        <w:ind w:firstLine="640"/>
        <w:rPr>
          <w:rFonts w:ascii="宋体" w:cs="宋体"/>
          <w:kern w:val="0"/>
          <w:sz w:val="20"/>
          <w:szCs w:val="20"/>
        </w:rPr>
      </w:pPr>
      <w:r>
        <w:rPr>
          <w:rFonts w:ascii="宋体" w:hAnsi="宋体" w:cs="宋体"/>
          <w:kern w:val="0"/>
          <w:sz w:val="28"/>
          <w:szCs w:val="28"/>
        </w:rPr>
        <w:t xml:space="preserve">1. </w:t>
      </w:r>
      <w:r>
        <w:rPr>
          <w:rFonts w:hint="eastAsia" w:ascii="宋体" w:hAnsi="宋体" w:cs="宋体"/>
          <w:kern w:val="0"/>
          <w:sz w:val="28"/>
          <w:szCs w:val="28"/>
        </w:rPr>
        <w:t>细化预算编制工作，认真做好预算的编制。进一步加强局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推行内部各股室预算“二上二下”方式，提高预算的合理性和准确性。</w:t>
      </w:r>
    </w:p>
    <w:p>
      <w:pPr>
        <w:spacing w:line="440" w:lineRule="exact"/>
        <w:ind w:firstLine="640"/>
        <w:rPr>
          <w:kern w:val="0"/>
          <w:sz w:val="20"/>
          <w:szCs w:val="20"/>
        </w:rPr>
      </w:pPr>
      <w:r>
        <w:rPr>
          <w:rFonts w:ascii="宋体" w:hAnsi="宋体" w:cs="宋体"/>
          <w:kern w:val="0"/>
          <w:sz w:val="28"/>
          <w:szCs w:val="28"/>
        </w:rPr>
        <w:t xml:space="preserve">2. </w:t>
      </w:r>
      <w:r>
        <w:rPr>
          <w:rFonts w:hint="eastAsia" w:ascii="宋体" w:hAnsi="宋体" w:cs="宋体"/>
          <w:kern w:val="0"/>
          <w:sz w:val="28"/>
          <w:szCs w:val="28"/>
        </w:rPr>
        <w:t>加强财务管理，严格财务审核。在费用报账支付时，按照预算规定的费用项目和用途进行资金使用审核、列报支付、财务核算，杜绝</w:t>
      </w:r>
      <w:r>
        <w:rPr>
          <w:rFonts w:hint="eastAsia" w:ascii="宋体" w:hAnsi="宋体"/>
          <w:kern w:val="0"/>
          <w:sz w:val="28"/>
          <w:szCs w:val="28"/>
        </w:rPr>
        <w:t>超支现象的发生。</w:t>
      </w:r>
    </w:p>
    <w:p>
      <w:pPr>
        <w:spacing w:line="440" w:lineRule="exact"/>
        <w:ind w:firstLine="640"/>
        <w:rPr>
          <w:kern w:val="0"/>
          <w:sz w:val="20"/>
          <w:szCs w:val="20"/>
        </w:rPr>
      </w:pPr>
      <w:r>
        <w:rPr>
          <w:rFonts w:ascii="宋体" w:hAnsi="宋体"/>
          <w:kern w:val="0"/>
          <w:sz w:val="28"/>
          <w:szCs w:val="28"/>
        </w:rPr>
        <w:t>3</w:t>
      </w:r>
      <w:r>
        <w:rPr>
          <w:rFonts w:hint="eastAsia" w:ascii="宋体" w:hAnsi="宋体"/>
          <w:kern w:val="0"/>
          <w:sz w:val="28"/>
          <w:szCs w:val="28"/>
        </w:rPr>
        <w:t>．持续抓好“三公”经费控制管理。严格控制“三公”经费的规模和比例，把关“三公”经费支出的审核、审批，杜绝挪用和挤占其他预算资金行为；进一步细化“三公”经费的管理，合理压缩“三公”经费支出。</w:t>
      </w:r>
    </w:p>
    <w:p>
      <w:pPr>
        <w:spacing w:line="440" w:lineRule="exact"/>
        <w:ind w:firstLine="640"/>
        <w:rPr>
          <w:kern w:val="0"/>
          <w:sz w:val="20"/>
          <w:szCs w:val="20"/>
        </w:rPr>
      </w:pPr>
      <w:r>
        <w:rPr>
          <w:rFonts w:ascii="宋体" w:hAnsi="宋体"/>
          <w:kern w:val="0"/>
          <w:sz w:val="28"/>
          <w:szCs w:val="28"/>
        </w:rPr>
        <w:t>4</w:t>
      </w:r>
      <w:r>
        <w:rPr>
          <w:rFonts w:hint="eastAsia" w:ascii="宋体" w:hAnsi="宋体"/>
          <w:kern w:val="0"/>
          <w:sz w:val="28"/>
          <w:szCs w:val="28"/>
        </w:rPr>
        <w:t>．加强项目开展进度的跟踪，开展项目绩效评价，确保项目绩效目标的完成。</w:t>
      </w:r>
    </w:p>
    <w:p>
      <w:pPr>
        <w:spacing w:line="440" w:lineRule="exact"/>
        <w:ind w:firstLine="640"/>
        <w:rPr>
          <w:rFonts w:ascii="宋体"/>
          <w:kern w:val="0"/>
          <w:sz w:val="28"/>
          <w:szCs w:val="28"/>
        </w:rPr>
      </w:pPr>
      <w:r>
        <w:rPr>
          <w:rFonts w:ascii="宋体"/>
          <w:kern w:val="0"/>
          <w:sz w:val="28"/>
          <w:szCs w:val="28"/>
        </w:rPr>
        <w:t>       </w:t>
      </w:r>
    </w:p>
    <w:p>
      <w:pPr>
        <w:spacing w:line="440" w:lineRule="exact"/>
        <w:ind w:firstLine="640"/>
        <w:rPr>
          <w:kern w:val="0"/>
          <w:sz w:val="20"/>
          <w:szCs w:val="20"/>
        </w:rPr>
      </w:pPr>
      <w:r>
        <w:rPr>
          <w:rFonts w:ascii="宋体"/>
          <w:kern w:val="0"/>
          <w:sz w:val="28"/>
          <w:szCs w:val="28"/>
        </w:rPr>
        <w:t>             </w:t>
      </w:r>
      <w:r>
        <w:rPr>
          <w:rFonts w:hint="eastAsia" w:asci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武冈市统计局</w:t>
      </w:r>
    </w:p>
    <w:p>
      <w:pPr>
        <w:spacing w:line="440" w:lineRule="exact"/>
        <w:ind w:firstLine="643"/>
        <w:rPr>
          <w:rFonts w:ascii="宋体"/>
          <w:kern w:val="0"/>
          <w:sz w:val="28"/>
          <w:szCs w:val="28"/>
        </w:rPr>
      </w:pPr>
      <w:r>
        <w:rPr>
          <w:rFonts w:ascii="宋体"/>
          <w:kern w:val="0"/>
          <w:sz w:val="28"/>
          <w:szCs w:val="28"/>
        </w:rPr>
        <w:t>                   </w:t>
      </w:r>
      <w:r>
        <w:rPr>
          <w:rFonts w:hint="eastAsia" w:ascii="宋体"/>
          <w:kern w:val="0"/>
          <w:sz w:val="28"/>
          <w:szCs w:val="28"/>
        </w:rPr>
        <w:t xml:space="preserve">                         </w:t>
      </w:r>
      <w:r>
        <w:rPr>
          <w:rFonts w:ascii="宋体" w:hAnsi="宋体"/>
          <w:kern w:val="0"/>
          <w:sz w:val="28"/>
          <w:szCs w:val="28"/>
        </w:rPr>
        <w:t xml:space="preserve">  2021</w:t>
      </w:r>
      <w:r>
        <w:rPr>
          <w:rFonts w:hint="eastAsia" w:ascii="宋体" w:hAnsi="宋体"/>
          <w:kern w:val="0"/>
          <w:sz w:val="28"/>
          <w:szCs w:val="28"/>
        </w:rPr>
        <w:t>年</w:t>
      </w:r>
      <w:r>
        <w:rPr>
          <w:rFonts w:ascii="宋体" w:hAnsi="宋体"/>
          <w:kern w:val="0"/>
          <w:sz w:val="28"/>
          <w:szCs w:val="28"/>
        </w:rPr>
        <w:t>6</w:t>
      </w:r>
      <w:r>
        <w:rPr>
          <w:rFonts w:hint="eastAsia" w:ascii="宋体" w:hAnsi="宋体"/>
          <w:kern w:val="0"/>
          <w:sz w:val="28"/>
          <w:szCs w:val="28"/>
        </w:rPr>
        <w:t>月</w:t>
      </w:r>
      <w:r>
        <w:rPr>
          <w:rFonts w:ascii="宋体" w:hAnsi="宋体"/>
          <w:kern w:val="0"/>
          <w:sz w:val="28"/>
          <w:szCs w:val="28"/>
        </w:rPr>
        <w:t>18</w:t>
      </w:r>
      <w:r>
        <w:rPr>
          <w:rFonts w:hint="eastAsia" w:ascii="宋体" w:hAnsi="宋体"/>
          <w:kern w:val="0"/>
          <w:sz w:val="28"/>
          <w:szCs w:val="28"/>
        </w:rPr>
        <w:t>日</w:t>
      </w:r>
    </w:p>
    <w:p/>
    <w:sectPr>
      <w:headerReference r:id="rId5" w:type="first"/>
      <w:footerReference r:id="rId8" w:type="first"/>
      <w:headerReference r:id="rId3" w:type="default"/>
      <w:footerReference r:id="rId6" w:type="default"/>
      <w:headerReference r:id="rId4" w:type="even"/>
      <w:footerReference r:id="rId7" w:type="even"/>
      <w:pgSz w:w="11906" w:h="16838"/>
      <w:pgMar w:top="1723" w:right="1486" w:bottom="172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E83D3"/>
    <w:multiLevelType w:val="singleLevel"/>
    <w:tmpl w:val="344E83D3"/>
    <w:lvl w:ilvl="0" w:tentative="0">
      <w:start w:val="1"/>
      <w:numFmt w:val="decimal"/>
      <w:suff w:val="nothing"/>
      <w:lvlText w:val="（%1）"/>
      <w:lvlJc w:val="left"/>
      <w:rPr>
        <w:rFonts w:cs="Times New Roman"/>
      </w:rPr>
    </w:lvl>
  </w:abstractNum>
  <w:abstractNum w:abstractNumId="1">
    <w:nsid w:val="3BB53CA3"/>
    <w:multiLevelType w:val="singleLevel"/>
    <w:tmpl w:val="3BB53CA3"/>
    <w:lvl w:ilvl="0" w:tentative="0">
      <w:start w:val="3"/>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A0NDg5YmFlYWVlOWJiMjA5ZTJmZjEwNWQ4MjNmMTUifQ=="/>
  </w:docVars>
  <w:rsids>
    <w:rsidRoot w:val="0AAA0F2D"/>
    <w:rsid w:val="00003C57"/>
    <w:rsid w:val="0005749D"/>
    <w:rsid w:val="00085A26"/>
    <w:rsid w:val="001862C5"/>
    <w:rsid w:val="00187DEC"/>
    <w:rsid w:val="001D1A6D"/>
    <w:rsid w:val="001D234D"/>
    <w:rsid w:val="001F7D31"/>
    <w:rsid w:val="002A6BBF"/>
    <w:rsid w:val="0039248D"/>
    <w:rsid w:val="00413E86"/>
    <w:rsid w:val="005E5384"/>
    <w:rsid w:val="00626D6E"/>
    <w:rsid w:val="007C130B"/>
    <w:rsid w:val="007F4353"/>
    <w:rsid w:val="00853277"/>
    <w:rsid w:val="00927C44"/>
    <w:rsid w:val="00984BB3"/>
    <w:rsid w:val="00A26E51"/>
    <w:rsid w:val="00AD68F9"/>
    <w:rsid w:val="00AF7B9D"/>
    <w:rsid w:val="00B04432"/>
    <w:rsid w:val="00B9470C"/>
    <w:rsid w:val="00D365FC"/>
    <w:rsid w:val="00DB3355"/>
    <w:rsid w:val="00E10EB2"/>
    <w:rsid w:val="00F51259"/>
    <w:rsid w:val="00F62C7F"/>
    <w:rsid w:val="00F74B33"/>
    <w:rsid w:val="00F9269B"/>
    <w:rsid w:val="013E1409"/>
    <w:rsid w:val="0AAA0F2D"/>
    <w:rsid w:val="18EA1326"/>
    <w:rsid w:val="212E0A5D"/>
    <w:rsid w:val="3C3A60B4"/>
    <w:rsid w:val="5162085E"/>
    <w:rsid w:val="740B5814"/>
    <w:rsid w:val="7E2613F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semiHidden/>
    <w:qFormat/>
    <w:uiPriority w:val="99"/>
    <w:rPr>
      <w:rFonts w:ascii="Times New Roman" w:hAnsi="Times New Roman"/>
      <w:sz w:val="18"/>
      <w:szCs w:val="18"/>
    </w:rPr>
  </w:style>
  <w:style w:type="character" w:customStyle="1" w:styleId="8">
    <w:name w:val="页眉 Char"/>
    <w:basedOn w:val="6"/>
    <w:link w:val="3"/>
    <w:semiHidden/>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6525</Words>
  <Characters>7198</Characters>
  <Lines>13</Lines>
  <Paragraphs>16</Paragraphs>
  <TotalTime>103</TotalTime>
  <ScaleCrop>false</ScaleCrop>
  <LinksUpToDate>false</LinksUpToDate>
  <CharactersWithSpaces>7367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2021-09-23T03:25:00Z</dcterms:created>
  <dc:creator>Administrator</dc:creator>
  <cp:lastModifiedBy>刘花[精英会计之友] 13487958668</cp:lastModifiedBy>
  <cp:lastPrinted>2021-09-24T03:51:00Z</cp:lastPrinted>
  <dcterms:modified xsi:type="dcterms:W3CDTF">2022-08-05T08:20:00Z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47F06F9695424A0584E57F1F6263DAB7</vt:lpwstr>
  </property>
</Properties>
</file>