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rPr>
          <w:rFonts w:hint="default" w:ascii="Calibri" w:hAnsi="Calibri" w:cs="Calibri"/>
          <w:sz w:val="52"/>
          <w:szCs w:val="52"/>
        </w:rPr>
      </w:pPr>
      <w:r>
        <w:rPr>
          <w:rFonts w:ascii="宋体" w:hAnsi="宋体" w:eastAsia="宋体" w:cs="宋体"/>
          <w:bCs/>
          <w:sz w:val="52"/>
          <w:szCs w:val="52"/>
        </w:rPr>
        <w:t>附件</w:t>
      </w:r>
    </w:p>
    <w:p>
      <w:pPr>
        <w:pStyle w:val="2"/>
        <w:widowControl/>
        <w:spacing w:beforeAutospacing="0" w:afterAutospacing="0" w:line="600" w:lineRule="atLeast"/>
        <w:jc w:val="center"/>
        <w:rPr>
          <w:rFonts w:hint="default" w:ascii="宋体" w:hAnsi="宋体" w:eastAsia="宋体" w:cs="宋体"/>
          <w:szCs w:val="24"/>
        </w:rPr>
      </w:pPr>
    </w:p>
    <w:p>
      <w:pPr>
        <w:pStyle w:val="2"/>
        <w:spacing w:beforeAutospacing="0" w:afterAutospacing="0" w:line="600" w:lineRule="exact"/>
        <w:jc w:val="center"/>
        <w:rPr>
          <w:rFonts w:hint="default" w:ascii="黑体" w:hAnsi="Calibri" w:eastAsia="黑体"/>
          <w:color w:val="333333"/>
          <w:sz w:val="21"/>
          <w:szCs w:val="21"/>
        </w:rPr>
      </w:pPr>
      <w:r>
        <w:rPr>
          <w:rFonts w:ascii="黑体" w:eastAsia="黑体"/>
          <w:color w:val="333333"/>
          <w:sz w:val="44"/>
          <w:szCs w:val="44"/>
        </w:rPr>
        <w:t>武冈市财政</w:t>
      </w:r>
      <w:bookmarkStart w:id="0" w:name="_GoBack"/>
      <w:bookmarkEnd w:id="0"/>
      <w:r>
        <w:rPr>
          <w:rFonts w:ascii="黑体" w:eastAsia="黑体"/>
          <w:color w:val="333333"/>
          <w:sz w:val="44"/>
          <w:szCs w:val="44"/>
        </w:rPr>
        <w:t>局</w:t>
      </w:r>
    </w:p>
    <w:p>
      <w:pPr>
        <w:pStyle w:val="2"/>
        <w:spacing w:beforeAutospacing="0" w:afterAutospacing="0" w:line="600" w:lineRule="exact"/>
        <w:jc w:val="center"/>
        <w:rPr>
          <w:rFonts w:hint="default" w:ascii="黑体" w:hAnsi="Calibri" w:eastAsia="黑体"/>
          <w:color w:val="333333"/>
          <w:sz w:val="21"/>
          <w:szCs w:val="21"/>
        </w:rPr>
      </w:pPr>
      <w:r>
        <w:rPr>
          <w:rFonts w:ascii="黑体" w:eastAsia="黑体"/>
          <w:color w:val="333333"/>
          <w:sz w:val="44"/>
          <w:szCs w:val="44"/>
        </w:rPr>
        <w:t>2020年度部门整体支出绩效自评报告</w:t>
      </w:r>
    </w:p>
    <w:p>
      <w:pPr>
        <w:widowControl/>
        <w:shd w:val="clear" w:color="auto" w:fill="FFFFFF"/>
        <w:spacing w:line="580" w:lineRule="atLeast"/>
        <w:rPr>
          <w:rFonts w:hint="default" w:ascii="Calibri" w:hAnsi="Calibri"/>
          <w:color w:val="333333"/>
          <w:szCs w:val="21"/>
        </w:rPr>
      </w:pP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default" w:cs="仿宋_GB2312" w:asciiTheme="minorEastAsia" w:hAnsiTheme="minorEastAsia" w:eastAsiaTheme="minorEastAsia"/>
          <w:color w:val="545454"/>
          <w:szCs w:val="32"/>
        </w:rPr>
      </w:pPr>
      <w:r>
        <w:rPr>
          <w:rFonts w:cs="仿宋_GB2312" w:asciiTheme="minorEastAsia" w:hAnsiTheme="minorEastAsia" w:eastAsiaTheme="minorEastAsia"/>
          <w:color w:val="222222"/>
          <w:szCs w:val="32"/>
        </w:rPr>
        <w:t>根据《武冈市财政局关于开展2020年度项目和整体支出绩效自评的通知》和财政部门关于预算绩效评价的有关要求，现将我单位部门整体支出绩效评价情况报告如下：</w:t>
      </w:r>
    </w:p>
    <w:p>
      <w:pPr>
        <w:widowControl/>
        <w:spacing w:line="640" w:lineRule="exact"/>
        <w:ind w:firstLine="640"/>
        <w:rPr>
          <w:rFonts w:hint="default" w:cs="仿宋_GB2312" w:asciiTheme="minorEastAsia" w:hAnsiTheme="minorEastAsia" w:eastAsiaTheme="minorEastAsia"/>
          <w:b/>
          <w:bCs/>
          <w:color w:val="333333"/>
          <w:szCs w:val="32"/>
        </w:rPr>
      </w:pPr>
      <w:r>
        <w:rPr>
          <w:rFonts w:cs="仿宋_GB2312" w:asciiTheme="minorEastAsia" w:hAnsiTheme="minorEastAsia" w:eastAsiaTheme="minorEastAsia"/>
          <w:b/>
          <w:bCs/>
          <w:color w:val="333333"/>
          <w:szCs w:val="32"/>
        </w:rPr>
        <w:t>一、基本情况及其职能</w:t>
      </w:r>
    </w:p>
    <w:p>
      <w:pPr>
        <w:widowControl/>
        <w:spacing w:line="640" w:lineRule="exact"/>
        <w:ind w:firstLine="643"/>
        <w:rPr>
          <w:rFonts w:hint="default" w:cs="仿宋_GB2312" w:asciiTheme="minorEastAsia" w:hAnsiTheme="minorEastAsia" w:eastAsiaTheme="minorEastAsia"/>
          <w:b/>
          <w:bCs/>
          <w:color w:val="333333"/>
          <w:szCs w:val="32"/>
        </w:rPr>
      </w:pPr>
      <w:r>
        <w:rPr>
          <w:rFonts w:cs="仿宋_GB2312" w:asciiTheme="minorEastAsia" w:hAnsiTheme="minorEastAsia" w:eastAsiaTheme="minorEastAsia"/>
          <w:b/>
          <w:bCs/>
          <w:color w:val="333333"/>
          <w:szCs w:val="32"/>
        </w:rPr>
        <w:t>（一）、机构、人员构成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财政局编制人数为75人。年末实有人数183人，其中在职在岗人员 97人，借调本系统人员15人，退休人员62人,单位遗属人员9人。内设股室18个，分别为办公室（信息办）、政工股、会计股、预算股、综合计划股、法规股、行政政法股、监督股、农业农村股、企业外经股、教科文股、农村综合改革股、国有资产管理股、经济建设股、绩效评价股、财政投资评审股、社保股、金融债务股；财务一起核算的二级机构3个，分别为财政国库集中支付中心、政府采购办、原乡镇财政管理局。</w:t>
      </w:r>
    </w:p>
    <w:p>
      <w:pPr>
        <w:spacing w:line="640" w:lineRule="exact"/>
        <w:ind w:firstLine="710" w:firstLineChars="221"/>
        <w:rPr>
          <w:rFonts w:hint="default" w:cs="仿宋_GB2312" w:asciiTheme="minorEastAsia" w:hAnsiTheme="minorEastAsia" w:eastAsiaTheme="minorEastAsia"/>
          <w:b/>
          <w:bCs/>
          <w:color w:val="333333"/>
          <w:szCs w:val="32"/>
        </w:rPr>
      </w:pPr>
      <w:r>
        <w:rPr>
          <w:rFonts w:cs="仿宋_GB2312" w:asciiTheme="minorEastAsia" w:hAnsiTheme="minorEastAsia" w:eastAsiaTheme="minorEastAsia"/>
          <w:b/>
          <w:bCs/>
          <w:color w:val="333333"/>
          <w:szCs w:val="32"/>
        </w:rPr>
        <w:t>（二）、单位主要职责</w:t>
      </w:r>
    </w:p>
    <w:p>
      <w:pPr>
        <w:widowControl/>
        <w:shd w:val="clear" w:color="auto" w:fill="FFFFFF"/>
        <w:spacing w:line="640" w:lineRule="exact"/>
        <w:ind w:firstLine="480" w:firstLineChars="15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（一）拟定和执行全市财政、税收的发展战略、中长期规划改革方案；参与制定有关综合经济政策；提出运用财税政策实施市级调控和综合平衡社会财力的建议；拟订和执行市级与乡镇、财政与企业的分配政策。</w:t>
      </w:r>
      <w:r>
        <w:rPr>
          <w:rFonts w:cs="仿宋_GB2312" w:asciiTheme="minorEastAsia" w:hAnsiTheme="minorEastAsia" w:eastAsiaTheme="minorEastAsia"/>
          <w:szCs w:val="32"/>
        </w:rPr>
        <w:br w:type="textWrapping"/>
      </w:r>
      <w:r>
        <w:rPr>
          <w:rFonts w:cs="仿宋_GB2312" w:asciiTheme="minorEastAsia" w:hAnsiTheme="minorEastAsia" w:eastAsiaTheme="minorEastAsia"/>
          <w:szCs w:val="32"/>
        </w:rPr>
        <w:t xml:space="preserve">    （二）拟定财政、财务、会计管理的地方规范性文件；制定和执行全市财政、财务、会计管理规章制度。</w:t>
      </w:r>
    </w:p>
    <w:p>
      <w:pPr>
        <w:widowControl/>
        <w:shd w:val="clear" w:color="auto" w:fill="FFFFFF"/>
        <w:spacing w:line="640" w:lineRule="exact"/>
        <w:ind w:firstLine="320" w:firstLineChars="10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（三）编制年度市级预决算草案并组织执行；受市人民政府委托，向市人民代表大会报告市级预算及执行情况，向市人大常委会报告决算；管理上级拨款和本级财政收支；会同物价部门审核行政事业性收费项目，参与审核行政事业性收费标准；负责承办有关政策性基金审核、报批的事项；负责全市预算资金管理工作；管理市级预算外资金财政专户；管理有关政府性基金、附加。</w:t>
      </w:r>
      <w:r>
        <w:rPr>
          <w:rFonts w:cs="仿宋_GB2312" w:asciiTheme="minorEastAsia" w:hAnsiTheme="minorEastAsia" w:eastAsiaTheme="minorEastAsia"/>
          <w:szCs w:val="32"/>
        </w:rPr>
        <w:br w:type="textWrapping"/>
      </w:r>
      <w:r>
        <w:rPr>
          <w:rFonts w:cs="仿宋_GB2312" w:asciiTheme="minorEastAsia" w:hAnsiTheme="minorEastAsia" w:eastAsiaTheme="minorEastAsia"/>
          <w:szCs w:val="32"/>
        </w:rPr>
        <w:t xml:space="preserve">    （四）根据预算安排，确定财政税收收入计划，并组织实施管理和监督。</w:t>
      </w:r>
      <w:r>
        <w:rPr>
          <w:rFonts w:cs="仿宋_GB2312" w:asciiTheme="minorEastAsia" w:hAnsiTheme="minorEastAsia" w:eastAsiaTheme="minorEastAsia"/>
          <w:szCs w:val="32"/>
        </w:rPr>
        <w:br w:type="textWrapping"/>
      </w:r>
      <w:r>
        <w:rPr>
          <w:rFonts w:cs="仿宋_GB2312" w:asciiTheme="minorEastAsia" w:hAnsiTheme="minorEastAsia" w:eastAsiaTheme="minorEastAsia"/>
          <w:szCs w:val="32"/>
        </w:rPr>
        <w:t xml:space="preserve">    （五）管理由市级财政承担的基本建设支出、农业支出、工商贸易性支出和公共支出等；拟定全市政府采购管理办法，指导、监督、检查全市政府采购工作。</w:t>
      </w:r>
      <w:r>
        <w:rPr>
          <w:rFonts w:cs="仿宋_GB2312" w:asciiTheme="minorEastAsia" w:hAnsiTheme="minorEastAsia" w:eastAsiaTheme="minorEastAsia"/>
          <w:szCs w:val="32"/>
        </w:rPr>
        <w:br w:type="textWrapping"/>
      </w:r>
      <w:r>
        <w:rPr>
          <w:rFonts w:cs="仿宋_GB2312" w:asciiTheme="minorEastAsia" w:hAnsiTheme="minorEastAsia" w:eastAsiaTheme="minorEastAsia"/>
          <w:szCs w:val="32"/>
        </w:rPr>
        <w:t xml:space="preserve">    （六）参与全市社会保障制度和政策、行政措施的研究制定；分配和管理市级社会保障资金；监督社会保障资金的使用；管理市级社会保障资金财政专户。</w:t>
      </w:r>
    </w:p>
    <w:p>
      <w:pPr>
        <w:widowControl/>
        <w:shd w:val="clear" w:color="auto" w:fill="FFFFFF"/>
        <w:spacing w:line="640" w:lineRule="exact"/>
        <w:ind w:firstLine="320" w:firstLineChars="10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 xml:space="preserve">（七）负责全市行政、事业和企业单位的财政监督，监督财税方针政策、法律法规的执行情况； 检查监督本级预算收入征收部门征收各项预算收入情况，检查财政支出管理中的重大问题，提出加强财政管理的政策建议。     </w:t>
      </w:r>
    </w:p>
    <w:p>
      <w:pPr>
        <w:widowControl/>
        <w:shd w:val="clear" w:color="auto" w:fill="FFFFFF"/>
        <w:spacing w:line="640" w:lineRule="exact"/>
        <w:ind w:firstLine="320" w:firstLineChars="10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 xml:space="preserve"> （八）负责全市机关事业单位国有资产管理，资产增减变动的审批，国有非经营性资产转为经营性国有资产的审批及其占用费的征收；监缴国有资产收益；负责实施企业绩效评价、国有资本保值增值的考核；负责国有资本金的管理和评估项目的管理。</w:t>
      </w:r>
    </w:p>
    <w:p>
      <w:pPr>
        <w:widowControl/>
        <w:shd w:val="clear" w:color="auto" w:fill="FFFFFF"/>
        <w:spacing w:line="640" w:lineRule="exact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 xml:space="preserve">    （九）完成市委、市政府交办的其他任务。   </w:t>
      </w:r>
    </w:p>
    <w:p>
      <w:pPr>
        <w:spacing w:line="640" w:lineRule="exact"/>
        <w:ind w:firstLine="710" w:firstLineChars="221"/>
        <w:rPr>
          <w:rFonts w:hint="default" w:cs="仿宋_GB2312" w:asciiTheme="minorEastAsia" w:hAnsiTheme="minorEastAsia" w:eastAsiaTheme="minorEastAsia"/>
          <w:b/>
          <w:bCs/>
          <w:szCs w:val="32"/>
        </w:rPr>
      </w:pPr>
      <w:r>
        <w:rPr>
          <w:rFonts w:cs="仿宋_GB2312" w:asciiTheme="minorEastAsia" w:hAnsiTheme="minorEastAsia" w:eastAsiaTheme="minorEastAsia"/>
          <w:b/>
          <w:bCs/>
          <w:szCs w:val="32"/>
        </w:rPr>
        <w:t>二、2020年整体收支情况</w:t>
      </w:r>
    </w:p>
    <w:p>
      <w:pPr>
        <w:spacing w:line="640" w:lineRule="exact"/>
        <w:ind w:firstLine="640" w:firstLineChars="20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2020年度年初结转和结余18.86万元,2020年度一般公共预算财政拨款2735.25万元，本年支出合计2754.11万元，年末结转和结余0元。</w:t>
      </w:r>
    </w:p>
    <w:p>
      <w:pPr>
        <w:spacing w:line="640" w:lineRule="exact"/>
        <w:ind w:firstLine="640" w:firstLineChars="20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2020年度基本支出总计2754.11万元。其中一般公共预算财政拨款收入支出2735.25万元，具体为人员经费1957.57万元，包括在职和离退休人员基本工资、津贴补贴、奖金、伙食补助费、社保缴费、公积金、其他工资福利、对个人和家庭的补助等经费，其中基本工资410.47万元、津贴补贴224.17万元、奖金352.52万元、伙食补助费48.95万元、社保缴费321.87万元（包含乡镇财政所干部职工养老保险缴费单位部分）、住房公积金78.21万元、其他工资福利支出505.91万元(包含乡镇财政所干部职工19年度各项考核奖励支出）、对个人和家庭的补助15.47万元；公用经费777.68万元，包括办公费57.10万元、印刷费56.76万元、水电费19.22万元、差旅费145.73万元、租赁费35.85万元、会议费2.5万元、培训费3.88万元、劳务费28.08万元、委托业务费17.25万元、工会经费93.96万元、其他商品和服务费145.03万元；办公设备购置9.07万元，保证了局机关的正常运转。</w:t>
      </w:r>
    </w:p>
    <w:p>
      <w:pPr>
        <w:spacing w:line="640" w:lineRule="exact"/>
        <w:ind w:firstLine="710" w:firstLineChars="221"/>
        <w:rPr>
          <w:rFonts w:hint="default" w:cs="仿宋_GB2312" w:asciiTheme="minorEastAsia" w:hAnsiTheme="minorEastAsia" w:eastAsiaTheme="minorEastAsia"/>
          <w:b/>
          <w:bCs/>
          <w:szCs w:val="32"/>
        </w:rPr>
      </w:pPr>
      <w:r>
        <w:rPr>
          <w:rFonts w:cs="仿宋_GB2312" w:asciiTheme="minorEastAsia" w:hAnsiTheme="minorEastAsia" w:eastAsiaTheme="minorEastAsia"/>
          <w:b/>
          <w:bCs/>
          <w:szCs w:val="32"/>
        </w:rPr>
        <w:t>三、资金使用及管理情况</w:t>
      </w:r>
    </w:p>
    <w:p>
      <w:pPr>
        <w:spacing w:line="640" w:lineRule="exact"/>
        <w:ind w:firstLine="707" w:firstLineChars="221"/>
        <w:rPr>
          <w:rFonts w:hint="default" w:cs="仿宋_GB2312" w:asciiTheme="minorEastAsia" w:hAnsiTheme="minorEastAsia" w:eastAsiaTheme="minorEastAsia"/>
          <w:color w:val="333333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坚持依法理财、厉行节约、均衡使用、科学管理的原则，严格执行国家相关法律法规和财政纪律，确保招待费、会议费、培训费、交通运行费压减比例低于纪委、审计局确定的</w:t>
      </w:r>
      <w:r>
        <w:rPr>
          <w:rFonts w:cs="仿宋_GB2312" w:asciiTheme="minorEastAsia" w:hAnsiTheme="minorEastAsia" w:eastAsiaTheme="minorEastAsia"/>
          <w:color w:val="333333"/>
          <w:szCs w:val="32"/>
        </w:rPr>
        <w:t>管控目标和要求。严格控制“三公经费”的开支，使各项资金得到合理使用，全局工作得到积极有效的开展。</w:t>
      </w:r>
    </w:p>
    <w:p>
      <w:pPr>
        <w:spacing w:line="640" w:lineRule="exact"/>
        <w:ind w:firstLine="710" w:firstLineChars="221"/>
        <w:rPr>
          <w:rFonts w:hint="default" w:cs="仿宋_GB2312" w:asciiTheme="minorEastAsia" w:hAnsiTheme="minorEastAsia" w:eastAsiaTheme="minorEastAsia"/>
          <w:b/>
          <w:bCs/>
          <w:szCs w:val="32"/>
        </w:rPr>
      </w:pPr>
      <w:r>
        <w:rPr>
          <w:rFonts w:cs="仿宋_GB2312" w:asciiTheme="minorEastAsia" w:hAnsiTheme="minorEastAsia" w:eastAsiaTheme="minorEastAsia"/>
          <w:b/>
          <w:bCs/>
          <w:szCs w:val="32"/>
        </w:rPr>
        <w:t>四、组织实施情况</w:t>
      </w:r>
    </w:p>
    <w:p>
      <w:pPr>
        <w:widowControl/>
        <w:spacing w:line="640" w:lineRule="exact"/>
        <w:ind w:firstLine="640"/>
        <w:rPr>
          <w:rFonts w:hint="default" w:cs="仿宋_GB2312" w:asciiTheme="minorEastAsia" w:hAnsiTheme="minorEastAsia" w:eastAsiaTheme="minorEastAsia"/>
          <w:color w:val="333333"/>
          <w:szCs w:val="32"/>
        </w:rPr>
      </w:pPr>
      <w:r>
        <w:rPr>
          <w:rFonts w:cs="仿宋_GB2312" w:asciiTheme="minorEastAsia" w:hAnsiTheme="minorEastAsia" w:eastAsiaTheme="minorEastAsia"/>
          <w:color w:val="333333"/>
          <w:szCs w:val="32"/>
        </w:rPr>
        <w:t>为加强财政资金管理，突出资金绩效，我局高度重视预算支出绩效评价工作，成立了以邓爱国局长为组长，其他局领导为副组长，股室主要负责人为成员的预算支出绩效评价领导小组，年初召开了局党组会议，研讨全局工作职能及资金需求。同时对日常支出，严格执行财务会审制度。</w:t>
      </w:r>
    </w:p>
    <w:p>
      <w:pPr>
        <w:spacing w:line="640" w:lineRule="exact"/>
        <w:ind w:firstLine="710" w:firstLineChars="221"/>
        <w:rPr>
          <w:rFonts w:hint="default" w:cs="仿宋_GB2312" w:asciiTheme="minorEastAsia" w:hAnsiTheme="minorEastAsia" w:eastAsiaTheme="minorEastAsia"/>
          <w:b/>
          <w:bCs/>
          <w:szCs w:val="32"/>
        </w:rPr>
      </w:pPr>
      <w:r>
        <w:rPr>
          <w:rFonts w:cs="仿宋_GB2312" w:asciiTheme="minorEastAsia" w:hAnsiTheme="minorEastAsia" w:eastAsiaTheme="minorEastAsia"/>
          <w:b/>
          <w:bCs/>
          <w:szCs w:val="32"/>
        </w:rPr>
        <w:t>五、资金绩效情况</w:t>
      </w:r>
    </w:p>
    <w:p>
      <w:pPr>
        <w:widowControl/>
        <w:shd w:val="clear" w:color="auto" w:fill="FFFFFF"/>
        <w:spacing w:line="640" w:lineRule="exact"/>
        <w:ind w:firstLine="64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color w:val="222222"/>
          <w:szCs w:val="32"/>
        </w:rPr>
        <w:t>2020年，根据我局年初工作规划，围绕市委、市政府全面建成小康社会的发展蓝图，积极履职，强化管理，通过加强预算收支管理，不断建立健全内部管理制度，梳理内部管理流程，部门整体支出管理情况得到提升</w:t>
      </w:r>
      <w:r>
        <w:rPr>
          <w:rFonts w:cs="仿宋_GB2312" w:asciiTheme="minorEastAsia" w:hAnsiTheme="minorEastAsia" w:eastAsiaTheme="minorEastAsia"/>
          <w:szCs w:val="32"/>
        </w:rPr>
        <w:t>，全</w:t>
      </w:r>
      <w:r>
        <w:rPr>
          <w:rFonts w:cs="仿宋_GB2312" w:asciiTheme="minorEastAsia" w:hAnsiTheme="minorEastAsia" w:eastAsiaTheme="minorEastAsia"/>
          <w:color w:val="222222"/>
          <w:szCs w:val="32"/>
        </w:rPr>
        <w:t>年均能及时完成工作任务，保证常年性业务正常开展。实际完成率以及完成质量达标率均超出原有预期值，履职效益高，社会公众满意度评价高。根据部门整体支出绩效评价指标体系，本局2020年度评价得分为90分。</w:t>
      </w:r>
    </w:p>
    <w:p>
      <w:pPr>
        <w:widowControl/>
        <w:shd w:val="clear" w:color="auto" w:fill="FFFFFF"/>
        <w:spacing w:line="640" w:lineRule="exact"/>
        <w:ind w:firstLine="645"/>
        <w:rPr>
          <w:rFonts w:hint="default" w:cs="仿宋_GB2312" w:asciiTheme="minorEastAsia" w:hAnsiTheme="minorEastAsia" w:eastAsiaTheme="minorEastAsia"/>
          <w:b/>
          <w:bCs/>
          <w:szCs w:val="32"/>
        </w:rPr>
      </w:pPr>
      <w:r>
        <w:rPr>
          <w:rFonts w:cs="仿宋_GB2312" w:asciiTheme="minorEastAsia" w:hAnsiTheme="minorEastAsia" w:eastAsiaTheme="minorEastAsia"/>
          <w:b/>
          <w:bCs/>
          <w:szCs w:val="32"/>
          <w:shd w:val="clear" w:color="auto" w:fill="FFFFFF"/>
          <w:lang w:bidi="ar"/>
        </w:rPr>
        <w:t>六、存在的主要问题</w:t>
      </w:r>
    </w:p>
    <w:p>
      <w:pPr>
        <w:widowControl/>
        <w:shd w:val="clear" w:color="auto" w:fill="FFFFFF"/>
        <w:spacing w:line="640" w:lineRule="exact"/>
        <w:ind w:firstLine="645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1、基本支出中需进一步提高预算编制，继续精细化、合理化。</w:t>
      </w:r>
    </w:p>
    <w:p>
      <w:pPr>
        <w:widowControl/>
        <w:shd w:val="clear" w:color="auto" w:fill="FFFFFF"/>
        <w:spacing w:line="640" w:lineRule="exact"/>
        <w:ind w:firstLine="646"/>
        <w:rPr>
          <w:rFonts w:hint="default" w:cs="仿宋_GB2312" w:asciiTheme="minorEastAsia" w:hAnsiTheme="minorEastAsia" w:eastAsiaTheme="minorEastAsia"/>
          <w:szCs w:val="32"/>
          <w:shd w:val="clear" w:color="auto" w:fill="FFFFFF"/>
          <w:lang w:bidi="ar"/>
        </w:rPr>
      </w:pP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2、内部机构各股室对部门预算认知不足，基础资料搜集整理渠道不清晰。</w:t>
      </w:r>
      <w:r>
        <w:rPr>
          <w:rFonts w:cs="仿宋_GB2312" w:asciiTheme="minorEastAsia" w:hAnsiTheme="minorEastAsia" w:eastAsiaTheme="minorEastAsia"/>
          <w:szCs w:val="32"/>
          <w:shd w:val="clear" w:color="auto" w:fill="FFFFFF"/>
        </w:rPr>
        <w:t>虽然预算最终表现为财务预算，但</w:t>
      </w: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需采集大量的基础数据做支撑，集全体之力方可做好。</w:t>
      </w:r>
    </w:p>
    <w:p>
      <w:pPr>
        <w:widowControl/>
        <w:shd w:val="clear" w:color="auto" w:fill="FFFFFF"/>
        <w:spacing w:line="640" w:lineRule="exact"/>
        <w:ind w:firstLine="646"/>
        <w:rPr>
          <w:rFonts w:hint="default" w:cs="仿宋_GB2312" w:asciiTheme="minorEastAsia" w:hAnsiTheme="minorEastAsia" w:eastAsiaTheme="minorEastAsia"/>
          <w:b/>
          <w:bCs/>
          <w:szCs w:val="32"/>
        </w:rPr>
      </w:pPr>
      <w:r>
        <w:rPr>
          <w:rFonts w:cs="仿宋_GB2312" w:asciiTheme="minorEastAsia" w:hAnsiTheme="minorEastAsia" w:eastAsiaTheme="minorEastAsia"/>
          <w:b/>
          <w:bCs/>
          <w:szCs w:val="32"/>
          <w:shd w:val="clear" w:color="auto" w:fill="FFFFFF"/>
          <w:lang w:bidi="ar"/>
        </w:rPr>
        <w:t>七、整改措施</w:t>
      </w:r>
    </w:p>
    <w:p>
      <w:pPr>
        <w:widowControl/>
        <w:shd w:val="clear" w:color="auto" w:fill="FFFFFF"/>
        <w:spacing w:line="640" w:lineRule="exact"/>
        <w:ind w:firstLine="646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针对上述存在的问题及我局整体支出管理工作的需要，拟实施的改进措施如下：</w:t>
      </w:r>
    </w:p>
    <w:p>
      <w:pPr>
        <w:widowControl/>
        <w:shd w:val="clear" w:color="auto" w:fill="FFFFFF"/>
        <w:spacing w:line="640" w:lineRule="exact"/>
        <w:ind w:firstLine="645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bCs/>
          <w:szCs w:val="32"/>
          <w:shd w:val="clear" w:color="auto" w:fill="FFFFFF"/>
          <w:lang w:bidi="ar"/>
        </w:rPr>
        <w:t>1、预算编制与发展规划相结合，认真做好预算的编制工作。</w:t>
      </w: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一方面把预算的编制与单位的发展规划紧密结合起来，确保两者相辅相成，互为基础；另一方面要在预算前，认真细致地开展调研并进行科学论证，确保预算编制有的放矢。进一步加强局内部机构各股室的预算管理意识，严格按照预算编制的相关制度和要求进行预算编制。</w:t>
      </w:r>
    </w:p>
    <w:p>
      <w:pPr>
        <w:widowControl/>
        <w:shd w:val="clear" w:color="auto" w:fill="FFFFFF"/>
        <w:spacing w:line="640" w:lineRule="exact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b/>
          <w:szCs w:val="32"/>
          <w:shd w:val="clear" w:color="auto" w:fill="FFFFFF"/>
          <w:lang w:bidi="ar"/>
        </w:rPr>
        <w:t> </w:t>
      </w:r>
      <w:r>
        <w:rPr>
          <w:rFonts w:cs="仿宋_GB2312" w:asciiTheme="minorEastAsia" w:hAnsiTheme="minorEastAsia" w:eastAsiaTheme="minorEastAsia"/>
          <w:bCs/>
          <w:szCs w:val="32"/>
          <w:shd w:val="clear" w:color="auto" w:fill="FFFFFF"/>
          <w:lang w:bidi="ar"/>
        </w:rPr>
        <w:t>   2、加强财务管理，严格财务审核。</w:t>
      </w: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在费用报账支付时，按照预算规定的费用项目和用途进行资金使用审核、列报支付、财务核算，杜绝超支现象的发生。</w:t>
      </w:r>
    </w:p>
    <w:p>
      <w:pPr>
        <w:widowControl/>
        <w:shd w:val="clear" w:color="auto" w:fill="FFFFFF"/>
        <w:spacing w:line="640" w:lineRule="exact"/>
        <w:ind w:firstLine="642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bCs/>
          <w:szCs w:val="32"/>
          <w:shd w:val="clear" w:color="auto" w:fill="FFFFFF"/>
          <w:lang w:bidi="ar"/>
        </w:rPr>
        <w:t>3、持续抓好“三公”经费控制管理。</w:t>
      </w: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widowControl/>
        <w:shd w:val="clear" w:color="auto" w:fill="FFFFFF"/>
        <w:spacing w:line="640" w:lineRule="exact"/>
        <w:ind w:firstLine="642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bCs/>
          <w:szCs w:val="32"/>
          <w:shd w:val="clear" w:color="auto" w:fill="FFFFFF"/>
          <w:lang w:bidi="ar"/>
        </w:rPr>
        <w:t>4、全面编制预算项目。</w:t>
      </w: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优先保障固定性的、相对刚性的费用支出项目，尽量压缩变动性的，进一步提高预算编制的科学性、严谨性和可控性。加强内部预算编制的审核和预算控制指标的下达。</w:t>
      </w:r>
    </w:p>
    <w:sectPr>
      <w:pgSz w:w="11906" w:h="16838"/>
      <w:pgMar w:top="1984" w:right="1701" w:bottom="198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64E95"/>
    <w:rsid w:val="43E86ECE"/>
    <w:rsid w:val="45676743"/>
    <w:rsid w:val="48310DFB"/>
    <w:rsid w:val="53664E95"/>
    <w:rsid w:val="5532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Courier New" w:hAnsi="Courier New" w:eastAsia="仿宋_GB2312" w:cstheme="minorBidi"/>
      <w:color w:val="000000"/>
      <w:sz w:val="32"/>
      <w:lang w:val="zh-TW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2021-09-23T02:49:00Z</dcterms:created>
  <dc:creator>执念</dc:creator>
  <cp:lastModifiedBy>执念</cp:lastModifiedBy>
  <dcterms:modified xsi:type="dcterms:W3CDTF">2021-09-23T02:50:55Z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856A45702A064593892940343C61C06E</vt:lpwstr>
  </property>
</Properties>
</file>