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附1：              </w:t>
      </w:r>
    </w:p>
    <w:p>
      <w:pPr>
        <w:widowControl/>
        <w:spacing w:line="580" w:lineRule="atLeast"/>
        <w:jc w:val="center"/>
        <w:rPr>
          <w:rFonts w:ascii="方正大标宋简体" w:hAnsi="方正大标宋简体" w:eastAsia="方正大标宋简体" w:cs="方正大标宋简体"/>
          <w:color w:val="222222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222222"/>
          <w:kern w:val="0"/>
          <w:sz w:val="44"/>
          <w:szCs w:val="44"/>
        </w:rPr>
        <w:t>金融服务中心部门整体支出绩效评价报告</w:t>
      </w:r>
    </w:p>
    <w:p>
      <w:pPr>
        <w:widowControl/>
        <w:spacing w:line="580" w:lineRule="atLeast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市财政局：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按照市财政局关于绩效评价文件要求，现将我中心部门整体支出绩效评价情况报告如下：</w:t>
      </w:r>
    </w:p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一、基本情况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（一） 机构、人员构成</w:t>
      </w:r>
    </w:p>
    <w:p>
      <w:pPr>
        <w:widowControl/>
        <w:spacing w:line="580" w:lineRule="atLeas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武冈是金融服务中心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年组建，系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正科级公益一类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现有内设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股室3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个：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综合股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发展股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服务股。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纳入了财政预算，2021年年初预算，编制人数为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人，其中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人；年初预算实有在职人员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人，其中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pacing w:line="580" w:lineRule="atLeast"/>
        <w:ind w:firstLine="643"/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单位主要职责</w:t>
      </w:r>
    </w:p>
    <w:p>
      <w:pPr>
        <w:widowControl/>
        <w:numPr>
          <w:ilvl w:val="0"/>
          <w:numId w:val="2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贯彻执行国家、省、邵有关金融工作的方针、政策和法律、法规。拟定并组织实施全市金融业发展的相关政策，提出改善全市金融发展环境、促进金融业健康发展的建议，供市委、市政府决策参考。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（二）负责全市金融市场体系建设工作。拟订全市金融业发展的总体布局规划，推动全市金融业改革创新。拟订引进境内外金融机构的工作规划和政策措施并组织实施。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三）建立健全地方金融工作协调机制。负责与上级金融监管机构、各类金融机构及驻我市分支机构、各相关部门的沟通协调，引导、促进金融机构开展金融产品和金融服务创新，落实金融服务实体经济相关政策。负责银企对接工作、融资服务体系建设工作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四）承担防范和化解地方金融风险相关工作。依法维护金融市场秩序，协调配合有关部门打击非法集资、贷款诈骗等非法金融活动。拟订防范和处置地方金融风险的政策措施，组织协调金融突发公共事件应急处置工作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五）负责全市小额贷款公司、融资性担保公司和新型农村金融机构的设立、变更的初审工作以及日常监管工作。根据上级金融管理部门的委托或授权，承办小额贷款公司、融资性担保公司和新型农村金融机构的设立、变更审批的部分行政许可事项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(六）负责地方政府投融资体系建设工作。协调市政府融资平台及相关机构开展风险投资、债券发行、资产证券化、股权投资、债务化解等融资性工作。为全市的基础设施建设、工业园区及中小企业发展提供金融配套服务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(七）协调推进农村金融改革与发展。推动农村金融体系发展，协调推进涉农金融机构和中介服务机构建设，创新涉农金融产品和服务，增强金融强农惠农能力，助力全市脱贫攻坚、乡村振兴。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八）负责政府产业发展基金、金融发展专项资金的管理和使用。具体承担政府产业发展基金平台体系建设，负责各子基金的设立、运营和管理；负责对上级下达或政府筹措的金融发展专项资金的管理和使用；负责地方金融资产的运营管理，确保地方金融资产的增值保值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九）负责推进全市金融信用体系建设工作。配合有关部门推进企业和个人征信系统建设，参与建立信用信息共享交换机制和信用奖惩机制，支持信贷主体依法维护合法权益。负责全市金融风险监测预警体系和信息系统建设工作。</w:t>
      </w:r>
    </w:p>
    <w:p>
      <w:pPr>
        <w:widowControl/>
        <w:numPr>
          <w:ilvl w:val="0"/>
          <w:numId w:val="0"/>
        </w:num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-SA"/>
        </w:rPr>
        <w:t>（十）完成市委、市政府交办的其他任务。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（三） 部门内部控制及厉行节约制度建设情况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1. 高度重视预算支出绩效评价工作，成立了以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雷良叶主任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为组长，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刘长永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为副组长，处室主要负责人为成员的预算支出绩效评价领导小组，下发了《关于做好2021年度项目和整体支出绩效自评的通知》（武财绩[2022]1号），明确各职能处室的评价责任，进一步强化各处室对财政预算支出管理意识。</w:t>
      </w:r>
    </w:p>
    <w:p>
      <w:pPr>
        <w:widowControl/>
        <w:spacing w:line="580" w:lineRule="atLeas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2. 加强对国家、省级财政预算资金管理方面制度的学习培训，不断提高各职能处室的业务工作能力。及时组织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人员学习了中央八项规定精神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3. 建立了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整体支出管理方面的内控制度，并不断进行完善和修订。对招待费支出进行了有效管控。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4. 严格制度执行，特别是“三公”经费的预算控制。严格招待费用审核审批程序，“三公”经费较好地控制在预算范围之内。</w:t>
      </w:r>
    </w:p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二、部门整体支出规模及使用方向、内容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（一）2021年预算规模情况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1．预算资金情况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（1）年初总收支预算情况</w:t>
      </w:r>
    </w:p>
    <w:p>
      <w:pPr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2021年预算收支情况如下：</w:t>
      </w:r>
    </w:p>
    <w:tbl>
      <w:tblPr>
        <w:tblStyle w:val="8"/>
        <w:tblW w:w="8799" w:type="dxa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1"/>
        <w:gridCol w:w="4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预算项目</w:t>
            </w:r>
          </w:p>
        </w:tc>
        <w:tc>
          <w:tcPr>
            <w:tcW w:w="4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财政拨款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政府性基金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纳入专户管理非税收入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收入预算合计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其中：财政拨款支出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其中：财政拨款支出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0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支出预算合计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42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从年初批复预算来看：我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收入预算为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万元，财政拨款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万元。 </w:t>
      </w:r>
    </w:p>
    <w:p>
      <w:pPr>
        <w:widowControl/>
        <w:spacing w:line="580" w:lineRule="atLeas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支出预算中支出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万元，基本支出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万元，占支出预算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%。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（2）本年度财政追加指标、上年结转资金、年度可用金额情况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 xml:space="preserve">全年可用预算指标   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 xml:space="preserve"> 单位：万元</w:t>
      </w:r>
    </w:p>
    <w:tbl>
      <w:tblPr>
        <w:tblStyle w:val="8"/>
        <w:tblW w:w="8878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199"/>
        <w:gridCol w:w="2236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项 目</w:t>
            </w:r>
          </w:p>
        </w:tc>
        <w:tc>
          <w:tcPr>
            <w:tcW w:w="21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合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年初预算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上年结转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本年追加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0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42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小 计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从上表可以反映：我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2021年全年可用预算资金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万元，年初预算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万元。</w:t>
      </w:r>
    </w:p>
    <w:p>
      <w:pPr>
        <w:widowControl/>
        <w:spacing w:line="580" w:lineRule="atLeast"/>
        <w:ind w:firstLine="964" w:firstLineChars="30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2．整体支出使用范围、方向和内容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（1）年初预算整体支出的使用范围、方向和内容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2021年年初预算为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万元，基本支出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万元，使用内容为人员经费和日常公用经费；使用内容为业务工作专项。具体使用方向如下：</w:t>
      </w:r>
    </w:p>
    <w:tbl>
      <w:tblPr>
        <w:tblStyle w:val="8"/>
        <w:tblW w:w="882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2950"/>
        <w:gridCol w:w="2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2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基本支出（万元）</w:t>
            </w:r>
          </w:p>
        </w:tc>
        <w:tc>
          <w:tcPr>
            <w:tcW w:w="2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项目支出（万元）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工资福利支出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18.74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商品和服务支出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26.88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对个人和家庭补助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其他资本性支出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（二）年度预算收支决算情况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1. 2021年度预算收入决算情况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2021年财政拨款收入决算情况    单位：万元</w:t>
      </w:r>
    </w:p>
    <w:tbl>
      <w:tblPr>
        <w:tblStyle w:val="8"/>
        <w:tblW w:w="900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87"/>
        <w:gridCol w:w="1813"/>
        <w:gridCol w:w="1891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预算可用指标</w:t>
            </w:r>
          </w:p>
        </w:tc>
        <w:tc>
          <w:tcPr>
            <w:tcW w:w="17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财政拨款收入</w:t>
            </w:r>
          </w:p>
        </w:tc>
        <w:tc>
          <w:tcPr>
            <w:tcW w:w="1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本年度指标结余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上年度指标结余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结余增加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2021年度预算支出决算及结余情况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 xml:space="preserve">2021年预算、决算和结余对比情况表 </w:t>
      </w:r>
    </w:p>
    <w:tbl>
      <w:tblPr>
        <w:tblStyle w:val="8"/>
        <w:tblW w:w="933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2151"/>
        <w:gridCol w:w="1904"/>
        <w:gridCol w:w="2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比较项目</w:t>
            </w:r>
          </w:p>
        </w:tc>
        <w:tc>
          <w:tcPr>
            <w:tcW w:w="21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45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决算金额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执行差异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算-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预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算）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3.34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3.34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3.34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3.34</w:t>
            </w:r>
          </w:p>
        </w:tc>
      </w:tr>
    </w:tbl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三、绩效评价工作情况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（一）绩效评价目的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本次绩效评价的目的是为了全面分析和综合评价我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财政预算资金的使用管理情况，为切实提高财政资金使用效益，强化预算支出的责任和效率提供参考依据。</w:t>
      </w:r>
    </w:p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四、整体支出使用管理情况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（一）基本支出使用管理情况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基本支出的范围和主要用途包括局人员经费和日常公用经费。具体包括：工资福利支出、对个人和家庭的补助、商品和服务支出、其他资本性支出。基本支出的管理和使用情况如下：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1.  基本支出本年预算指标可用情况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（单位：万元）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14"/>
        <w:gridCol w:w="2040"/>
        <w:gridCol w:w="2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预算项目</w:t>
            </w:r>
          </w:p>
        </w:tc>
        <w:tc>
          <w:tcPr>
            <w:tcW w:w="1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本年预算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本年追加</w:t>
            </w:r>
          </w:p>
        </w:tc>
        <w:tc>
          <w:tcPr>
            <w:tcW w:w="2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本年可用指标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工资福利支出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18.74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18.74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商品和服务支出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26.88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对个人和家庭补助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根据本年预算、上年结余和本年预算追加情况，本年基本支出预算可用指标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2.  本年基本支出预算执行情况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（单位：万元）</w:t>
      </w:r>
    </w:p>
    <w:tbl>
      <w:tblPr>
        <w:tblStyle w:val="8"/>
        <w:tblW w:w="0" w:type="auto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2164"/>
        <w:gridCol w:w="2164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预算项目</w:t>
            </w:r>
          </w:p>
        </w:tc>
        <w:tc>
          <w:tcPr>
            <w:tcW w:w="2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预算可用指标</w:t>
            </w:r>
          </w:p>
        </w:tc>
        <w:tc>
          <w:tcPr>
            <w:tcW w:w="2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本年决算金额</w:t>
            </w:r>
          </w:p>
        </w:tc>
        <w:tc>
          <w:tcPr>
            <w:tcW w:w="1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工资福利支出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18.74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18.13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商品和服务支出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26.88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29.68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-2.8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对个人和家庭补助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-0.85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45.76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-3.04</w:t>
            </w:r>
          </w:p>
        </w:tc>
      </w:tr>
    </w:tbl>
    <w:p>
      <w:pPr>
        <w:widowControl/>
        <w:spacing w:line="64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从上表可以反映，20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年我局基本支出与预算基本一致。</w:t>
      </w:r>
    </w:p>
    <w:p>
      <w:pPr>
        <w:widowControl/>
        <w:spacing w:line="64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（二）“三公”经费使用管理情况</w:t>
      </w:r>
    </w:p>
    <w:p>
      <w:pPr>
        <w:widowControl/>
        <w:spacing w:line="64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1.  2021年“三公”经费预算情况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（单位：万元）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173"/>
        <w:gridCol w:w="2173"/>
        <w:gridCol w:w="2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费用项目</w:t>
            </w:r>
          </w:p>
        </w:tc>
        <w:tc>
          <w:tcPr>
            <w:tcW w:w="2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公车运行维护费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因公出国费用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公务车购置费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2021年“三公”经费预算金额为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元，全部为财政拨款资金，并在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门户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网站进行了公示。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2．“三公”经费预算执行情况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（单位：万元）</w:t>
      </w:r>
    </w:p>
    <w:tbl>
      <w:tblPr>
        <w:tblStyle w:val="8"/>
        <w:tblW w:w="8839" w:type="dxa"/>
        <w:tblInd w:w="2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213"/>
        <w:gridCol w:w="1215"/>
        <w:gridCol w:w="1322"/>
        <w:gridCol w:w="1215"/>
        <w:gridCol w:w="1278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费用项目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5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决算金额</w:t>
            </w:r>
          </w:p>
        </w:tc>
        <w:tc>
          <w:tcPr>
            <w:tcW w:w="24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增加额（预-决）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公务接待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公车运行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公车购置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因公出国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2021年度“三公”经费预算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万元，结余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万元。其中，基本支出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万元，结余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万元，结余率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89.8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%；全年未购置公务用车，“三公”经费总体控制较好。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3．“三公”经费与上年对比情况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（单位：万元）</w:t>
      </w:r>
    </w:p>
    <w:tbl>
      <w:tblPr>
        <w:tblStyle w:val="8"/>
        <w:tblW w:w="10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8"/>
        <w:gridCol w:w="2496"/>
        <w:gridCol w:w="2496"/>
        <w:gridCol w:w="2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费用项目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年决算数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年决算数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增减情况（2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公车运行维护费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因公出国费用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公务车购置费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合计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从上表反映，本年“三公”经费较上年有所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增加100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%，控制较好。</w:t>
      </w:r>
    </w:p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五、部门整体支出绩效评价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2021年，根据年初工作规划和重点性工作，围绕省委、省政府全面建成小康社会的发展蓝图，积极履职，强化管理，较好的完成了年度工作目标。通过加强预算收支管理，不断建立健全内部管理制度，梳理内部管理流程，部门整体支出管理情况得到提升。根据2021年度部门整体支出状况的概述和分析，部门整体支出绩效情况如下：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（一）经济效益评价</w:t>
      </w:r>
    </w:p>
    <w:p>
      <w:pPr>
        <w:widowControl/>
        <w:spacing w:line="580" w:lineRule="atLeast"/>
        <w:ind w:firstLine="643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1. 本年预算配置控制较好。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财政供养人员控制在预算编制以内，编制内在职人员控制率小于100%；“三公”经费预算总额较上年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增加100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%，“三公”经费变动率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大于0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2. 预算执行方面。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支出总额控制在预算总额以内，除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非法集资宣传工作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预算的追加和政策性工资绩效预算的追加外，本年部门预算未进行预算相关事项的调整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“三公”经费总体控制较好，未超本年预算和上年决算支出。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预算管理方面，制度执行总体较为有效，仍需进一步强化；资金使用管理需进一步加强。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资产管理方面，建立了资产管理制度，定期进行了盘点和资产清理，总体执行较好。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根据部门整体支出绩效评价指标体系，本局20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年度评价得分为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分。</w:t>
      </w:r>
    </w:p>
    <w:p>
      <w:pPr>
        <w:widowControl/>
        <w:spacing w:line="580" w:lineRule="atLeast"/>
        <w:ind w:firstLine="643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（二）效率性评价和有效性评价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预算安排的基本支出保障了正常的工作运转，在执行上是严格遵守各项财经纪律的，在资金的使用上也是放的心的。牢固树立资金是“救命钱”和“高压线”的观念，在资金的管理和使用上，严守法律底线、纪律底线、道德底线。</w:t>
      </w:r>
    </w:p>
    <w:p>
      <w:pPr>
        <w:pStyle w:val="7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（一）推进政银企对接，助力园区、企业融资57.25亿元，助力地方经济发展。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组织召开多次银企对接会议、金融助力“五好”园区建设座谈会，共达成金融信贷合作金额52.75亿元，为园区及企业发展注入金融血脉，促进地方经济高质量发展。</w:t>
      </w:r>
    </w:p>
    <w:p>
      <w:pPr>
        <w:pStyle w:val="7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（二）资本市场建设成效明显，实现3家企业挂牌。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经多次走访企业，开展资本市场培训，协调省、邵主管部门指导支持，全年有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税电子、乡乡嘴、康瑄科技、漆雕氏4家企业纳入湖南省上市后备企业，漆雕氏、裕登农业、申靓科技3家企业在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湖南股权交易所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挂牌，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企业挂牌破零倍增，全市产业发展进一步加快。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（三）通力协调，一周内化解不良贷款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2181.71万元，促进武冈发展村镇银行退出高风险机构。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冈发展银行因指标异常受上级监管，在省、邵工作组指导下，我市市委市政府主要领导亲自部署，市金融服务中心协调法院、税务、纪检、组织、自然资源等部门，自12月25日起，一周内采取以物抵债、司法拘留、冻结划扣、纪律约谈等方式进行不良贷款清收，化解不良贷款2181.71万元，使武冈发展村镇银行各项指标达到安全标准，在规定时间内退出高风险机构，维护了金融市场秩序稳定，得到了省、邵工作组的高度肯定。</w:t>
      </w:r>
    </w:p>
    <w:p>
      <w:pPr>
        <w:widowControl/>
        <w:spacing w:line="580" w:lineRule="atLeast"/>
        <w:ind w:firstLine="64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、有关建议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1. 细化预算编制工作，认真做好预算的编制。进一步加强局内部机构各处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内部各处室预算“二上二下”方式，提高预算的合理性和准确性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2. 加强财务管理，严格财务审核。在费用报账支付时，按照预算规定的费用项目和用途进行资金使用审核、列报支付、财务核算，杜绝超支现象的发生。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4．加强项目开展进度的跟踪，开展项目绩效评价，确保项目绩效目标的完成。</w:t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 附件：1.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instrText xml:space="preserve"> INCLUDEPICTURE "http://hnymj.hunan.gov.cn/creatorCMS/eWebEditor/sysimage/icon16/doc.gif" \* MERGEFORMATINET </w:instrTex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drawing>
          <wp:inline distT="0" distB="0" distL="114300" distR="114300">
            <wp:extent cx="152400" cy="152400"/>
            <wp:effectExtent l="0" t="0" r="0" b="0"/>
            <wp:docPr id="1" name="图片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"http://hnymj.hunan.gov.cn/ymjmh/uploadfiles/201507/20150701103327589.doc" \t "_blank" \o "部门整体支出绩效评价指标表.doc"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252525"/>
          <w:kern w:val="0"/>
          <w:sz w:val="32"/>
          <w:szCs w:val="32"/>
        </w:rPr>
        <w:t>部门整体支出绩效评价指标表.doc</w:t>
      </w:r>
      <w:r>
        <w:rPr>
          <w:rFonts w:hint="eastAsia" w:ascii="仿宋_GB2312" w:hAnsi="仿宋_GB2312" w:eastAsia="仿宋_GB2312" w:cs="仿宋_GB2312"/>
          <w:color w:val="252525"/>
          <w:kern w:val="0"/>
          <w:sz w:val="32"/>
          <w:szCs w:val="32"/>
        </w:rPr>
        <w:fldChar w:fldCharType="end"/>
      </w:r>
    </w:p>
    <w:p>
      <w:pPr>
        <w:widowControl/>
        <w:spacing w:line="580" w:lineRule="atLeast"/>
        <w:ind w:firstLine="640"/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       2.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instrText xml:space="preserve"> INCLUDEPICTURE "http://hnymj.hunan.gov.cn/creatorCMS/eWebEditor/sysimage/icon16/doc.gif" \* MERGEFORMATINET </w:instrTex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drawing>
          <wp:inline distT="0" distB="0" distL="114300" distR="114300">
            <wp:extent cx="153670" cy="153670"/>
            <wp:effectExtent l="0" t="0" r="17780" b="17780"/>
            <wp:docPr id="2" name="图片 2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"http://hnymj.hunan.gov.cn/ymjmh/uploadfiles/201507/20150701103338686.doc" \t "_blank" \o "部门整体支出绩效评价基础数据表.doc"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252525"/>
          <w:kern w:val="0"/>
          <w:sz w:val="32"/>
          <w:szCs w:val="32"/>
        </w:rPr>
        <w:t>部门整体支出绩效评价基础数据表.doc</w:t>
      </w:r>
      <w:r>
        <w:rPr>
          <w:rFonts w:hint="eastAsia" w:ascii="仿宋_GB2312" w:hAnsi="仿宋_GB2312" w:eastAsia="仿宋_GB2312" w:cs="仿宋_GB2312"/>
          <w:color w:val="252525"/>
          <w:kern w:val="0"/>
          <w:sz w:val="32"/>
          <w:szCs w:val="32"/>
        </w:rPr>
        <w:fldChar w:fldCharType="end"/>
      </w:r>
    </w:p>
    <w:p>
      <w:pPr>
        <w:widowControl/>
        <w:spacing w:line="580" w:lineRule="atLeast"/>
        <w:ind w:firstLine="640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             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 xml:space="preserve">     武冈市金融服务中心</w:t>
      </w:r>
    </w:p>
    <w:p>
      <w:pPr>
        <w:rPr>
          <w:rFonts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                               202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年7月5日</w:t>
      </w:r>
    </w:p>
    <w:sectPr>
      <w:footerReference r:id="rId3" w:type="default"/>
      <w:pgSz w:w="11906" w:h="16838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44FE9"/>
    <w:multiLevelType w:val="singleLevel"/>
    <w:tmpl w:val="C1444F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A19211"/>
    <w:multiLevelType w:val="singleLevel"/>
    <w:tmpl w:val="77A19211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zFkYTJhZGNkYmY1NTgwMmFiMmYxNDFjMTYxZDQifQ=="/>
  </w:docVars>
  <w:rsids>
    <w:rsidRoot w:val="561C410B"/>
    <w:rsid w:val="00584F00"/>
    <w:rsid w:val="0076073D"/>
    <w:rsid w:val="0097240B"/>
    <w:rsid w:val="00AC782D"/>
    <w:rsid w:val="00C16B0D"/>
    <w:rsid w:val="00ED2203"/>
    <w:rsid w:val="04166B3C"/>
    <w:rsid w:val="04BF0C1C"/>
    <w:rsid w:val="073101B4"/>
    <w:rsid w:val="07EF46DA"/>
    <w:rsid w:val="086C4BCC"/>
    <w:rsid w:val="0B8B64C8"/>
    <w:rsid w:val="0C0868B5"/>
    <w:rsid w:val="0E210EC3"/>
    <w:rsid w:val="0E426E7A"/>
    <w:rsid w:val="0E5F51FD"/>
    <w:rsid w:val="0EF82546"/>
    <w:rsid w:val="10402D76"/>
    <w:rsid w:val="123611B7"/>
    <w:rsid w:val="13E7095B"/>
    <w:rsid w:val="15C21508"/>
    <w:rsid w:val="17255A08"/>
    <w:rsid w:val="179200CA"/>
    <w:rsid w:val="1C9C2A77"/>
    <w:rsid w:val="1D0F4191"/>
    <w:rsid w:val="216E446A"/>
    <w:rsid w:val="2765310E"/>
    <w:rsid w:val="27932534"/>
    <w:rsid w:val="281A59D9"/>
    <w:rsid w:val="2CD51841"/>
    <w:rsid w:val="309319DA"/>
    <w:rsid w:val="30D93A05"/>
    <w:rsid w:val="316D3DF6"/>
    <w:rsid w:val="33295803"/>
    <w:rsid w:val="389A3401"/>
    <w:rsid w:val="38A467DA"/>
    <w:rsid w:val="38F250DB"/>
    <w:rsid w:val="3ACA22B9"/>
    <w:rsid w:val="3D167151"/>
    <w:rsid w:val="3D3C240B"/>
    <w:rsid w:val="3F19736B"/>
    <w:rsid w:val="3F77596E"/>
    <w:rsid w:val="405D772B"/>
    <w:rsid w:val="426478A4"/>
    <w:rsid w:val="429944E7"/>
    <w:rsid w:val="44DD6447"/>
    <w:rsid w:val="4687265B"/>
    <w:rsid w:val="47C54D69"/>
    <w:rsid w:val="47D827AB"/>
    <w:rsid w:val="48024411"/>
    <w:rsid w:val="49060960"/>
    <w:rsid w:val="49C049B9"/>
    <w:rsid w:val="4B55797D"/>
    <w:rsid w:val="4C8449BE"/>
    <w:rsid w:val="4D3D691B"/>
    <w:rsid w:val="54ED11B6"/>
    <w:rsid w:val="561C410B"/>
    <w:rsid w:val="56E322E1"/>
    <w:rsid w:val="5850122C"/>
    <w:rsid w:val="5B6A4390"/>
    <w:rsid w:val="5B8B2DCD"/>
    <w:rsid w:val="5E531E63"/>
    <w:rsid w:val="5E866707"/>
    <w:rsid w:val="5ED54C05"/>
    <w:rsid w:val="634B7B8C"/>
    <w:rsid w:val="69216C99"/>
    <w:rsid w:val="6A617C95"/>
    <w:rsid w:val="6BC27085"/>
    <w:rsid w:val="6C2B437A"/>
    <w:rsid w:val="6D682314"/>
    <w:rsid w:val="73BE3313"/>
    <w:rsid w:val="73F61CC3"/>
    <w:rsid w:val="7418207D"/>
    <w:rsid w:val="76393282"/>
    <w:rsid w:val="768E48B5"/>
    <w:rsid w:val="771A5453"/>
    <w:rsid w:val="772C79CC"/>
    <w:rsid w:val="78482494"/>
    <w:rsid w:val="7BA55FE8"/>
    <w:rsid w:val="7DAD5833"/>
    <w:rsid w:val="7DBA34EC"/>
    <w:rsid w:val="7DBB54B6"/>
    <w:rsid w:val="7FD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4389</Words>
  <Characters>4765</Characters>
  <Lines>66</Lines>
  <Paragraphs>18</Paragraphs>
  <TotalTime>16</TotalTime>
  <ScaleCrop>false</ScaleCrop>
  <LinksUpToDate>false</LinksUpToDate>
  <CharactersWithSpaces>4905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2022-07-04T08:57:00Z</dcterms:created>
  <dc:creator>张</dc:creator>
  <cp:lastModifiedBy>笑容</cp:lastModifiedBy>
  <dcterms:modified xsi:type="dcterms:W3CDTF">2022-09-29T02:18:23Z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1165417720AE48A9BC9A0A0AB5367103</vt:lpwstr>
  </property>
</Properties>
</file>