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hint="default" w:ascii="Calibri" w:hAnsi="Calibri" w:cs="Calibri"/>
          <w:sz w:val="52"/>
          <w:szCs w:val="52"/>
        </w:rPr>
      </w:pPr>
      <w:r>
        <w:rPr>
          <w:rFonts w:ascii="宋体" w:hAnsi="宋体" w:eastAsia="宋体" w:cs="宋体"/>
          <w:bCs/>
          <w:sz w:val="52"/>
          <w:szCs w:val="52"/>
        </w:rPr>
        <w:t>附件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ascii="宋体" w:hAnsi="宋体" w:eastAsia="宋体" w:cs="宋体"/>
          <w:szCs w:val="24"/>
        </w:rPr>
      </w:pPr>
    </w:p>
    <w:p>
      <w:pPr>
        <w:pStyle w:val="2"/>
        <w:spacing w:beforeAutospacing="0" w:afterAutospacing="0" w:line="600" w:lineRule="exact"/>
        <w:jc w:val="center"/>
        <w:rPr>
          <w:rFonts w:hint="default" w:ascii="黑体" w:hAnsi="Calibri" w:eastAsia="黑体"/>
          <w:color w:val="333333"/>
          <w:sz w:val="21"/>
          <w:szCs w:val="21"/>
        </w:rPr>
      </w:pPr>
      <w:r>
        <w:rPr>
          <w:rFonts w:ascii="黑体" w:eastAsia="黑体"/>
          <w:color w:val="333333"/>
          <w:sz w:val="44"/>
          <w:szCs w:val="44"/>
        </w:rPr>
        <w:t>武冈市财政局</w:t>
      </w:r>
    </w:p>
    <w:p>
      <w:pPr>
        <w:pStyle w:val="2"/>
        <w:spacing w:beforeAutospacing="0" w:afterAutospacing="0" w:line="600" w:lineRule="exact"/>
        <w:jc w:val="center"/>
        <w:rPr>
          <w:rFonts w:hint="default" w:ascii="黑体" w:hAnsi="Calibri" w:eastAsia="黑体"/>
          <w:color w:val="333333"/>
          <w:sz w:val="21"/>
          <w:szCs w:val="21"/>
        </w:rPr>
      </w:pPr>
      <w:r>
        <w:rPr>
          <w:rFonts w:ascii="黑体" w:eastAsia="黑体"/>
          <w:color w:val="333333"/>
          <w:sz w:val="44"/>
          <w:szCs w:val="44"/>
        </w:rPr>
        <w:t>202</w:t>
      </w:r>
      <w:r>
        <w:rPr>
          <w:rFonts w:hint="eastAsia" w:ascii="黑体" w:eastAsia="黑体"/>
          <w:color w:val="333333"/>
          <w:sz w:val="44"/>
          <w:szCs w:val="44"/>
          <w:lang w:val="en-US" w:eastAsia="zh-CN"/>
        </w:rPr>
        <w:t>1</w:t>
      </w:r>
      <w:r>
        <w:rPr>
          <w:rFonts w:ascii="黑体" w:eastAsia="黑体"/>
          <w:color w:val="333333"/>
          <w:sz w:val="44"/>
          <w:szCs w:val="44"/>
        </w:rPr>
        <w:t>年度部门整体支出绩效自评报告</w:t>
      </w:r>
    </w:p>
    <w:p>
      <w:pPr>
        <w:widowControl/>
        <w:shd w:val="clear" w:color="auto" w:fill="FFFFFF"/>
        <w:spacing w:line="580" w:lineRule="atLeast"/>
        <w:rPr>
          <w:rFonts w:hint="default" w:ascii="Calibri" w:hAnsi="Calibri"/>
          <w:color w:val="333333"/>
          <w:szCs w:val="21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color w:val="545454"/>
          <w:szCs w:val="32"/>
        </w:rPr>
      </w:pPr>
      <w:r>
        <w:rPr>
          <w:rFonts w:cs="仿宋_GB2312" w:asciiTheme="minorEastAsia" w:hAnsiTheme="minorEastAsia" w:eastAsiaTheme="minorEastAsia"/>
          <w:color w:val="222222"/>
          <w:szCs w:val="32"/>
        </w:rPr>
        <w:t>根据《武冈市财政局关于开展202</w:t>
      </w:r>
      <w:r>
        <w:rPr>
          <w:rFonts w:hint="eastAsia" w:cs="仿宋_GB2312" w:asciiTheme="minorEastAsia" w:hAnsiTheme="minorEastAsia" w:eastAsiaTheme="minorEastAsia"/>
          <w:color w:val="222222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color w:val="222222"/>
          <w:szCs w:val="32"/>
        </w:rPr>
        <w:t>年度项目和整体支出绩效自评的通知》和财政部门关于预算绩效评价的有关要求，现将我单位部门整体支出绩效评价情况报告如下：</w:t>
      </w:r>
    </w:p>
    <w:p>
      <w:pPr>
        <w:widowControl/>
        <w:spacing w:line="640" w:lineRule="exact"/>
        <w:ind w:firstLine="640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一、基本情况及其职能</w:t>
      </w:r>
    </w:p>
    <w:p>
      <w:pPr>
        <w:widowControl/>
        <w:spacing w:line="640" w:lineRule="exact"/>
        <w:ind w:firstLine="643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（一）、机构、人员构成</w:t>
      </w:r>
    </w:p>
    <w:p>
      <w:pPr>
        <w:pStyle w:val="2"/>
        <w:widowControl/>
        <w:spacing w:beforeAutospacing="0" w:afterAutospacing="0"/>
        <w:ind w:firstLine="63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cs="仿宋_GB2312" w:asciiTheme="minorEastAsia" w:hAnsiTheme="minorEastAsia" w:eastAsiaTheme="minorEastAsia"/>
          <w:sz w:val="32"/>
          <w:szCs w:val="32"/>
        </w:rPr>
        <w:t>财政局编制人数为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51</w:t>
      </w:r>
      <w:r>
        <w:rPr>
          <w:rFonts w:cs="仿宋_GB2312" w:asciiTheme="minorEastAsia" w:hAnsiTheme="minorEastAsia" w:eastAsiaTheme="minorEastAsia"/>
          <w:sz w:val="32"/>
          <w:szCs w:val="32"/>
        </w:rPr>
        <w:t>人。年末实有人数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153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人，其中在职在岗人员 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76</w:t>
      </w:r>
      <w:r>
        <w:rPr>
          <w:rFonts w:cs="仿宋_GB2312" w:asciiTheme="minorEastAsia" w:hAnsiTheme="minorEastAsia" w:eastAsiaTheme="minorEastAsia"/>
          <w:sz w:val="32"/>
          <w:szCs w:val="32"/>
        </w:rPr>
        <w:t>，借调本系统人员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cs="仿宋_GB2312" w:asciiTheme="minorEastAsia" w:hAnsiTheme="minorEastAsia" w:eastAsiaTheme="minorEastAsia"/>
          <w:sz w:val="32"/>
          <w:szCs w:val="32"/>
        </w:rPr>
        <w:t>人，退休人员6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cs="仿宋_GB2312" w:asciiTheme="minorEastAsia" w:hAnsiTheme="minorEastAsia" w:eastAsiaTheme="minorEastAsia"/>
          <w:sz w:val="32"/>
          <w:szCs w:val="32"/>
        </w:rPr>
        <w:t>人,单位遗属人员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 w:val="32"/>
          <w:szCs w:val="32"/>
        </w:rPr>
        <w:t>人。内设股室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16</w:t>
      </w:r>
      <w:r>
        <w:rPr>
          <w:rFonts w:cs="仿宋_GB2312" w:asciiTheme="minorEastAsia" w:hAnsiTheme="minorEastAsia" w:eastAsiaTheme="minorEastAsia"/>
          <w:sz w:val="32"/>
          <w:szCs w:val="32"/>
        </w:rPr>
        <w:t>个，</w:t>
      </w:r>
      <w:r>
        <w:rPr>
          <w:rFonts w:ascii="宋体" w:hAnsi="宋体" w:eastAsia="宋体" w:cs="宋体"/>
          <w:sz w:val="32"/>
          <w:szCs w:val="32"/>
        </w:rPr>
        <w:t>分别为办公室（信息办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公室、法规股</w:t>
      </w:r>
      <w:r>
        <w:rPr>
          <w:rFonts w:ascii="宋体" w:hAnsi="宋体" w:eastAsia="宋体" w:cs="宋体"/>
          <w:sz w:val="32"/>
          <w:szCs w:val="32"/>
        </w:rPr>
        <w:t>）、政工股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（会计股）</w:t>
      </w:r>
      <w:r>
        <w:rPr>
          <w:rFonts w:ascii="宋体" w:hAnsi="宋体" w:eastAsia="宋体" w:cs="宋体"/>
          <w:sz w:val="32"/>
          <w:szCs w:val="32"/>
        </w:rPr>
        <w:t>、预算股、综合计划股、经济建设股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（财政投资评审股）、</w:t>
      </w:r>
      <w:r>
        <w:rPr>
          <w:rFonts w:ascii="宋体" w:hAnsi="宋体" w:eastAsia="宋体" w:cs="宋体"/>
          <w:sz w:val="32"/>
          <w:szCs w:val="32"/>
        </w:rPr>
        <w:t>企业外经股、教科文股、金融与债务股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行政政法股、资产管理股、农业农村股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（农村综合改革股）</w:t>
      </w:r>
      <w:r>
        <w:rPr>
          <w:rFonts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国库股（工资统发股）、</w:t>
      </w:r>
      <w:r>
        <w:rPr>
          <w:rFonts w:ascii="宋体" w:hAnsi="宋体" w:eastAsia="宋体" w:cs="宋体"/>
          <w:sz w:val="32"/>
          <w:szCs w:val="32"/>
        </w:rPr>
        <w:t>社保股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（社保办）、采购股、</w:t>
      </w:r>
      <w:r>
        <w:rPr>
          <w:rFonts w:ascii="宋体" w:hAnsi="宋体" w:eastAsia="宋体" w:cs="宋体"/>
          <w:sz w:val="32"/>
          <w:szCs w:val="32"/>
        </w:rPr>
        <w:t>监督股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（绩效评价股）、乡镇财政管理股。</w:t>
      </w:r>
      <w:r>
        <w:rPr>
          <w:rFonts w:ascii="宋体" w:hAnsi="宋体" w:eastAsia="宋体" w:cs="宋体"/>
          <w:sz w:val="32"/>
          <w:szCs w:val="32"/>
        </w:rPr>
        <w:t>财务一起核算的二级机构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即</w:t>
      </w:r>
      <w:r>
        <w:rPr>
          <w:rFonts w:ascii="宋体" w:hAnsi="宋体" w:eastAsia="宋体" w:cs="宋体"/>
          <w:sz w:val="32"/>
          <w:szCs w:val="32"/>
        </w:rPr>
        <w:t>政府采购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服务中心。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color w:val="333333"/>
          <w:szCs w:val="32"/>
        </w:rPr>
      </w:pPr>
      <w:r>
        <w:rPr>
          <w:rFonts w:cs="仿宋_GB2312" w:asciiTheme="minorEastAsia" w:hAnsiTheme="minorEastAsia" w:eastAsiaTheme="minorEastAsia"/>
          <w:b/>
          <w:bCs/>
          <w:color w:val="333333"/>
          <w:szCs w:val="32"/>
        </w:rPr>
        <w:t>（二）、单位主要职责</w:t>
      </w:r>
    </w:p>
    <w:p>
      <w:pPr>
        <w:widowControl/>
        <w:shd w:val="clear" w:color="auto" w:fill="FFFFFF"/>
        <w:spacing w:line="640" w:lineRule="exact"/>
        <w:ind w:firstLine="480" w:firstLineChars="15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（一）拟定和执行全市财政、税收的发展战略、中长期规划改革方案；参与制定有关综合经济政策；提出运用财税政策实施市级调控和综合平衡社会财力的建议；拟订和执行市级与乡镇、财政与企业的分配政策。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（二）拟定财政、财务、会计管理的地方规范性文件；制定和执行全市财政、财务、会计管理规章制度。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（三）编制年度市级预决算草案并组织执行；受市人民政府委托，向市人民代表大会报告市级预算及执行情况，向市人大常委会报告决算；管理上级拨款和本级财政收支；会同物价部门审核行政事业性收费项目，参与审核行政事业性收费标准；负责承办有关政策性基金审核、报批的事项；负责全市预算资金管理工作；管理市级预算外资金财政专户；管理有关政府性基金、附加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（四）根据预算安排，确定财政税收收入计划，并组织实施管理和监督。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（五）管理由市级财政承担的基本建设支出、农业支出、工商贸易性支出和公共支出等；拟定全市政府采购管理办法，指导、监督、检查全市政府采购工作。</w:t>
      </w:r>
      <w:r>
        <w:rPr>
          <w:rFonts w:cs="仿宋_GB2312" w:asciiTheme="minorEastAsia" w:hAnsiTheme="minorEastAsia" w:eastAsiaTheme="minorEastAsia"/>
          <w:szCs w:val="32"/>
        </w:rPr>
        <w:br w:type="textWrapping"/>
      </w:r>
      <w:r>
        <w:rPr>
          <w:rFonts w:cs="仿宋_GB2312" w:asciiTheme="minorEastAsia" w:hAnsiTheme="minorEastAsia" w:eastAsiaTheme="minorEastAsia"/>
          <w:szCs w:val="32"/>
        </w:rPr>
        <w:t xml:space="preserve">    （六）参与全市社会保障制度和政策、行政措施的研究制定；分配和管理市级社会保障资金；监督社会保障资金的使用；管理市级社会保障资金财政专户。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（七）负责全市行政、事业和企业单位的财政监督，监督财税方针政策、法律法规的执行情况； 检查监督本级预算收入征收部门征收各项预算收入情况，检查财政支出管理中的重大问题，提出加强财政管理的政策建议。     </w:t>
      </w:r>
    </w:p>
    <w:p>
      <w:pPr>
        <w:widowControl/>
        <w:shd w:val="clear" w:color="auto" w:fill="FFFFFF"/>
        <w:spacing w:line="640" w:lineRule="exact"/>
        <w:ind w:firstLine="320" w:firstLineChars="1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 （八）负责全市机关事业单位国有资产管理，资产增减变动的审批，国有非经营性资产转为经营性国有资产的审批及其占用费的征收；监缴国有资产收益；负责实施企业绩效评价、国有资本保值增值的考核；负责国有资本金的管理和评估项目的管理。</w:t>
      </w:r>
    </w:p>
    <w:p>
      <w:pPr>
        <w:widowControl/>
        <w:shd w:val="clear" w:color="auto" w:fill="FFFFFF"/>
        <w:spacing w:line="640" w:lineRule="exact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 xml:space="preserve">    （九）完成市委、市政府交办的其他任务。   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二、202</w:t>
      </w:r>
      <w:r>
        <w:rPr>
          <w:rFonts w:hint="eastAsia" w:cs="仿宋_GB2312" w:asciiTheme="minorEastAsia" w:hAnsiTheme="minorEastAsia" w:eastAsiaTheme="minorEastAsia"/>
          <w:b/>
          <w:bCs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b/>
          <w:bCs/>
          <w:szCs w:val="32"/>
        </w:rPr>
        <w:t>年整体收支情况</w:t>
      </w:r>
    </w:p>
    <w:p>
      <w:pPr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</w:rPr>
        <w:t>年度一般公共预算财政拨款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收入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2603.77</w:t>
      </w:r>
      <w:r>
        <w:rPr>
          <w:rFonts w:cs="仿宋_GB2312" w:asciiTheme="minorEastAsia" w:hAnsiTheme="minorEastAsia" w:eastAsiaTheme="minorEastAsia"/>
          <w:szCs w:val="32"/>
        </w:rPr>
        <w:t>万元，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其他收入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1.32万元，</w:t>
      </w:r>
      <w:r>
        <w:rPr>
          <w:rFonts w:cs="仿宋_GB2312" w:asciiTheme="minorEastAsia" w:hAnsiTheme="minorEastAsia" w:eastAsiaTheme="minorEastAsia"/>
          <w:szCs w:val="32"/>
        </w:rPr>
        <w:t>本年支出合计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2605.09</w:t>
      </w:r>
      <w:r>
        <w:rPr>
          <w:rFonts w:cs="仿宋_GB2312" w:asciiTheme="minorEastAsia" w:hAnsiTheme="minorEastAsia" w:eastAsiaTheme="minorEastAsia"/>
          <w:szCs w:val="32"/>
        </w:rPr>
        <w:t>万元，年末结转和结余0元。</w:t>
      </w:r>
    </w:p>
    <w:p>
      <w:pPr>
        <w:spacing w:line="640" w:lineRule="exact"/>
        <w:ind w:firstLine="640" w:firstLineChars="20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</w:rPr>
        <w:t>年度基本支出总计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2605.09</w:t>
      </w:r>
      <w:r>
        <w:rPr>
          <w:rFonts w:cs="仿宋_GB2312" w:asciiTheme="minorEastAsia" w:hAnsiTheme="minorEastAsia" w:eastAsiaTheme="minorEastAsia"/>
          <w:szCs w:val="32"/>
        </w:rPr>
        <w:t>万元。其中一般公共预算财政拨款收入支出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2603.77</w:t>
      </w:r>
      <w:r>
        <w:rPr>
          <w:rFonts w:cs="仿宋_GB2312" w:asciiTheme="minorEastAsia" w:hAnsiTheme="minorEastAsia" w:eastAsiaTheme="minorEastAsia"/>
          <w:szCs w:val="32"/>
        </w:rPr>
        <w:t>万元，具体为</w:t>
      </w:r>
      <w:r>
        <w:rPr>
          <w:rFonts w:cs="仿宋_GB2312" w:asciiTheme="minorEastAsia" w:hAnsiTheme="minorEastAsia" w:eastAsiaTheme="minorEastAsia"/>
          <w:b/>
          <w:bCs/>
          <w:szCs w:val="32"/>
        </w:rPr>
        <w:t>人员经费1</w:t>
      </w:r>
      <w:r>
        <w:rPr>
          <w:rFonts w:hint="eastAsia" w:cs="仿宋_GB2312" w:asciiTheme="minorEastAsia" w:hAnsiTheme="minorEastAsia" w:eastAsiaTheme="minorEastAsia"/>
          <w:b/>
          <w:bCs/>
          <w:szCs w:val="32"/>
          <w:lang w:val="en-US" w:eastAsia="zh-CN"/>
        </w:rPr>
        <w:t>502.35</w:t>
      </w:r>
      <w:r>
        <w:rPr>
          <w:rFonts w:cs="仿宋_GB2312" w:asciiTheme="minorEastAsia" w:hAnsiTheme="minorEastAsia" w:eastAsiaTheme="minorEastAsia"/>
          <w:b/>
          <w:bCs/>
          <w:szCs w:val="32"/>
        </w:rPr>
        <w:t>万元，</w:t>
      </w:r>
      <w:r>
        <w:rPr>
          <w:rFonts w:cs="仿宋_GB2312" w:asciiTheme="minorEastAsia" w:hAnsiTheme="minorEastAsia" w:eastAsiaTheme="minorEastAsia"/>
          <w:szCs w:val="32"/>
        </w:rPr>
        <w:t>包括在职和离退休人员基本工资、津贴补贴、奖金、伙食补助费、社保缴费、公积金、其他工资福利、对个人和家庭的补助等经费，其中基本工资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511.88</w:t>
      </w:r>
      <w:r>
        <w:rPr>
          <w:rFonts w:cs="仿宋_GB2312" w:asciiTheme="minorEastAsia" w:hAnsiTheme="minorEastAsia" w:eastAsiaTheme="minorEastAsia"/>
          <w:szCs w:val="32"/>
        </w:rPr>
        <w:t>万元、津贴补贴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41.38</w:t>
      </w:r>
      <w:bookmarkStart w:id="0" w:name="_GoBack"/>
      <w:bookmarkEnd w:id="0"/>
      <w:r>
        <w:rPr>
          <w:rFonts w:cs="仿宋_GB2312" w:asciiTheme="minorEastAsia" w:hAnsiTheme="minorEastAsia" w:eastAsiaTheme="minorEastAsia"/>
          <w:szCs w:val="32"/>
        </w:rPr>
        <w:t>万元、奖金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246.58</w:t>
      </w:r>
      <w:r>
        <w:rPr>
          <w:rFonts w:cs="仿宋_GB2312" w:asciiTheme="minorEastAsia" w:hAnsiTheme="minorEastAsia" w:eastAsiaTheme="minorEastAsia"/>
          <w:szCs w:val="32"/>
        </w:rPr>
        <w:t>万元、伙食补助费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36.18</w:t>
      </w:r>
      <w:r>
        <w:rPr>
          <w:rFonts w:cs="仿宋_GB2312" w:asciiTheme="minorEastAsia" w:hAnsiTheme="minorEastAsia" w:eastAsiaTheme="minorEastAsia"/>
          <w:szCs w:val="32"/>
        </w:rPr>
        <w:t>万元、社保缴费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76.71</w:t>
      </w:r>
      <w:r>
        <w:rPr>
          <w:rFonts w:cs="仿宋_GB2312" w:asciiTheme="minorEastAsia" w:hAnsiTheme="minorEastAsia" w:eastAsiaTheme="minorEastAsia"/>
          <w:szCs w:val="32"/>
        </w:rPr>
        <w:t>万元、其他工资福利支出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448.99</w:t>
      </w:r>
      <w:r>
        <w:rPr>
          <w:rFonts w:cs="仿宋_GB2312" w:asciiTheme="minorEastAsia" w:hAnsiTheme="minorEastAsia" w:eastAsiaTheme="minorEastAsia"/>
          <w:szCs w:val="32"/>
        </w:rPr>
        <w:t>万元(包含乡镇财政所干部职工19年度各项考核奖励支出）、对个人和家庭的补助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94.12</w:t>
      </w:r>
      <w:r>
        <w:rPr>
          <w:rFonts w:cs="仿宋_GB2312" w:asciiTheme="minorEastAsia" w:hAnsiTheme="minorEastAsia" w:eastAsiaTheme="minorEastAsia"/>
          <w:szCs w:val="32"/>
        </w:rPr>
        <w:t>万元；</w:t>
      </w:r>
      <w:r>
        <w:rPr>
          <w:rFonts w:cs="仿宋_GB2312" w:asciiTheme="minorEastAsia" w:hAnsiTheme="minorEastAsia" w:eastAsiaTheme="minorEastAsia"/>
          <w:b/>
          <w:bCs/>
          <w:szCs w:val="32"/>
        </w:rPr>
        <w:t>公用经费</w:t>
      </w:r>
      <w:r>
        <w:rPr>
          <w:rFonts w:hint="eastAsia" w:cs="仿宋_GB2312" w:asciiTheme="minorEastAsia" w:hAnsiTheme="minorEastAsia" w:eastAsiaTheme="minorEastAsia"/>
          <w:b/>
          <w:bCs/>
          <w:szCs w:val="32"/>
          <w:lang w:val="en-US" w:eastAsia="zh-CN"/>
        </w:rPr>
        <w:t>1101.42</w:t>
      </w:r>
      <w:r>
        <w:rPr>
          <w:rFonts w:cs="仿宋_GB2312" w:asciiTheme="minorEastAsia" w:hAnsiTheme="minorEastAsia" w:eastAsiaTheme="minorEastAsia"/>
          <w:b/>
          <w:bCs/>
          <w:szCs w:val="32"/>
        </w:rPr>
        <w:t>万元</w:t>
      </w:r>
      <w:r>
        <w:rPr>
          <w:rFonts w:cs="仿宋_GB2312" w:asciiTheme="minorEastAsia" w:hAnsiTheme="minorEastAsia" w:eastAsiaTheme="minorEastAsia"/>
          <w:szCs w:val="32"/>
        </w:rPr>
        <w:t>，包括办公费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60.16</w:t>
      </w:r>
      <w:r>
        <w:rPr>
          <w:rFonts w:cs="仿宋_GB2312" w:asciiTheme="minorEastAsia" w:hAnsiTheme="minorEastAsia" w:eastAsiaTheme="minorEastAsia"/>
          <w:szCs w:val="32"/>
        </w:rPr>
        <w:t>万元、印刷费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70.84</w:t>
      </w:r>
      <w:r>
        <w:rPr>
          <w:rFonts w:cs="仿宋_GB2312" w:asciiTheme="minorEastAsia" w:hAnsiTheme="minorEastAsia" w:eastAsiaTheme="minorEastAsia"/>
          <w:szCs w:val="32"/>
        </w:rPr>
        <w:t>万元、水电费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31.51</w:t>
      </w:r>
      <w:r>
        <w:rPr>
          <w:rFonts w:cs="仿宋_GB2312" w:asciiTheme="minorEastAsia" w:hAnsiTheme="minorEastAsia" w:eastAsiaTheme="minorEastAsia"/>
          <w:szCs w:val="32"/>
        </w:rPr>
        <w:t>万元、差旅费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211.68</w:t>
      </w:r>
      <w:r>
        <w:rPr>
          <w:rFonts w:cs="仿宋_GB2312" w:asciiTheme="minorEastAsia" w:hAnsiTheme="minorEastAsia" w:eastAsiaTheme="minorEastAsia"/>
          <w:szCs w:val="32"/>
        </w:rPr>
        <w:t>万元、租赁费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3.42</w:t>
      </w:r>
      <w:r>
        <w:rPr>
          <w:rFonts w:cs="仿宋_GB2312" w:asciiTheme="minorEastAsia" w:hAnsiTheme="minorEastAsia" w:eastAsiaTheme="minorEastAsia"/>
          <w:szCs w:val="32"/>
        </w:rPr>
        <w:t>万元、会议费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5.74</w:t>
      </w:r>
      <w:r>
        <w:rPr>
          <w:rFonts w:cs="仿宋_GB2312" w:asciiTheme="minorEastAsia" w:hAnsiTheme="minorEastAsia" w:eastAsiaTheme="minorEastAsia"/>
          <w:szCs w:val="32"/>
        </w:rPr>
        <w:t>万元、培训费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5.35</w:t>
      </w:r>
      <w:r>
        <w:rPr>
          <w:rFonts w:cs="仿宋_GB2312" w:asciiTheme="minorEastAsia" w:hAnsiTheme="minorEastAsia" w:eastAsiaTheme="minorEastAsia"/>
          <w:szCs w:val="32"/>
        </w:rPr>
        <w:t>万元、劳务费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24.3</w:t>
      </w:r>
      <w:r>
        <w:rPr>
          <w:rFonts w:cs="仿宋_GB2312" w:asciiTheme="minorEastAsia" w:hAnsiTheme="minorEastAsia" w:eastAsiaTheme="minorEastAsia"/>
          <w:szCs w:val="32"/>
        </w:rPr>
        <w:t>万元、委托业务费17.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00</w:t>
      </w:r>
      <w:r>
        <w:rPr>
          <w:rFonts w:cs="仿宋_GB2312" w:asciiTheme="minorEastAsia" w:hAnsiTheme="minorEastAsia" w:eastAsiaTheme="minorEastAsia"/>
          <w:szCs w:val="32"/>
        </w:rPr>
        <w:t>万元、工会经费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78.48</w:t>
      </w:r>
      <w:r>
        <w:rPr>
          <w:rFonts w:cs="仿宋_GB2312" w:asciiTheme="minorEastAsia" w:hAnsiTheme="minorEastAsia" w:eastAsiaTheme="minorEastAsia"/>
          <w:szCs w:val="32"/>
        </w:rPr>
        <w:t>万元、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其他交通费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83.79万元、</w:t>
      </w:r>
      <w:r>
        <w:rPr>
          <w:rFonts w:cs="仿宋_GB2312" w:asciiTheme="minorEastAsia" w:hAnsiTheme="minorEastAsia" w:eastAsiaTheme="minorEastAsia"/>
          <w:szCs w:val="32"/>
        </w:rPr>
        <w:t>其他商品和服务费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443.71</w:t>
      </w:r>
      <w:r>
        <w:rPr>
          <w:rFonts w:cs="仿宋_GB2312" w:asciiTheme="minorEastAsia" w:hAnsiTheme="minorEastAsia" w:eastAsiaTheme="minorEastAsia"/>
          <w:szCs w:val="32"/>
        </w:rPr>
        <w:t>万元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（含成立惠农担服务公司保证金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250万元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）</w:t>
      </w:r>
      <w:r>
        <w:rPr>
          <w:rFonts w:cs="仿宋_GB2312" w:asciiTheme="minorEastAsia" w:hAnsiTheme="minorEastAsia" w:eastAsiaTheme="minorEastAsia"/>
          <w:szCs w:val="32"/>
        </w:rPr>
        <w:t>；办公设备购置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13.60</w:t>
      </w:r>
      <w:r>
        <w:rPr>
          <w:rFonts w:cs="仿宋_GB2312" w:asciiTheme="minorEastAsia" w:hAnsiTheme="minorEastAsia" w:eastAsiaTheme="minorEastAsia"/>
          <w:szCs w:val="32"/>
        </w:rPr>
        <w:t>万元，保证了局机关的正常运转。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三、资金使用及管理情况</w:t>
      </w:r>
    </w:p>
    <w:p>
      <w:pPr>
        <w:spacing w:line="640" w:lineRule="exact"/>
        <w:ind w:firstLine="707" w:firstLineChars="221"/>
        <w:rPr>
          <w:rFonts w:hint="default" w:cs="仿宋_GB2312" w:asciiTheme="minorEastAsia" w:hAnsiTheme="minorEastAsia" w:eastAsiaTheme="minorEastAsia"/>
          <w:color w:val="333333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坚持依法理财、厉行节约、均衡使用、科学管理的原则，严格执行国家相关法律法规和财政纪律，确保招待费、会议费、培训费、交通运行费压减比例低于纪委、审计局确定的</w:t>
      </w:r>
      <w:r>
        <w:rPr>
          <w:rFonts w:cs="仿宋_GB2312" w:asciiTheme="minorEastAsia" w:hAnsiTheme="minorEastAsia" w:eastAsiaTheme="minorEastAsia"/>
          <w:color w:val="333333"/>
          <w:szCs w:val="32"/>
        </w:rPr>
        <w:t>管控目标和要求。严格控制“三公经费”的开支，使各项资金得到合理使用，全局工作得到积极有效的开展。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四、组织实施情况</w:t>
      </w:r>
    </w:p>
    <w:p>
      <w:pPr>
        <w:widowControl/>
        <w:spacing w:line="640" w:lineRule="exact"/>
        <w:ind w:firstLine="640"/>
        <w:rPr>
          <w:rFonts w:hint="default" w:cs="仿宋_GB2312" w:asciiTheme="minorEastAsia" w:hAnsiTheme="minorEastAsia" w:eastAsiaTheme="minorEastAsia"/>
          <w:color w:val="333333"/>
          <w:szCs w:val="32"/>
        </w:rPr>
      </w:pPr>
      <w:r>
        <w:rPr>
          <w:rFonts w:cs="仿宋_GB2312" w:asciiTheme="minorEastAsia" w:hAnsiTheme="minorEastAsia" w:eastAsiaTheme="minorEastAsia"/>
          <w:color w:val="333333"/>
          <w:szCs w:val="32"/>
        </w:rPr>
        <w:t>为加强财政资金管理，突出资金绩效，我局高度重视预算支出绩效评价工作，成立了以</w:t>
      </w:r>
      <w:r>
        <w:rPr>
          <w:rFonts w:hint="eastAsia" w:cs="仿宋_GB2312" w:asciiTheme="minorEastAsia" w:hAnsiTheme="minorEastAsia" w:eastAsiaTheme="minorEastAsia"/>
          <w:color w:val="333333"/>
          <w:szCs w:val="32"/>
          <w:lang w:eastAsia="zh-CN"/>
        </w:rPr>
        <w:t>张先文</w:t>
      </w:r>
      <w:r>
        <w:rPr>
          <w:rFonts w:cs="仿宋_GB2312" w:asciiTheme="minorEastAsia" w:hAnsiTheme="minorEastAsia" w:eastAsiaTheme="minorEastAsia"/>
          <w:color w:val="333333"/>
          <w:szCs w:val="32"/>
        </w:rPr>
        <w:t>局长为组长，其他局领导为副组长，股室主要负责人为成员的预算支出绩效评价领导小组，年初召开了局党组会议，研讨全局工作职能及资金需求。同时对日常支出，严格执行财务会审制度。</w:t>
      </w:r>
    </w:p>
    <w:p>
      <w:pPr>
        <w:spacing w:line="640" w:lineRule="exact"/>
        <w:ind w:firstLine="710" w:firstLineChars="221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</w:rPr>
        <w:t>五、资金绩效情况</w:t>
      </w:r>
    </w:p>
    <w:p>
      <w:pPr>
        <w:widowControl/>
        <w:shd w:val="clear" w:color="auto" w:fill="FFFFFF"/>
        <w:spacing w:line="640" w:lineRule="exact"/>
        <w:ind w:firstLine="640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color w:val="22222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color w:val="222222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color w:val="222222"/>
          <w:szCs w:val="32"/>
        </w:rPr>
        <w:t>年，根据我局年初工作规划，围绕市委、市政府全面建成小康社会的发展蓝图，积极履职，强化管理，通过加强预算收支管理，不断建立健全内部管理制度，梳理内部管理流程，部门整体支出管理情况得到提升</w:t>
      </w:r>
      <w:r>
        <w:rPr>
          <w:rFonts w:cs="仿宋_GB2312" w:asciiTheme="minorEastAsia" w:hAnsiTheme="minorEastAsia" w:eastAsiaTheme="minorEastAsia"/>
          <w:szCs w:val="32"/>
        </w:rPr>
        <w:t>，全</w:t>
      </w:r>
      <w:r>
        <w:rPr>
          <w:rFonts w:cs="仿宋_GB2312" w:asciiTheme="minorEastAsia" w:hAnsiTheme="minorEastAsia" w:eastAsiaTheme="minorEastAsia"/>
          <w:color w:val="222222"/>
          <w:szCs w:val="32"/>
        </w:rPr>
        <w:t>年均能及时完成工作任务，保证常年性业务正常开展。实际完成率以及完成质量达标率均超出原有预期值，履职效益高，社会公众满意度评价高。根据部门整体支出绩效评价指标体系，本局202</w:t>
      </w:r>
      <w:r>
        <w:rPr>
          <w:rFonts w:hint="eastAsia" w:cs="仿宋_GB2312" w:asciiTheme="minorEastAsia" w:hAnsiTheme="minorEastAsia" w:eastAsiaTheme="minorEastAsia"/>
          <w:color w:val="222222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color w:val="222222"/>
          <w:szCs w:val="32"/>
        </w:rPr>
        <w:t>年度评价得分为</w:t>
      </w:r>
      <w:r>
        <w:rPr>
          <w:rFonts w:hint="eastAsia" w:cs="仿宋_GB2312" w:asciiTheme="minorEastAsia" w:hAnsiTheme="minorEastAsia" w:eastAsiaTheme="minorEastAsia"/>
          <w:color w:val="222222"/>
          <w:szCs w:val="32"/>
          <w:lang w:val="en-US" w:eastAsia="zh-CN"/>
        </w:rPr>
        <w:t>82</w:t>
      </w:r>
      <w:r>
        <w:rPr>
          <w:rFonts w:cs="仿宋_GB2312" w:asciiTheme="minorEastAsia" w:hAnsiTheme="minorEastAsia" w:eastAsiaTheme="minorEastAsia"/>
          <w:color w:val="222222"/>
          <w:szCs w:val="32"/>
        </w:rPr>
        <w:t>分。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  <w:shd w:val="clear" w:color="auto" w:fill="FFFFFF"/>
          <w:lang w:bidi="ar"/>
        </w:rPr>
        <w:t>六、存在的主要问题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1、基本支出中需进一步提高预算编制，继续精细化、合理化。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szCs w:val="32"/>
          <w:shd w:val="clear" w:color="auto" w:fill="FFFFFF"/>
          <w:lang w:bidi="ar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2、内部机构各股室对部门预算认知不足，基础资料搜集整理渠道不清晰。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</w:rPr>
        <w:t>虽然预算最终表现为财务预算，但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需采集大量的基础数据做支撑，集全体之力方可做好。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b/>
          <w:bCs/>
          <w:szCs w:val="32"/>
        </w:rPr>
      </w:pPr>
      <w:r>
        <w:rPr>
          <w:rFonts w:cs="仿宋_GB2312" w:asciiTheme="minorEastAsia" w:hAnsiTheme="minorEastAsia" w:eastAsiaTheme="minorEastAsia"/>
          <w:b/>
          <w:bCs/>
          <w:szCs w:val="32"/>
          <w:shd w:val="clear" w:color="auto" w:fill="FFFFFF"/>
          <w:lang w:bidi="ar"/>
        </w:rPr>
        <w:t>七、整改措施</w:t>
      </w:r>
    </w:p>
    <w:p>
      <w:pPr>
        <w:widowControl/>
        <w:shd w:val="clear" w:color="auto" w:fill="FFFFFF"/>
        <w:spacing w:line="640" w:lineRule="exact"/>
        <w:ind w:firstLine="646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针对上述存在的问题及我局整体支出管理工作的需要，拟实施的改进措施如下：</w:t>
      </w:r>
    </w:p>
    <w:p>
      <w:pPr>
        <w:widowControl/>
        <w:shd w:val="clear" w:color="auto" w:fill="FFFFFF"/>
        <w:spacing w:line="640" w:lineRule="exact"/>
        <w:ind w:firstLine="645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1、预算编制与发展规划相结合，认真做好预算的编制工作。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一方面把预算的编制与单位的发展规划紧密结合起来，确保两者相辅相成，互为基础；另一方面要在预算前，认真细致地开展调研并进行科学论证，确保预算编制有的放矢。进一步加强局内部机构各股室的预算管理意识，严格按照预算编制的相关制度和要求进行预算编制。</w:t>
      </w:r>
    </w:p>
    <w:p>
      <w:pPr>
        <w:widowControl/>
        <w:shd w:val="clear" w:color="auto" w:fill="FFFFFF"/>
        <w:spacing w:line="640" w:lineRule="exact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/>
          <w:szCs w:val="32"/>
          <w:shd w:val="clear" w:color="auto" w:fill="FFFFFF"/>
          <w:lang w:bidi="ar"/>
        </w:rPr>
        <w:t> </w:t>
      </w: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   2、加强财务管理，严格财务审核。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spacing w:line="640" w:lineRule="exact"/>
        <w:ind w:firstLine="642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3、持续抓好“三公”经费控制管理。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spacing w:line="640" w:lineRule="exact"/>
        <w:ind w:firstLine="642"/>
        <w:rPr>
          <w:rFonts w:hint="default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bCs/>
          <w:szCs w:val="32"/>
          <w:shd w:val="clear" w:color="auto" w:fill="FFFFFF"/>
          <w:lang w:bidi="ar"/>
        </w:rPr>
        <w:t>4、全面编制预算项目。</w:t>
      </w:r>
      <w:r>
        <w:rPr>
          <w:rFonts w:cs="仿宋_GB2312" w:asciiTheme="minorEastAsia" w:hAnsiTheme="minorEastAsia" w:eastAsiaTheme="minorEastAsia"/>
          <w:szCs w:val="32"/>
          <w:shd w:val="clear" w:color="auto" w:fill="FFFFFF"/>
          <w:lang w:bidi="ar"/>
        </w:rPr>
        <w:t>优先保障固定性的、相对刚性的费用支出项目，尽量压缩变动性的，进一步提高预算编制的科学性、严谨性和可控性。加强内部预算编制的审核和预算控制指标的下达。</w:t>
      </w:r>
    </w:p>
    <w:sectPr>
      <w:pgSz w:w="11906" w:h="16838"/>
      <w:pgMar w:top="1984" w:right="1701" w:bottom="198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jU1YTNjODQyNmRkNmNkMjk2YTJkZWJmNjg0N2EifQ=="/>
  </w:docVars>
  <w:rsids>
    <w:rsidRoot w:val="53664E95"/>
    <w:rsid w:val="08BF00DA"/>
    <w:rsid w:val="09970B85"/>
    <w:rsid w:val="14F16DBE"/>
    <w:rsid w:val="15117849"/>
    <w:rsid w:val="1B62732A"/>
    <w:rsid w:val="1C361372"/>
    <w:rsid w:val="2B851647"/>
    <w:rsid w:val="43E86ECE"/>
    <w:rsid w:val="45676743"/>
    <w:rsid w:val="48310DFB"/>
    <w:rsid w:val="53664E95"/>
    <w:rsid w:val="553228D9"/>
    <w:rsid w:val="57452F9B"/>
    <w:rsid w:val="7B2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仿宋_GB2312" w:cstheme="minorBidi"/>
      <w:color w:val="000000"/>
      <w:sz w:val="32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2456</Words>
  <Characters>2607</Characters>
  <Lines>0</Lines>
  <Paragraphs>0</Paragraphs>
  <TotalTime>18</TotalTime>
  <ScaleCrop>false</ScaleCrop>
  <LinksUpToDate>false</LinksUpToDate>
  <CharactersWithSpaces>2642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执念</dc:creator>
  <cp:lastModifiedBy>瑞源流长</cp:lastModifiedBy>
  <dcterms:modified xsi:type="dcterms:W3CDTF">2022-09-29T02:57:59Z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856A45702A064593892940343C61C06E</vt:lpwstr>
  </property>
</Properties>
</file>