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atLeast"/>
        <w:rPr>
          <w:rFonts w:hint="eastAsia" w:ascii="仿宋_GB2312" w:hAnsi="仿宋_GB2312" w:eastAsia="仿宋_GB2312" w:cs="仿宋_GB2312"/>
          <w:color w:val="222222"/>
          <w:kern w:val="0"/>
          <w:sz w:val="32"/>
          <w:szCs w:val="32"/>
          <w:highlight w:val="none"/>
        </w:rPr>
      </w:pPr>
      <w:r>
        <w:rPr>
          <w:rFonts w:hint="eastAsia" w:ascii="仿宋_GB2312" w:hAnsi="仿宋_GB2312" w:eastAsia="仿宋_GB2312" w:cs="仿宋_GB2312"/>
          <w:color w:val="222222"/>
          <w:kern w:val="0"/>
          <w:sz w:val="32"/>
          <w:szCs w:val="32"/>
          <w:highlight w:val="none"/>
        </w:rPr>
        <w:t xml:space="preserve">              </w:t>
      </w:r>
    </w:p>
    <w:p>
      <w:pPr>
        <w:keepNext w:val="0"/>
        <w:keepLines w:val="0"/>
        <w:pageBreakBefore w:val="0"/>
        <w:kinsoku/>
        <w:wordWrap/>
        <w:overflowPunct/>
        <w:topLinePunct w:val="0"/>
        <w:autoSpaceDE/>
        <w:autoSpaceDN/>
        <w:bidi w:val="0"/>
        <w:adjustRightInd/>
        <w:snapToGrid/>
        <w:spacing w:line="540" w:lineRule="exact"/>
        <w:ind w:firstLine="362" w:firstLineChars="100"/>
        <w:rPr>
          <w:rFonts w:hint="eastAsia" w:ascii="宋体" w:hAnsi="宋体" w:eastAsia="宋体" w:cs="宋体"/>
          <w:b/>
          <w:bCs/>
          <w:color w:val="222222"/>
          <w:w w:val="82"/>
          <w:kern w:val="0"/>
          <w:sz w:val="44"/>
          <w:szCs w:val="44"/>
        </w:rPr>
      </w:pPr>
      <w:r>
        <w:rPr>
          <w:rFonts w:hint="eastAsia" w:ascii="宋体" w:hAnsi="宋体" w:eastAsia="宋体" w:cs="宋体"/>
          <w:b/>
          <w:bCs/>
          <w:color w:val="222222"/>
          <w:w w:val="82"/>
          <w:kern w:val="0"/>
          <w:sz w:val="44"/>
          <w:szCs w:val="44"/>
          <w:lang w:val="en-US" w:eastAsia="zh-CN"/>
        </w:rPr>
        <w:t>202</w:t>
      </w:r>
      <w:r>
        <w:rPr>
          <w:rFonts w:hint="eastAsia" w:ascii="宋体" w:hAnsi="宋体" w:cs="宋体"/>
          <w:b/>
          <w:bCs/>
          <w:color w:val="222222"/>
          <w:w w:val="82"/>
          <w:kern w:val="0"/>
          <w:sz w:val="44"/>
          <w:szCs w:val="44"/>
          <w:lang w:val="en-US" w:eastAsia="zh-CN"/>
        </w:rPr>
        <w:t>1</w:t>
      </w:r>
      <w:r>
        <w:rPr>
          <w:rFonts w:hint="eastAsia" w:ascii="宋体" w:hAnsi="宋体" w:eastAsia="宋体" w:cs="宋体"/>
          <w:b/>
          <w:bCs/>
          <w:color w:val="222222"/>
          <w:w w:val="82"/>
          <w:kern w:val="0"/>
          <w:sz w:val="44"/>
          <w:szCs w:val="44"/>
          <w:lang w:val="en-US" w:eastAsia="zh-CN"/>
        </w:rPr>
        <w:t>年度武冈市</w:t>
      </w:r>
      <w:r>
        <w:rPr>
          <w:rFonts w:hint="eastAsia" w:ascii="宋体" w:hAnsi="宋体" w:cs="宋体"/>
          <w:b/>
          <w:bCs/>
          <w:color w:val="222222"/>
          <w:w w:val="82"/>
          <w:kern w:val="0"/>
          <w:sz w:val="44"/>
          <w:szCs w:val="44"/>
          <w:lang w:val="en-US" w:eastAsia="zh-CN"/>
        </w:rPr>
        <w:t>融媒体中心</w:t>
      </w:r>
      <w:r>
        <w:rPr>
          <w:rFonts w:hint="eastAsia" w:ascii="宋体" w:hAnsi="宋体" w:eastAsia="宋体" w:cs="宋体"/>
          <w:b/>
          <w:bCs/>
          <w:color w:val="222222"/>
          <w:w w:val="82"/>
          <w:kern w:val="0"/>
          <w:sz w:val="44"/>
          <w:szCs w:val="44"/>
        </w:rPr>
        <w:t>整体支出绩效评价</w:t>
      </w:r>
      <w:bookmarkStart w:id="0" w:name="_GoBack"/>
      <w:bookmarkEnd w:id="0"/>
    </w:p>
    <w:p>
      <w:pPr>
        <w:keepNext w:val="0"/>
        <w:keepLines w:val="0"/>
        <w:pageBreakBefore w:val="0"/>
        <w:kinsoku/>
        <w:wordWrap/>
        <w:overflowPunct/>
        <w:topLinePunct w:val="0"/>
        <w:autoSpaceDE/>
        <w:autoSpaceDN/>
        <w:bidi w:val="0"/>
        <w:adjustRightInd/>
        <w:snapToGrid/>
        <w:spacing w:line="540" w:lineRule="exact"/>
        <w:jc w:val="center"/>
        <w:rPr>
          <w:rFonts w:hint="eastAsia" w:ascii="宋体" w:hAnsi="宋体" w:eastAsia="宋体" w:cs="宋体"/>
          <w:b/>
          <w:bCs/>
          <w:color w:val="222222"/>
          <w:w w:val="82"/>
          <w:kern w:val="0"/>
          <w:sz w:val="44"/>
          <w:szCs w:val="44"/>
        </w:rPr>
      </w:pPr>
      <w:r>
        <w:rPr>
          <w:rFonts w:hint="eastAsia" w:ascii="宋体" w:hAnsi="宋体" w:eastAsia="宋体" w:cs="宋体"/>
          <w:b/>
          <w:bCs/>
          <w:color w:val="222222"/>
          <w:w w:val="82"/>
          <w:kern w:val="0"/>
          <w:sz w:val="44"/>
          <w:szCs w:val="44"/>
        </w:rPr>
        <w:t>报</w:t>
      </w:r>
      <w:r>
        <w:rPr>
          <w:rFonts w:hint="eastAsia" w:ascii="宋体" w:hAnsi="宋体" w:eastAsia="宋体" w:cs="宋体"/>
          <w:b/>
          <w:bCs/>
          <w:color w:val="222222"/>
          <w:w w:val="82"/>
          <w:kern w:val="0"/>
          <w:sz w:val="44"/>
          <w:szCs w:val="44"/>
          <w:lang w:val="en-US" w:eastAsia="zh-CN"/>
        </w:rPr>
        <w:t xml:space="preserve">      </w:t>
      </w:r>
      <w:r>
        <w:rPr>
          <w:rFonts w:hint="eastAsia" w:ascii="宋体" w:hAnsi="宋体" w:eastAsia="宋体" w:cs="宋体"/>
          <w:b/>
          <w:bCs/>
          <w:color w:val="222222"/>
          <w:w w:val="82"/>
          <w:kern w:val="0"/>
          <w:sz w:val="44"/>
          <w:szCs w:val="44"/>
        </w:rPr>
        <w:t>告</w:t>
      </w:r>
    </w:p>
    <w:p>
      <w:pPr>
        <w:keepNext w:val="0"/>
        <w:keepLines w:val="0"/>
        <w:pageBreakBefore w:val="0"/>
        <w:kinsoku/>
        <w:wordWrap/>
        <w:overflowPunct/>
        <w:topLinePunct w:val="0"/>
        <w:autoSpaceDE/>
        <w:autoSpaceDN/>
        <w:bidi w:val="0"/>
        <w:adjustRightInd/>
        <w:snapToGrid/>
        <w:spacing w:line="540" w:lineRule="exact"/>
        <w:jc w:val="center"/>
        <w:rPr>
          <w:rFonts w:hint="eastAsia" w:ascii="宋体" w:hAnsi="宋体" w:eastAsia="宋体" w:cs="宋体"/>
          <w:b/>
          <w:bCs/>
          <w:color w:val="222222"/>
          <w:w w:val="82"/>
          <w:kern w:val="0"/>
          <w:sz w:val="44"/>
          <w:szCs w:val="44"/>
        </w:rPr>
      </w:pPr>
    </w:p>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市财政局：</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按照市财政局关于绩效评价文件要求，现将我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部门整体支出绩效评价情况报告如下：</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黑体" w:hAnsi="黑体" w:eastAsia="黑体" w:cs="黑体"/>
          <w:color w:val="222222"/>
          <w:kern w:val="0"/>
          <w:sz w:val="32"/>
          <w:szCs w:val="32"/>
        </w:rPr>
        <w:t>一、基本情况</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楷体" w:hAnsi="楷体" w:eastAsia="楷体" w:cs="楷体"/>
          <w:color w:val="222222"/>
          <w:kern w:val="0"/>
          <w:sz w:val="32"/>
          <w:szCs w:val="32"/>
        </w:rPr>
      </w:pPr>
      <w:r>
        <w:rPr>
          <w:rFonts w:hint="eastAsia" w:ascii="楷体" w:hAnsi="楷体" w:eastAsia="楷体" w:cs="楷体"/>
          <w:b/>
          <w:bCs/>
          <w:color w:val="222222"/>
          <w:kern w:val="0"/>
          <w:sz w:val="32"/>
          <w:szCs w:val="32"/>
        </w:rPr>
        <w:t>（一） 机构、人员构成</w:t>
      </w:r>
    </w:p>
    <w:p>
      <w:pPr>
        <w:keepNext w:val="0"/>
        <w:keepLines w:val="0"/>
        <w:pageBreakBefore w:val="0"/>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根据</w:t>
      </w:r>
      <w:r>
        <w:rPr>
          <w:rFonts w:hint="eastAsia" w:ascii="仿宋" w:hAnsi="仿宋" w:eastAsia="仿宋" w:cs="仿宋"/>
          <w:sz w:val="32"/>
          <w:szCs w:val="32"/>
          <w:lang w:val="en-US" w:eastAsia="zh-CN"/>
        </w:rPr>
        <w:t>2020年10月</w:t>
      </w:r>
      <w:r>
        <w:rPr>
          <w:rFonts w:hint="eastAsia" w:ascii="仿宋" w:hAnsi="仿宋" w:eastAsia="仿宋" w:cs="仿宋"/>
          <w:sz w:val="32"/>
          <w:szCs w:val="32"/>
          <w:lang w:eastAsia="zh-CN"/>
        </w:rPr>
        <w:t>武编办发〔</w:t>
      </w:r>
      <w:r>
        <w:rPr>
          <w:rFonts w:hint="eastAsia" w:ascii="仿宋" w:hAnsi="仿宋" w:eastAsia="仿宋" w:cs="仿宋"/>
          <w:sz w:val="32"/>
          <w:szCs w:val="32"/>
          <w:lang w:val="en-US" w:eastAsia="zh-CN"/>
        </w:rPr>
        <w:t>2020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80号文件精神并报邵阳市委编办批准（邵阳编办</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104号），同意将武冈市广播电视台、武冈市新闻中心的有关职责整合，组建武冈市融媒体中心，为市委直属正科级财政全额拨款公益一类事业单位。内设有</w:t>
      </w:r>
      <w:r>
        <w:rPr>
          <w:rFonts w:hint="eastAsia" w:ascii="仿宋" w:hAnsi="仿宋" w:eastAsia="仿宋" w:cs="仿宋"/>
          <w:sz w:val="32"/>
          <w:szCs w:val="32"/>
        </w:rPr>
        <w:t>办公室、总编室、人</w:t>
      </w:r>
      <w:r>
        <w:rPr>
          <w:rFonts w:hint="eastAsia" w:ascii="仿宋" w:hAnsi="仿宋" w:eastAsia="仿宋" w:cs="仿宋"/>
          <w:sz w:val="32"/>
          <w:szCs w:val="32"/>
          <w:lang w:eastAsia="zh-CN"/>
        </w:rPr>
        <w:t>力资源部、</w:t>
      </w:r>
      <w:r>
        <w:rPr>
          <w:rFonts w:hint="eastAsia" w:ascii="仿宋" w:hAnsi="仿宋" w:eastAsia="仿宋" w:cs="仿宋"/>
          <w:sz w:val="32"/>
          <w:szCs w:val="32"/>
        </w:rPr>
        <w:t>财务</w:t>
      </w:r>
      <w:r>
        <w:rPr>
          <w:rFonts w:hint="eastAsia" w:ascii="仿宋" w:hAnsi="仿宋" w:eastAsia="仿宋" w:cs="仿宋"/>
          <w:sz w:val="32"/>
          <w:szCs w:val="32"/>
          <w:lang w:eastAsia="zh-CN"/>
        </w:rPr>
        <w:t>部、</w:t>
      </w:r>
      <w:r>
        <w:rPr>
          <w:rFonts w:hint="eastAsia" w:ascii="仿宋" w:hAnsi="仿宋" w:eastAsia="仿宋" w:cs="仿宋"/>
          <w:sz w:val="32"/>
          <w:szCs w:val="32"/>
        </w:rPr>
        <w:t>新闻</w:t>
      </w:r>
      <w:r>
        <w:rPr>
          <w:rFonts w:hint="eastAsia" w:ascii="仿宋" w:hAnsi="仿宋" w:eastAsia="仿宋" w:cs="仿宋"/>
          <w:sz w:val="32"/>
          <w:szCs w:val="32"/>
          <w:lang w:eastAsia="zh-CN"/>
        </w:rPr>
        <w:t>采访</w:t>
      </w:r>
      <w:r>
        <w:rPr>
          <w:rFonts w:hint="eastAsia" w:ascii="仿宋" w:hAnsi="仿宋" w:eastAsia="仿宋" w:cs="仿宋"/>
          <w:sz w:val="32"/>
          <w:szCs w:val="32"/>
        </w:rPr>
        <w:t>部、</w:t>
      </w:r>
      <w:r>
        <w:rPr>
          <w:rFonts w:hint="eastAsia" w:ascii="仿宋" w:hAnsi="仿宋" w:eastAsia="仿宋" w:cs="仿宋"/>
          <w:sz w:val="32"/>
          <w:szCs w:val="32"/>
          <w:lang w:eastAsia="zh-CN"/>
        </w:rPr>
        <w:t>全媒体编辑制作部、新媒体发展部、</w:t>
      </w:r>
      <w:r>
        <w:rPr>
          <w:rFonts w:hint="eastAsia" w:ascii="仿宋" w:hAnsi="仿宋" w:eastAsia="仿宋" w:cs="仿宋"/>
          <w:sz w:val="32"/>
          <w:szCs w:val="32"/>
        </w:rPr>
        <w:t>技术</w:t>
      </w:r>
      <w:r>
        <w:rPr>
          <w:rFonts w:hint="eastAsia" w:ascii="仿宋" w:hAnsi="仿宋" w:eastAsia="仿宋" w:cs="仿宋"/>
          <w:sz w:val="32"/>
          <w:szCs w:val="32"/>
          <w:lang w:eastAsia="zh-CN"/>
        </w:rPr>
        <w:t>安全保障</w:t>
      </w:r>
      <w:r>
        <w:rPr>
          <w:rFonts w:hint="eastAsia" w:ascii="仿宋" w:hAnsi="仿宋" w:eastAsia="仿宋" w:cs="仿宋"/>
          <w:sz w:val="32"/>
          <w:szCs w:val="32"/>
        </w:rPr>
        <w:t>部、</w:t>
      </w:r>
      <w:r>
        <w:rPr>
          <w:rFonts w:hint="eastAsia" w:ascii="仿宋" w:hAnsi="仿宋" w:eastAsia="仿宋" w:cs="仿宋"/>
          <w:sz w:val="32"/>
          <w:szCs w:val="32"/>
          <w:lang w:eastAsia="zh-CN"/>
        </w:rPr>
        <w:t>产业发展部</w:t>
      </w:r>
      <w:r>
        <w:rPr>
          <w:rFonts w:hint="eastAsia" w:ascii="仿宋" w:hAnsi="仿宋" w:eastAsia="仿宋" w:cs="仿宋"/>
          <w:sz w:val="32"/>
          <w:szCs w:val="32"/>
          <w:lang w:val="en-US" w:eastAsia="zh-CN"/>
        </w:rPr>
        <w:t>9</w:t>
      </w:r>
      <w:r>
        <w:rPr>
          <w:rFonts w:hint="eastAsia" w:ascii="仿宋" w:hAnsi="仿宋" w:eastAsia="仿宋" w:cs="仿宋"/>
          <w:sz w:val="32"/>
          <w:szCs w:val="32"/>
        </w:rPr>
        <w:t>个股</w:t>
      </w:r>
      <w:r>
        <w:rPr>
          <w:rFonts w:hint="eastAsia" w:ascii="仿宋" w:hAnsi="仿宋" w:eastAsia="仿宋" w:cs="仿宋"/>
          <w:sz w:val="32"/>
          <w:szCs w:val="32"/>
          <w:lang w:eastAsia="zh-CN"/>
        </w:rPr>
        <w:t>（部）</w:t>
      </w:r>
      <w:r>
        <w:rPr>
          <w:rFonts w:hint="eastAsia" w:ascii="仿宋" w:hAnsi="仿宋" w:eastAsia="仿宋" w:cs="仿宋"/>
          <w:sz w:val="32"/>
          <w:szCs w:val="32"/>
        </w:rPr>
        <w:t>室</w:t>
      </w:r>
      <w:r>
        <w:rPr>
          <w:rFonts w:hint="eastAsia" w:ascii="仿宋" w:hAnsi="仿宋" w:eastAsia="仿宋" w:cs="仿宋"/>
          <w:sz w:val="32"/>
          <w:szCs w:val="32"/>
          <w:lang w:eastAsia="zh-CN"/>
        </w:rPr>
        <w:t>及云山转播台、人民广播电台、网络传输中心</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个二级机构</w:t>
      </w:r>
      <w:r>
        <w:rPr>
          <w:rFonts w:hint="eastAsia" w:ascii="仿宋" w:hAnsi="仿宋" w:eastAsia="仿宋" w:cs="仿宋"/>
          <w:sz w:val="32"/>
          <w:szCs w:val="32"/>
        </w:rPr>
        <w:t>。全</w:t>
      </w:r>
      <w:r>
        <w:rPr>
          <w:rFonts w:hint="eastAsia" w:ascii="仿宋" w:hAnsi="仿宋" w:eastAsia="仿宋" w:cs="仿宋"/>
          <w:sz w:val="32"/>
          <w:szCs w:val="32"/>
          <w:lang w:eastAsia="zh-CN"/>
        </w:rPr>
        <w:t>中心（包括二级机构）共有</w:t>
      </w:r>
      <w:r>
        <w:rPr>
          <w:rFonts w:hint="eastAsia" w:ascii="仿宋" w:hAnsi="仿宋" w:eastAsia="仿宋" w:cs="仿宋"/>
          <w:sz w:val="32"/>
          <w:szCs w:val="32"/>
        </w:rPr>
        <w:t>干部职工</w:t>
      </w:r>
      <w:r>
        <w:rPr>
          <w:rFonts w:hint="eastAsia" w:ascii="仿宋" w:hAnsi="仿宋" w:eastAsia="仿宋" w:cs="仿宋"/>
          <w:sz w:val="32"/>
          <w:szCs w:val="32"/>
          <w:lang w:val="en-US" w:eastAsia="zh-CN"/>
        </w:rPr>
        <w:t>131</w:t>
      </w:r>
      <w:r>
        <w:rPr>
          <w:rFonts w:hint="eastAsia" w:ascii="仿宋" w:hAnsi="仿宋" w:eastAsia="仿宋" w:cs="仿宋"/>
          <w:sz w:val="32"/>
          <w:szCs w:val="32"/>
        </w:rPr>
        <w:t>人</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本级</w:t>
      </w:r>
      <w:r>
        <w:rPr>
          <w:rFonts w:hint="eastAsia" w:ascii="仿宋" w:hAnsi="仿宋" w:eastAsia="仿宋" w:cs="仿宋"/>
          <w:color w:val="222222"/>
          <w:kern w:val="0"/>
          <w:sz w:val="32"/>
          <w:szCs w:val="32"/>
          <w:lang w:eastAsia="zh-CN"/>
        </w:rPr>
        <w:t>和二级机构全额拨款人员全部</w:t>
      </w:r>
      <w:r>
        <w:rPr>
          <w:rFonts w:hint="eastAsia" w:ascii="仿宋" w:hAnsi="仿宋" w:eastAsia="仿宋" w:cs="仿宋"/>
          <w:color w:val="222222"/>
          <w:kern w:val="0"/>
          <w:sz w:val="32"/>
          <w:szCs w:val="32"/>
        </w:rPr>
        <w:t>纳入了财政预算，</w:t>
      </w:r>
      <w:r>
        <w:rPr>
          <w:rFonts w:hint="eastAsia" w:ascii="仿宋" w:hAnsi="仿宋" w:eastAsia="仿宋" w:cs="仿宋"/>
          <w:color w:val="222222"/>
          <w:kern w:val="0"/>
          <w:sz w:val="32"/>
          <w:szCs w:val="32"/>
          <w:lang w:eastAsia="zh-CN"/>
        </w:rPr>
        <w:t>二级机构网络传输中心差额拨款</w:t>
      </w:r>
      <w:r>
        <w:rPr>
          <w:rFonts w:hint="eastAsia" w:ascii="仿宋" w:hAnsi="仿宋" w:eastAsia="仿宋" w:cs="仿宋"/>
          <w:color w:val="222222"/>
          <w:kern w:val="0"/>
          <w:sz w:val="32"/>
          <w:szCs w:val="32"/>
          <w:lang w:val="en-US" w:eastAsia="zh-CN"/>
        </w:rPr>
        <w:t>41人、特岗人员8人纳入财政预算。</w:t>
      </w:r>
      <w:r>
        <w:rPr>
          <w:rFonts w:hint="eastAsia" w:ascii="仿宋" w:hAnsi="仿宋" w:eastAsia="仿宋" w:cs="仿宋"/>
          <w:color w:val="222222"/>
          <w:kern w:val="0"/>
          <w:sz w:val="32"/>
          <w:szCs w:val="32"/>
        </w:rPr>
        <w:t>20</w:t>
      </w:r>
      <w:r>
        <w:rPr>
          <w:rFonts w:hint="eastAsia" w:ascii="仿宋" w:hAnsi="仿宋" w:eastAsia="仿宋" w:cs="仿宋"/>
          <w:color w:val="222222"/>
          <w:kern w:val="0"/>
          <w:sz w:val="32"/>
          <w:szCs w:val="32"/>
          <w:lang w:val="en-US" w:eastAsia="zh-CN"/>
        </w:rPr>
        <w:t>21</w:t>
      </w:r>
      <w:r>
        <w:rPr>
          <w:rFonts w:hint="eastAsia" w:ascii="仿宋" w:hAnsi="仿宋" w:eastAsia="仿宋" w:cs="仿宋"/>
          <w:color w:val="222222"/>
          <w:kern w:val="0"/>
          <w:sz w:val="32"/>
          <w:szCs w:val="32"/>
        </w:rPr>
        <w:t>年年初预算实有在职人员</w:t>
      </w:r>
      <w:r>
        <w:rPr>
          <w:rFonts w:hint="eastAsia" w:ascii="仿宋" w:hAnsi="仿宋" w:eastAsia="仿宋" w:cs="仿宋"/>
          <w:color w:val="222222"/>
          <w:kern w:val="0"/>
          <w:sz w:val="32"/>
          <w:szCs w:val="32"/>
          <w:lang w:val="en-US" w:eastAsia="zh-CN"/>
        </w:rPr>
        <w:t>87</w:t>
      </w:r>
      <w:r>
        <w:rPr>
          <w:rFonts w:hint="eastAsia" w:ascii="仿宋" w:hAnsi="仿宋" w:eastAsia="仿宋" w:cs="仿宋"/>
          <w:color w:val="222222"/>
          <w:kern w:val="0"/>
          <w:sz w:val="32"/>
          <w:szCs w:val="32"/>
        </w:rPr>
        <w:t>人，</w:t>
      </w:r>
      <w:r>
        <w:rPr>
          <w:rFonts w:hint="eastAsia" w:ascii="仿宋" w:hAnsi="仿宋" w:eastAsia="仿宋" w:cs="仿宋"/>
          <w:color w:val="222222"/>
          <w:kern w:val="0"/>
          <w:sz w:val="32"/>
          <w:szCs w:val="32"/>
          <w:lang w:eastAsia="zh-CN"/>
        </w:rPr>
        <w:t>其中全额拨款人员</w:t>
      </w:r>
      <w:r>
        <w:rPr>
          <w:rFonts w:hint="eastAsia" w:ascii="仿宋" w:hAnsi="仿宋" w:eastAsia="仿宋" w:cs="仿宋"/>
          <w:color w:val="222222"/>
          <w:kern w:val="0"/>
          <w:sz w:val="32"/>
          <w:szCs w:val="32"/>
          <w:lang w:val="en-US" w:eastAsia="zh-CN"/>
        </w:rPr>
        <w:t>38</w:t>
      </w:r>
      <w:r>
        <w:rPr>
          <w:rFonts w:hint="eastAsia" w:ascii="仿宋" w:hAnsi="仿宋" w:eastAsia="仿宋" w:cs="仿宋"/>
          <w:color w:val="222222"/>
          <w:kern w:val="0"/>
          <w:sz w:val="32"/>
          <w:szCs w:val="32"/>
        </w:rPr>
        <w:t>人，</w:t>
      </w:r>
      <w:r>
        <w:rPr>
          <w:rFonts w:hint="eastAsia" w:ascii="仿宋" w:hAnsi="仿宋" w:eastAsia="仿宋" w:cs="仿宋"/>
          <w:color w:val="222222"/>
          <w:kern w:val="0"/>
          <w:sz w:val="32"/>
          <w:szCs w:val="32"/>
          <w:lang w:eastAsia="zh-CN"/>
        </w:rPr>
        <w:t>财政差额拨款人员</w:t>
      </w:r>
      <w:r>
        <w:rPr>
          <w:rFonts w:hint="eastAsia" w:ascii="仿宋" w:hAnsi="仿宋" w:eastAsia="仿宋" w:cs="仿宋"/>
          <w:color w:val="222222"/>
          <w:kern w:val="0"/>
          <w:sz w:val="32"/>
          <w:szCs w:val="32"/>
          <w:lang w:val="en-US" w:eastAsia="zh-CN"/>
        </w:rPr>
        <w:t>49</w:t>
      </w:r>
      <w:r>
        <w:rPr>
          <w:rFonts w:hint="eastAsia" w:ascii="仿宋" w:hAnsi="仿宋" w:eastAsia="仿宋" w:cs="仿宋"/>
          <w:color w:val="222222"/>
          <w:kern w:val="0"/>
          <w:sz w:val="32"/>
          <w:szCs w:val="32"/>
        </w:rPr>
        <w:t>人</w:t>
      </w:r>
      <w:r>
        <w:rPr>
          <w:rFonts w:hint="eastAsia" w:ascii="仿宋" w:hAnsi="仿宋" w:eastAsia="仿宋" w:cs="仿宋"/>
          <w:color w:val="222222"/>
          <w:kern w:val="0"/>
          <w:sz w:val="32"/>
          <w:szCs w:val="32"/>
          <w:lang w:eastAsia="zh-CN"/>
        </w:rPr>
        <w:t>（含特岗人员</w:t>
      </w:r>
      <w:r>
        <w:rPr>
          <w:rFonts w:hint="eastAsia" w:ascii="仿宋" w:hAnsi="仿宋" w:eastAsia="仿宋" w:cs="仿宋"/>
          <w:color w:val="222222"/>
          <w:kern w:val="0"/>
          <w:sz w:val="32"/>
          <w:szCs w:val="32"/>
          <w:lang w:val="en-US" w:eastAsia="zh-CN"/>
        </w:rPr>
        <w:t>8人</w:t>
      </w:r>
      <w:r>
        <w:rPr>
          <w:rFonts w:hint="eastAsia" w:ascii="仿宋" w:hAnsi="仿宋" w:eastAsia="仿宋" w:cs="仿宋"/>
          <w:color w:val="222222"/>
          <w:kern w:val="0"/>
          <w:sz w:val="32"/>
          <w:szCs w:val="32"/>
          <w:lang w:eastAsia="zh-CN"/>
        </w:rPr>
        <w:t>）；</w:t>
      </w:r>
      <w:r>
        <w:rPr>
          <w:rFonts w:hint="eastAsia" w:ascii="仿宋" w:hAnsi="仿宋" w:eastAsia="仿宋" w:cs="仿宋"/>
          <w:color w:val="222222"/>
          <w:kern w:val="0"/>
          <w:sz w:val="32"/>
          <w:szCs w:val="32"/>
        </w:rPr>
        <w:t>退休人员</w:t>
      </w:r>
      <w:r>
        <w:rPr>
          <w:rFonts w:hint="eastAsia" w:ascii="仿宋" w:hAnsi="仿宋" w:eastAsia="仿宋" w:cs="仿宋"/>
          <w:color w:val="222222"/>
          <w:kern w:val="0"/>
          <w:sz w:val="32"/>
          <w:szCs w:val="32"/>
          <w:lang w:val="en-US" w:eastAsia="zh-CN"/>
        </w:rPr>
        <w:t>39</w:t>
      </w:r>
      <w:r>
        <w:rPr>
          <w:rFonts w:hint="eastAsia" w:ascii="仿宋" w:hAnsi="仿宋" w:eastAsia="仿宋" w:cs="仿宋"/>
          <w:color w:val="222222"/>
          <w:kern w:val="0"/>
          <w:sz w:val="32"/>
          <w:szCs w:val="32"/>
        </w:rPr>
        <w:t>人。20</w:t>
      </w:r>
      <w:r>
        <w:rPr>
          <w:rFonts w:hint="eastAsia" w:ascii="仿宋" w:hAnsi="仿宋" w:eastAsia="仿宋" w:cs="仿宋"/>
          <w:color w:val="222222"/>
          <w:kern w:val="0"/>
          <w:sz w:val="32"/>
          <w:szCs w:val="32"/>
          <w:lang w:val="en-US" w:eastAsia="zh-CN"/>
        </w:rPr>
        <w:t>21</w:t>
      </w:r>
      <w:r>
        <w:rPr>
          <w:rFonts w:hint="eastAsia" w:ascii="仿宋" w:hAnsi="仿宋" w:eastAsia="仿宋" w:cs="仿宋"/>
          <w:color w:val="222222"/>
          <w:kern w:val="0"/>
          <w:sz w:val="32"/>
          <w:szCs w:val="32"/>
        </w:rPr>
        <w:t>年末，</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编制人数为</w:t>
      </w:r>
      <w:r>
        <w:rPr>
          <w:rFonts w:hint="eastAsia" w:ascii="仿宋" w:hAnsi="仿宋" w:eastAsia="仿宋" w:cs="仿宋"/>
          <w:color w:val="222222"/>
          <w:kern w:val="0"/>
          <w:sz w:val="32"/>
          <w:szCs w:val="32"/>
          <w:lang w:val="en-US" w:eastAsia="zh-CN"/>
        </w:rPr>
        <w:t>70</w:t>
      </w:r>
      <w:r>
        <w:rPr>
          <w:rFonts w:hint="eastAsia" w:ascii="仿宋" w:hAnsi="仿宋" w:eastAsia="仿宋" w:cs="仿宋"/>
          <w:color w:val="222222"/>
          <w:kern w:val="0"/>
          <w:sz w:val="32"/>
          <w:szCs w:val="32"/>
        </w:rPr>
        <w:t>人</w:t>
      </w:r>
      <w:r>
        <w:rPr>
          <w:rFonts w:hint="eastAsia" w:ascii="仿宋" w:hAnsi="仿宋" w:eastAsia="仿宋" w:cs="仿宋"/>
          <w:color w:val="222222"/>
          <w:kern w:val="0"/>
          <w:sz w:val="32"/>
          <w:szCs w:val="32"/>
          <w:lang w:val="en-US" w:eastAsia="zh-CN"/>
        </w:rPr>
        <w:t>,二级机构网络传输中心编制人数为90人，年末</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实有在职人员</w:t>
      </w:r>
      <w:r>
        <w:rPr>
          <w:rFonts w:hint="eastAsia" w:ascii="仿宋" w:hAnsi="仿宋" w:eastAsia="仿宋" w:cs="仿宋"/>
          <w:color w:val="222222"/>
          <w:kern w:val="0"/>
          <w:sz w:val="32"/>
          <w:szCs w:val="32"/>
          <w:lang w:val="en-US" w:eastAsia="zh-CN"/>
        </w:rPr>
        <w:t>53</w:t>
      </w:r>
      <w:r>
        <w:rPr>
          <w:rFonts w:hint="eastAsia" w:ascii="仿宋" w:hAnsi="仿宋" w:eastAsia="仿宋" w:cs="仿宋"/>
          <w:color w:val="222222"/>
          <w:kern w:val="0"/>
          <w:sz w:val="32"/>
          <w:szCs w:val="32"/>
        </w:rPr>
        <w:t>人，</w:t>
      </w:r>
      <w:r>
        <w:rPr>
          <w:rFonts w:hint="eastAsia" w:ascii="仿宋" w:hAnsi="仿宋" w:eastAsia="仿宋" w:cs="仿宋"/>
          <w:color w:val="222222"/>
          <w:kern w:val="0"/>
          <w:sz w:val="32"/>
          <w:szCs w:val="32"/>
          <w:lang w:eastAsia="zh-CN"/>
        </w:rPr>
        <w:t>网络传办输中心实有人数</w:t>
      </w:r>
      <w:r>
        <w:rPr>
          <w:rFonts w:hint="eastAsia" w:ascii="仿宋" w:hAnsi="仿宋" w:eastAsia="仿宋" w:cs="仿宋"/>
          <w:color w:val="222222"/>
          <w:kern w:val="0"/>
          <w:sz w:val="32"/>
          <w:szCs w:val="32"/>
          <w:lang w:val="en-US" w:eastAsia="zh-CN"/>
        </w:rPr>
        <w:t>78人，</w:t>
      </w:r>
      <w:r>
        <w:rPr>
          <w:rFonts w:hint="eastAsia" w:ascii="仿宋" w:hAnsi="仿宋" w:eastAsia="仿宋" w:cs="仿宋"/>
          <w:color w:val="222222"/>
          <w:kern w:val="0"/>
          <w:sz w:val="32"/>
          <w:szCs w:val="32"/>
        </w:rPr>
        <w:t>退休人员</w:t>
      </w:r>
      <w:r>
        <w:rPr>
          <w:rFonts w:hint="eastAsia" w:ascii="仿宋" w:hAnsi="仿宋" w:eastAsia="仿宋" w:cs="仿宋"/>
          <w:color w:val="222222"/>
          <w:kern w:val="0"/>
          <w:sz w:val="32"/>
          <w:szCs w:val="32"/>
          <w:lang w:val="en-US" w:eastAsia="zh-CN"/>
        </w:rPr>
        <w:t>44</w:t>
      </w:r>
      <w:r>
        <w:rPr>
          <w:rFonts w:hint="eastAsia" w:ascii="仿宋" w:hAnsi="仿宋" w:eastAsia="仿宋" w:cs="仿宋"/>
          <w:color w:val="222222"/>
          <w:kern w:val="0"/>
          <w:sz w:val="32"/>
          <w:szCs w:val="32"/>
        </w:rPr>
        <w:t>人。</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楷体" w:hAnsi="楷体" w:eastAsia="楷体" w:cs="楷体"/>
          <w:color w:val="222222"/>
          <w:kern w:val="0"/>
          <w:sz w:val="32"/>
          <w:szCs w:val="32"/>
        </w:rPr>
      </w:pPr>
      <w:r>
        <w:rPr>
          <w:rFonts w:hint="eastAsia" w:ascii="楷体" w:hAnsi="楷体" w:eastAsia="楷体" w:cs="楷体"/>
          <w:b/>
          <w:bCs/>
          <w:color w:val="222222"/>
          <w:kern w:val="0"/>
          <w:sz w:val="32"/>
          <w:szCs w:val="32"/>
        </w:rPr>
        <w:t>（二） 单位主要职责</w:t>
      </w:r>
    </w:p>
    <w:p>
      <w:pPr>
        <w:keepNext w:val="0"/>
        <w:keepLines w:val="0"/>
        <w:pageBreakBefore w:val="0"/>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根据国家、省、邵阳及本市的总体规划和要求，推动传统媒体与新兴媒体融全发展。</w:t>
      </w:r>
    </w:p>
    <w:p>
      <w:pPr>
        <w:keepNext w:val="0"/>
        <w:keepLines w:val="0"/>
        <w:pageBreakBefore w:val="0"/>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全面、准确、及时宣传党的路线、方针、政策，充分发挥党和政府的喉舌作用，承担传统媒体、新媒体的对内对外宣传工作，充分利用广播、电视、村村响、手机报、新闻网站、手机客户端、微博、微信、内部刊物等媒体平台，不断提高宣传质量，增强服务群众能力，正确引导舆论导向。</w:t>
      </w:r>
    </w:p>
    <w:p>
      <w:pPr>
        <w:keepNext w:val="0"/>
        <w:keepLines w:val="0"/>
        <w:pageBreakBefore w:val="0"/>
        <w:kinsoku/>
        <w:wordWrap/>
        <w:overflowPunct/>
        <w:topLinePunct w:val="0"/>
        <w:autoSpaceDE/>
        <w:autoSpaceDN/>
        <w:bidi w:val="0"/>
        <w:adjustRightInd/>
        <w:snapToGrid/>
        <w:spacing w:line="54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3、</w:t>
      </w:r>
      <w:r>
        <w:rPr>
          <w:rFonts w:hint="eastAsia" w:ascii="仿宋" w:hAnsi="仿宋" w:eastAsia="仿宋" w:cs="仿宋"/>
          <w:color w:val="000000"/>
          <w:sz w:val="32"/>
          <w:szCs w:val="32"/>
        </w:rPr>
        <w:t>贯彻执行国家广播电视技术政策标准，传播中央、省、市广播电视节目；负责本级广播电视、网站、新媒体平台内容的采编、制作、审核、播控和传输、发射、管理等工作，推动广播影视新媒本的发展。</w:t>
      </w:r>
    </w:p>
    <w:p>
      <w:pPr>
        <w:keepNext w:val="0"/>
        <w:keepLines w:val="0"/>
        <w:pageBreakBefore w:val="0"/>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负责广播电视、互联网络重要技术设备监管，加强安全防范，保障各个平台安全播出；承担广播、电视等频率频道及网站域名、媒体平台账号等资源的报批、使用和管理工作。</w:t>
      </w:r>
    </w:p>
    <w:p>
      <w:pPr>
        <w:keepNext w:val="0"/>
        <w:keepLines w:val="0"/>
        <w:pageBreakBefore w:val="0"/>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lang w:eastAsia="zh-CN"/>
        </w:rPr>
        <w:t>负责武冈广播电视台、全市村村响、武冈手机报、武冈新闻网（红网武冈站）、新武冈微信公众号、武冈时刻新闻客户端、新武冈抖音等媒体平台的运行维护。承担新兴媒体的开发、更新、推广和管理事务性工作，加强内容生产管理，扩大受众覆盖范围，依法开展广告经营。</w:t>
      </w:r>
    </w:p>
    <w:p>
      <w:pPr>
        <w:keepNext w:val="0"/>
        <w:keepLines w:val="0"/>
        <w:pageBreakBefore w:val="0"/>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lang w:eastAsia="zh-CN"/>
        </w:rPr>
        <w:t>指导协调市直单位、乡镇和园区的新闻宣传等有关业务工作。</w:t>
      </w:r>
    </w:p>
    <w:p>
      <w:pPr>
        <w:keepNext w:val="0"/>
        <w:keepLines w:val="0"/>
        <w:pageBreakBefore w:val="0"/>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lang w:eastAsia="zh-CN"/>
        </w:rPr>
        <w:t>承担政务新媒体服务工作，协助推进政务信息发布、便民服务、网络咨询服务和网上智慧城市服务等相关工作。</w:t>
      </w:r>
    </w:p>
    <w:p>
      <w:pPr>
        <w:keepNext w:val="0"/>
        <w:keepLines w:val="0"/>
        <w:pageBreakBefore w:val="0"/>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lang w:eastAsia="zh-CN"/>
        </w:rPr>
        <w:t>完成</w:t>
      </w:r>
      <w:r>
        <w:rPr>
          <w:rFonts w:hint="eastAsia" w:ascii="仿宋" w:hAnsi="仿宋" w:eastAsia="仿宋" w:cs="仿宋"/>
          <w:color w:val="000000"/>
          <w:sz w:val="32"/>
          <w:szCs w:val="32"/>
        </w:rPr>
        <w:t>市委、市人民政府</w:t>
      </w:r>
      <w:r>
        <w:rPr>
          <w:rFonts w:hint="eastAsia" w:ascii="仿宋" w:hAnsi="仿宋" w:eastAsia="仿宋" w:cs="仿宋"/>
          <w:color w:val="000000"/>
          <w:sz w:val="32"/>
          <w:szCs w:val="32"/>
          <w:lang w:eastAsia="zh-CN"/>
        </w:rPr>
        <w:t>和市委宣传部</w:t>
      </w:r>
      <w:r>
        <w:rPr>
          <w:rFonts w:hint="eastAsia" w:ascii="仿宋" w:hAnsi="仿宋" w:eastAsia="仿宋" w:cs="仿宋"/>
          <w:color w:val="000000"/>
          <w:sz w:val="32"/>
          <w:szCs w:val="32"/>
        </w:rPr>
        <w:t>交办的其他</w:t>
      </w:r>
      <w:r>
        <w:rPr>
          <w:rFonts w:hint="eastAsia" w:ascii="仿宋" w:hAnsi="仿宋" w:eastAsia="仿宋" w:cs="仿宋"/>
          <w:color w:val="000000"/>
          <w:sz w:val="32"/>
          <w:szCs w:val="32"/>
          <w:lang w:eastAsia="zh-CN"/>
        </w:rPr>
        <w:t>工作</w:t>
      </w:r>
      <w:r>
        <w:rPr>
          <w:rFonts w:hint="eastAsia" w:ascii="仿宋" w:hAnsi="仿宋" w:eastAsia="仿宋" w:cs="仿宋"/>
          <w:color w:val="000000"/>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楷体" w:hAnsi="楷体" w:eastAsia="楷体" w:cs="楷体"/>
          <w:color w:val="222222"/>
          <w:kern w:val="0"/>
          <w:sz w:val="32"/>
          <w:szCs w:val="32"/>
        </w:rPr>
      </w:pPr>
      <w:r>
        <w:rPr>
          <w:rFonts w:hint="eastAsia" w:ascii="楷体" w:hAnsi="楷体" w:eastAsia="楷体" w:cs="楷体"/>
          <w:b/>
          <w:bCs/>
          <w:color w:val="222222"/>
          <w:kern w:val="0"/>
          <w:sz w:val="32"/>
          <w:szCs w:val="32"/>
        </w:rPr>
        <w:t>（三） 部门内部控制及厉行节约制度建设情况</w:t>
      </w:r>
    </w:p>
    <w:p>
      <w:pPr>
        <w:keepNext w:val="0"/>
        <w:keepLines w:val="0"/>
        <w:pageBreakBefore w:val="0"/>
        <w:widowControl/>
        <w:kinsoku/>
        <w:wordWrap/>
        <w:overflowPunct/>
        <w:topLinePunct w:val="0"/>
        <w:autoSpaceDE/>
        <w:autoSpaceDN/>
        <w:bidi w:val="0"/>
        <w:adjustRightInd/>
        <w:snapToGrid/>
        <w:spacing w:line="540" w:lineRule="exact"/>
        <w:ind w:firstLine="960" w:firstLineChars="3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1</w:t>
      </w:r>
      <w:r>
        <w:rPr>
          <w:rFonts w:hint="eastAsia" w:ascii="仿宋" w:hAnsi="仿宋" w:eastAsia="仿宋" w:cs="仿宋"/>
          <w:color w:val="222222"/>
          <w:kern w:val="0"/>
          <w:sz w:val="32"/>
          <w:szCs w:val="32"/>
          <w:lang w:eastAsia="zh-CN"/>
        </w:rPr>
        <w:t>、</w:t>
      </w:r>
      <w:r>
        <w:rPr>
          <w:rFonts w:hint="eastAsia" w:ascii="仿宋" w:hAnsi="仿宋" w:eastAsia="仿宋" w:cs="仿宋"/>
          <w:color w:val="222222"/>
          <w:kern w:val="0"/>
          <w:sz w:val="32"/>
          <w:szCs w:val="32"/>
        </w:rPr>
        <w:t>高度重视预算支出绩效评价工作，成立了以</w:t>
      </w:r>
      <w:r>
        <w:rPr>
          <w:rFonts w:hint="eastAsia" w:ascii="仿宋" w:hAnsi="仿宋" w:eastAsia="仿宋" w:cs="仿宋"/>
          <w:color w:val="222222"/>
          <w:kern w:val="0"/>
          <w:sz w:val="32"/>
          <w:szCs w:val="32"/>
          <w:lang w:eastAsia="zh-CN"/>
        </w:rPr>
        <w:t>胡义雄主任</w:t>
      </w:r>
      <w:r>
        <w:rPr>
          <w:rFonts w:hint="eastAsia" w:ascii="仿宋" w:hAnsi="仿宋" w:eastAsia="仿宋" w:cs="仿宋"/>
          <w:color w:val="222222"/>
          <w:kern w:val="0"/>
          <w:sz w:val="32"/>
          <w:szCs w:val="32"/>
        </w:rPr>
        <w:t>为组长，其他班子成员为副组长，部室室主要负责人为成员的预算支出绩效评价领导小组，明确各职能部室的评价责任，进一步强化各部室对财政预算支出管理意识。</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w:t>
      </w:r>
      <w:r>
        <w:rPr>
          <w:rFonts w:hint="eastAsia" w:ascii="仿宋" w:hAnsi="仿宋" w:eastAsia="仿宋" w:cs="仿宋"/>
          <w:color w:val="222222"/>
          <w:kern w:val="0"/>
          <w:sz w:val="32"/>
          <w:szCs w:val="32"/>
          <w:lang w:eastAsia="zh-CN"/>
        </w:rPr>
        <w:t>、</w:t>
      </w:r>
      <w:r>
        <w:rPr>
          <w:rFonts w:hint="eastAsia" w:ascii="仿宋" w:hAnsi="仿宋" w:eastAsia="仿宋" w:cs="仿宋"/>
          <w:color w:val="222222"/>
          <w:kern w:val="0"/>
          <w:sz w:val="32"/>
          <w:szCs w:val="32"/>
        </w:rPr>
        <w:t>加强对国家、省级财政预算资金管理方面制度的学习培训，不断提高各部室的业务工作能力。及时组织</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人员学习了2018年上级下发的培训费、会议费、外事接待、因公出差差旅费、财务管理、办公用品购置、公务接待等制度。</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3</w:t>
      </w:r>
      <w:r>
        <w:rPr>
          <w:rFonts w:hint="eastAsia" w:ascii="仿宋" w:hAnsi="仿宋" w:eastAsia="仿宋" w:cs="仿宋"/>
          <w:color w:val="222222"/>
          <w:kern w:val="0"/>
          <w:sz w:val="32"/>
          <w:szCs w:val="32"/>
          <w:lang w:eastAsia="zh-CN"/>
        </w:rPr>
        <w:t>、</w:t>
      </w:r>
      <w:r>
        <w:rPr>
          <w:rFonts w:hint="eastAsia" w:ascii="仿宋" w:hAnsi="仿宋" w:eastAsia="仿宋" w:cs="仿宋"/>
          <w:color w:val="222222"/>
          <w:kern w:val="0"/>
          <w:sz w:val="32"/>
          <w:szCs w:val="32"/>
        </w:rPr>
        <w:t>建立了机关整体支出管理方面的内控制度，并不断进行完善和修订。如：制定了《公务用车管理办法》、《公务接待制度》、《财务管理制度》、《设备管理制度》。</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4</w:t>
      </w:r>
      <w:r>
        <w:rPr>
          <w:rFonts w:hint="eastAsia" w:ascii="仿宋" w:hAnsi="仿宋" w:eastAsia="仿宋" w:cs="仿宋"/>
          <w:color w:val="222222"/>
          <w:kern w:val="0"/>
          <w:sz w:val="32"/>
          <w:szCs w:val="32"/>
          <w:lang w:eastAsia="zh-CN"/>
        </w:rPr>
        <w:t>、</w:t>
      </w:r>
      <w:r>
        <w:rPr>
          <w:rFonts w:hint="eastAsia" w:ascii="仿宋" w:hAnsi="仿宋" w:eastAsia="仿宋" w:cs="仿宋"/>
          <w:color w:val="222222"/>
          <w:kern w:val="0"/>
          <w:sz w:val="32"/>
          <w:szCs w:val="32"/>
        </w:rPr>
        <w:t>严格制度执行，特别是“三公”经费的预算控制。加强对公务用车的管理，严格招待费用审核审批程序，“三公”经费较好地控制在预算范围之内。</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rPr>
          <w:rFonts w:hint="eastAsia" w:ascii="仿宋" w:hAnsi="仿宋" w:eastAsia="仿宋" w:cs="仿宋"/>
          <w:color w:val="222222"/>
          <w:kern w:val="0"/>
          <w:sz w:val="32"/>
          <w:szCs w:val="32"/>
        </w:rPr>
      </w:pPr>
      <w:r>
        <w:rPr>
          <w:rFonts w:hint="eastAsia" w:ascii="黑体" w:hAnsi="黑体" w:eastAsia="黑体" w:cs="黑体"/>
          <w:b/>
          <w:bCs/>
          <w:color w:val="222222"/>
          <w:kern w:val="0"/>
          <w:sz w:val="32"/>
          <w:szCs w:val="32"/>
        </w:rPr>
        <w:t>二、部门整体支出规模及使用方向、内容</w:t>
      </w:r>
    </w:p>
    <w:p>
      <w:pPr>
        <w:keepNext w:val="0"/>
        <w:keepLines w:val="0"/>
        <w:pageBreakBefore w:val="0"/>
        <w:widowControl/>
        <w:kinsoku/>
        <w:wordWrap/>
        <w:overflowPunct/>
        <w:topLinePunct w:val="0"/>
        <w:autoSpaceDE/>
        <w:autoSpaceDN/>
        <w:bidi w:val="0"/>
        <w:adjustRightInd/>
        <w:snapToGrid/>
        <w:spacing w:line="540" w:lineRule="exact"/>
        <w:ind w:firstLine="321" w:firstLineChars="100"/>
        <w:jc w:val="left"/>
        <w:rPr>
          <w:rFonts w:hint="eastAsia" w:ascii="楷体" w:hAnsi="楷体" w:eastAsia="楷体" w:cs="楷体"/>
          <w:color w:val="222222"/>
          <w:kern w:val="0"/>
          <w:sz w:val="32"/>
          <w:szCs w:val="32"/>
        </w:rPr>
      </w:pPr>
      <w:r>
        <w:rPr>
          <w:rFonts w:hint="eastAsia" w:ascii="楷体" w:hAnsi="楷体" w:eastAsia="楷体" w:cs="楷体"/>
          <w:b/>
          <w:bCs/>
          <w:color w:val="222222"/>
          <w:kern w:val="0"/>
          <w:sz w:val="32"/>
          <w:szCs w:val="32"/>
        </w:rPr>
        <w:t>（一）20</w:t>
      </w:r>
      <w:r>
        <w:rPr>
          <w:rFonts w:hint="eastAsia" w:ascii="楷体" w:hAnsi="楷体" w:eastAsia="楷体" w:cs="楷体"/>
          <w:b/>
          <w:bCs/>
          <w:color w:val="222222"/>
          <w:kern w:val="0"/>
          <w:sz w:val="32"/>
          <w:szCs w:val="32"/>
          <w:lang w:val="en-US" w:eastAsia="zh-CN"/>
        </w:rPr>
        <w:t>21</w:t>
      </w:r>
      <w:r>
        <w:rPr>
          <w:rFonts w:hint="eastAsia" w:ascii="楷体" w:hAnsi="楷体" w:eastAsia="楷体" w:cs="楷体"/>
          <w:b/>
          <w:bCs/>
          <w:color w:val="222222"/>
          <w:kern w:val="0"/>
          <w:sz w:val="32"/>
          <w:szCs w:val="32"/>
        </w:rPr>
        <w:t>年预算规模情况</w:t>
      </w:r>
    </w:p>
    <w:p>
      <w:pPr>
        <w:keepNext w:val="0"/>
        <w:keepLines w:val="0"/>
        <w:pageBreakBefore w:val="0"/>
        <w:widowControl/>
        <w:numPr>
          <w:ilvl w:val="0"/>
          <w:numId w:val="1"/>
        </w:numPr>
        <w:kinsoku/>
        <w:wordWrap/>
        <w:overflowPunct/>
        <w:topLinePunct w:val="0"/>
        <w:autoSpaceDE/>
        <w:autoSpaceDN/>
        <w:bidi w:val="0"/>
        <w:adjustRightInd/>
        <w:snapToGrid/>
        <w:spacing w:line="540" w:lineRule="exact"/>
        <w:ind w:firstLine="643"/>
        <w:jc w:val="left"/>
        <w:rPr>
          <w:rFonts w:hint="eastAsia" w:ascii="仿宋" w:hAnsi="仿宋" w:eastAsia="仿宋" w:cs="仿宋"/>
          <w:b/>
          <w:bCs/>
          <w:color w:val="222222"/>
          <w:kern w:val="0"/>
          <w:sz w:val="32"/>
          <w:szCs w:val="32"/>
        </w:rPr>
      </w:pPr>
      <w:r>
        <w:rPr>
          <w:rFonts w:hint="eastAsia" w:ascii="仿宋" w:hAnsi="仿宋" w:eastAsia="仿宋" w:cs="仿宋"/>
          <w:b/>
          <w:bCs/>
          <w:color w:val="222222"/>
          <w:kern w:val="0"/>
          <w:sz w:val="32"/>
          <w:szCs w:val="32"/>
        </w:rPr>
        <w:t>预算资金情况</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（1）年初总收支预算情况</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jc w:val="left"/>
        <w:rPr>
          <w:rFonts w:hint="eastAsia" w:ascii="仿宋" w:hAnsi="仿宋" w:eastAsia="仿宋" w:cs="仿宋"/>
          <w:b/>
          <w:bCs/>
          <w:color w:val="222222"/>
          <w:kern w:val="0"/>
          <w:sz w:val="32"/>
          <w:szCs w:val="32"/>
        </w:rPr>
      </w:pPr>
      <w:r>
        <w:rPr>
          <w:rFonts w:hint="eastAsia" w:ascii="仿宋" w:hAnsi="仿宋" w:eastAsia="仿宋" w:cs="仿宋"/>
          <w:color w:val="222222"/>
          <w:kern w:val="0"/>
          <w:sz w:val="32"/>
          <w:szCs w:val="32"/>
        </w:rPr>
        <w:t>根据《武冈市财政局关于武冈市</w:t>
      </w:r>
      <w:r>
        <w:rPr>
          <w:rFonts w:hint="eastAsia" w:ascii="仿宋" w:hAnsi="仿宋" w:eastAsia="仿宋" w:cs="仿宋"/>
          <w:color w:val="222222"/>
          <w:kern w:val="0"/>
          <w:sz w:val="32"/>
          <w:szCs w:val="32"/>
          <w:lang w:eastAsia="zh-CN"/>
        </w:rPr>
        <w:t>融媒体中心</w:t>
      </w:r>
      <w:r>
        <w:rPr>
          <w:rFonts w:hint="eastAsia" w:ascii="仿宋" w:hAnsi="仿宋" w:eastAsia="仿宋" w:cs="仿宋"/>
          <w:color w:val="222222"/>
          <w:kern w:val="0"/>
          <w:sz w:val="32"/>
          <w:szCs w:val="32"/>
        </w:rPr>
        <w:t>20</w:t>
      </w:r>
      <w:r>
        <w:rPr>
          <w:rFonts w:hint="eastAsia" w:ascii="仿宋" w:hAnsi="仿宋" w:eastAsia="仿宋" w:cs="仿宋"/>
          <w:color w:val="222222"/>
          <w:kern w:val="0"/>
          <w:sz w:val="32"/>
          <w:szCs w:val="32"/>
          <w:lang w:val="en-US" w:eastAsia="zh-CN"/>
        </w:rPr>
        <w:t>21</w:t>
      </w:r>
      <w:r>
        <w:rPr>
          <w:rFonts w:hint="eastAsia" w:ascii="仿宋" w:hAnsi="仿宋" w:eastAsia="仿宋" w:cs="仿宋"/>
          <w:color w:val="222222"/>
          <w:kern w:val="0"/>
          <w:sz w:val="32"/>
          <w:szCs w:val="32"/>
        </w:rPr>
        <w:t>年部门预算的批复》（武财预﹝20</w:t>
      </w:r>
      <w:r>
        <w:rPr>
          <w:rFonts w:hint="eastAsia" w:ascii="仿宋" w:hAnsi="仿宋" w:eastAsia="仿宋" w:cs="仿宋"/>
          <w:color w:val="222222"/>
          <w:kern w:val="0"/>
          <w:sz w:val="32"/>
          <w:szCs w:val="32"/>
          <w:lang w:val="en-US" w:eastAsia="zh-CN"/>
        </w:rPr>
        <w:t>21</w:t>
      </w:r>
      <w:r>
        <w:rPr>
          <w:rFonts w:hint="eastAsia" w:ascii="仿宋" w:hAnsi="仿宋" w:eastAsia="仿宋" w:cs="仿宋"/>
          <w:color w:val="222222"/>
          <w:kern w:val="0"/>
          <w:sz w:val="32"/>
          <w:szCs w:val="32"/>
        </w:rPr>
        <w:t>﹞1号）精神，我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20</w:t>
      </w:r>
      <w:r>
        <w:rPr>
          <w:rFonts w:hint="eastAsia" w:ascii="仿宋" w:hAnsi="仿宋" w:eastAsia="仿宋" w:cs="仿宋"/>
          <w:color w:val="222222"/>
          <w:kern w:val="0"/>
          <w:sz w:val="32"/>
          <w:szCs w:val="32"/>
          <w:lang w:val="en-US" w:eastAsia="zh-CN"/>
        </w:rPr>
        <w:t>21</w:t>
      </w:r>
      <w:r>
        <w:rPr>
          <w:rFonts w:hint="eastAsia" w:ascii="仿宋" w:hAnsi="仿宋" w:eastAsia="仿宋" w:cs="仿宋"/>
          <w:color w:val="222222"/>
          <w:kern w:val="0"/>
          <w:sz w:val="32"/>
          <w:szCs w:val="32"/>
        </w:rPr>
        <w:t>年预算收支情况如下：</w:t>
      </w:r>
    </w:p>
    <w:tbl>
      <w:tblPr>
        <w:tblStyle w:val="6"/>
        <w:tblpPr w:leftFromText="180" w:rightFromText="180" w:vertAnchor="text" w:horzAnchor="page" w:tblpX="1520" w:tblpY="561"/>
        <w:tblOverlap w:val="never"/>
        <w:tblW w:w="9499" w:type="dxa"/>
        <w:tblInd w:w="0" w:type="dxa"/>
        <w:tblLayout w:type="fixed"/>
        <w:tblCellMar>
          <w:top w:w="0" w:type="dxa"/>
          <w:left w:w="0" w:type="dxa"/>
          <w:bottom w:w="0" w:type="dxa"/>
          <w:right w:w="0" w:type="dxa"/>
        </w:tblCellMar>
      </w:tblPr>
      <w:tblGrid>
        <w:gridCol w:w="3662"/>
        <w:gridCol w:w="5837"/>
      </w:tblGrid>
      <w:tr>
        <w:tblPrEx>
          <w:tblCellMar>
            <w:top w:w="0" w:type="dxa"/>
            <w:left w:w="0" w:type="dxa"/>
            <w:bottom w:w="0" w:type="dxa"/>
            <w:right w:w="0" w:type="dxa"/>
          </w:tblCellMar>
        </w:tblPrEx>
        <w:trPr>
          <w:trHeight w:val="409" w:hRule="atLeast"/>
        </w:trPr>
        <w:tc>
          <w:tcPr>
            <w:tcW w:w="3662"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color w:val="222222"/>
                <w:kern w:val="0"/>
                <w:sz w:val="24"/>
                <w:szCs w:val="24"/>
              </w:rPr>
            </w:pPr>
            <w:r>
              <w:rPr>
                <w:rFonts w:hint="eastAsia" w:ascii="仿宋" w:hAnsi="仿宋" w:eastAsia="仿宋" w:cs="仿宋"/>
                <w:b/>
                <w:bCs/>
                <w:color w:val="222222"/>
                <w:kern w:val="0"/>
                <w:sz w:val="24"/>
                <w:szCs w:val="24"/>
              </w:rPr>
              <w:t>预算项目</w:t>
            </w:r>
          </w:p>
        </w:tc>
        <w:tc>
          <w:tcPr>
            <w:tcW w:w="5837"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center"/>
              <w:rPr>
                <w:rFonts w:hint="eastAsia" w:ascii="仿宋" w:hAnsi="仿宋" w:eastAsia="仿宋" w:cs="仿宋"/>
                <w:color w:val="222222"/>
                <w:kern w:val="0"/>
                <w:sz w:val="24"/>
                <w:szCs w:val="24"/>
              </w:rPr>
            </w:pPr>
            <w:r>
              <w:rPr>
                <w:rFonts w:hint="eastAsia" w:ascii="仿宋" w:hAnsi="仿宋" w:eastAsia="仿宋" w:cs="仿宋"/>
                <w:b/>
                <w:bCs/>
                <w:color w:val="222222"/>
                <w:kern w:val="0"/>
                <w:sz w:val="24"/>
                <w:szCs w:val="24"/>
              </w:rPr>
              <w:t>合计</w:t>
            </w:r>
            <w:r>
              <w:rPr>
                <w:rFonts w:hint="eastAsia" w:ascii="仿宋" w:hAnsi="仿宋" w:eastAsia="仿宋" w:cs="仿宋"/>
                <w:color w:val="222222"/>
                <w:kern w:val="0"/>
                <w:sz w:val="24"/>
                <w:szCs w:val="24"/>
              </w:rPr>
              <w:t>（单位：万元）</w:t>
            </w:r>
          </w:p>
        </w:tc>
      </w:tr>
      <w:tr>
        <w:tblPrEx>
          <w:tblCellMar>
            <w:top w:w="0" w:type="dxa"/>
            <w:left w:w="0" w:type="dxa"/>
            <w:bottom w:w="0" w:type="dxa"/>
            <w:right w:w="0" w:type="dxa"/>
          </w:tblCellMar>
        </w:tblPrEx>
        <w:trPr>
          <w:trHeight w:val="444" w:hRule="atLeast"/>
        </w:trPr>
        <w:tc>
          <w:tcPr>
            <w:tcW w:w="366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财政拨款</w:t>
            </w:r>
          </w:p>
        </w:tc>
        <w:tc>
          <w:tcPr>
            <w:tcW w:w="583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default" w:ascii="仿宋" w:hAnsi="仿宋" w:eastAsia="仿宋" w:cs="仿宋"/>
                <w:color w:val="222222"/>
                <w:kern w:val="0"/>
                <w:sz w:val="24"/>
                <w:szCs w:val="24"/>
                <w:lang w:val="en-US" w:eastAsia="zh-CN"/>
              </w:rPr>
            </w:pPr>
            <w:r>
              <w:rPr>
                <w:rFonts w:hint="eastAsia" w:ascii="仿宋" w:hAnsi="仿宋" w:eastAsia="仿宋" w:cs="仿宋"/>
                <w:color w:val="222222"/>
                <w:kern w:val="0"/>
                <w:sz w:val="24"/>
                <w:szCs w:val="24"/>
                <w:lang w:val="en-US" w:eastAsia="zh-CN"/>
              </w:rPr>
              <w:t>1038.71</w:t>
            </w:r>
          </w:p>
        </w:tc>
      </w:tr>
      <w:tr>
        <w:tblPrEx>
          <w:tblCellMar>
            <w:top w:w="0" w:type="dxa"/>
            <w:left w:w="0" w:type="dxa"/>
            <w:bottom w:w="0" w:type="dxa"/>
            <w:right w:w="0" w:type="dxa"/>
          </w:tblCellMar>
        </w:tblPrEx>
        <w:trPr>
          <w:trHeight w:val="444" w:hRule="atLeast"/>
        </w:trPr>
        <w:tc>
          <w:tcPr>
            <w:tcW w:w="366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政府性基金</w:t>
            </w:r>
          </w:p>
        </w:tc>
        <w:tc>
          <w:tcPr>
            <w:tcW w:w="583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color w:val="222222"/>
                <w:kern w:val="0"/>
                <w:sz w:val="24"/>
                <w:szCs w:val="24"/>
              </w:rPr>
            </w:pPr>
          </w:p>
        </w:tc>
      </w:tr>
      <w:tr>
        <w:tblPrEx>
          <w:tblCellMar>
            <w:top w:w="0" w:type="dxa"/>
            <w:left w:w="0" w:type="dxa"/>
            <w:bottom w:w="0" w:type="dxa"/>
            <w:right w:w="0" w:type="dxa"/>
          </w:tblCellMar>
        </w:tblPrEx>
        <w:trPr>
          <w:trHeight w:val="444" w:hRule="atLeast"/>
        </w:trPr>
        <w:tc>
          <w:tcPr>
            <w:tcW w:w="366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纳入专户管理非税收入</w:t>
            </w:r>
          </w:p>
        </w:tc>
        <w:tc>
          <w:tcPr>
            <w:tcW w:w="583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default" w:ascii="仿宋" w:hAnsi="仿宋" w:eastAsia="仿宋" w:cs="仿宋"/>
                <w:i/>
                <w:iCs/>
                <w:color w:val="222222"/>
                <w:kern w:val="0"/>
                <w:sz w:val="24"/>
                <w:szCs w:val="24"/>
                <w:lang w:val="en-US" w:eastAsia="zh-CN"/>
              </w:rPr>
            </w:pPr>
            <w:r>
              <w:rPr>
                <w:rFonts w:hint="eastAsia" w:ascii="仿宋" w:hAnsi="仿宋" w:eastAsia="仿宋" w:cs="仿宋"/>
                <w:i/>
                <w:iCs/>
                <w:color w:val="222222"/>
                <w:kern w:val="0"/>
                <w:sz w:val="24"/>
                <w:szCs w:val="24"/>
                <w:lang w:val="en-US" w:eastAsia="zh-CN"/>
              </w:rPr>
              <w:t>100</w:t>
            </w:r>
          </w:p>
        </w:tc>
      </w:tr>
      <w:tr>
        <w:tblPrEx>
          <w:tblCellMar>
            <w:top w:w="0" w:type="dxa"/>
            <w:left w:w="0" w:type="dxa"/>
            <w:bottom w:w="0" w:type="dxa"/>
            <w:right w:w="0" w:type="dxa"/>
          </w:tblCellMar>
        </w:tblPrEx>
        <w:trPr>
          <w:trHeight w:val="444" w:hRule="atLeast"/>
        </w:trPr>
        <w:tc>
          <w:tcPr>
            <w:tcW w:w="366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center"/>
              <w:rPr>
                <w:rFonts w:hint="eastAsia" w:ascii="仿宋" w:hAnsi="仿宋" w:eastAsia="仿宋" w:cs="仿宋"/>
                <w:color w:val="222222"/>
                <w:kern w:val="0"/>
                <w:sz w:val="24"/>
                <w:szCs w:val="24"/>
              </w:rPr>
            </w:pPr>
            <w:r>
              <w:rPr>
                <w:rFonts w:hint="eastAsia" w:ascii="仿宋" w:hAnsi="仿宋" w:eastAsia="仿宋" w:cs="仿宋"/>
                <w:b/>
                <w:bCs/>
                <w:color w:val="222222"/>
                <w:kern w:val="0"/>
                <w:sz w:val="24"/>
                <w:szCs w:val="24"/>
              </w:rPr>
              <w:t>收入预算合计</w:t>
            </w:r>
          </w:p>
        </w:tc>
        <w:tc>
          <w:tcPr>
            <w:tcW w:w="583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center"/>
              <w:rPr>
                <w:rFonts w:hint="default" w:ascii="仿宋" w:hAnsi="仿宋" w:eastAsia="仿宋" w:cs="仿宋"/>
                <w:i/>
                <w:iCs/>
                <w:color w:val="222222"/>
                <w:kern w:val="0"/>
                <w:sz w:val="24"/>
                <w:szCs w:val="24"/>
                <w:lang w:val="en-US" w:eastAsia="zh-CN"/>
              </w:rPr>
            </w:pPr>
            <w:r>
              <w:rPr>
                <w:rFonts w:hint="eastAsia" w:ascii="仿宋" w:hAnsi="仿宋" w:eastAsia="仿宋" w:cs="仿宋"/>
                <w:i/>
                <w:iCs/>
                <w:color w:val="222222"/>
                <w:kern w:val="0"/>
                <w:sz w:val="24"/>
                <w:szCs w:val="24"/>
                <w:lang w:val="en-US" w:eastAsia="zh-CN"/>
              </w:rPr>
              <w:t>1138.71</w:t>
            </w:r>
          </w:p>
        </w:tc>
      </w:tr>
      <w:tr>
        <w:tblPrEx>
          <w:tblCellMar>
            <w:top w:w="0" w:type="dxa"/>
            <w:left w:w="0" w:type="dxa"/>
            <w:bottom w:w="0" w:type="dxa"/>
            <w:right w:w="0" w:type="dxa"/>
          </w:tblCellMar>
        </w:tblPrEx>
        <w:trPr>
          <w:trHeight w:val="489" w:hRule="atLeast"/>
        </w:trPr>
        <w:tc>
          <w:tcPr>
            <w:tcW w:w="366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基本支出</w:t>
            </w:r>
          </w:p>
        </w:tc>
        <w:tc>
          <w:tcPr>
            <w:tcW w:w="583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default" w:ascii="仿宋" w:hAnsi="仿宋" w:eastAsia="仿宋" w:cs="仿宋"/>
                <w:color w:val="222222"/>
                <w:kern w:val="0"/>
                <w:sz w:val="24"/>
                <w:szCs w:val="24"/>
                <w:lang w:val="en-US" w:eastAsia="zh-CN"/>
              </w:rPr>
            </w:pPr>
            <w:r>
              <w:rPr>
                <w:rFonts w:hint="eastAsia" w:ascii="仿宋" w:hAnsi="仿宋" w:eastAsia="仿宋" w:cs="仿宋"/>
                <w:color w:val="222222"/>
                <w:kern w:val="0"/>
                <w:sz w:val="24"/>
                <w:szCs w:val="24"/>
                <w:lang w:val="en-US" w:eastAsia="zh-CN"/>
              </w:rPr>
              <w:t>861.71</w:t>
            </w:r>
          </w:p>
        </w:tc>
      </w:tr>
      <w:tr>
        <w:tblPrEx>
          <w:tblCellMar>
            <w:top w:w="0" w:type="dxa"/>
            <w:left w:w="0" w:type="dxa"/>
            <w:bottom w:w="0" w:type="dxa"/>
            <w:right w:w="0" w:type="dxa"/>
          </w:tblCellMar>
        </w:tblPrEx>
        <w:trPr>
          <w:trHeight w:val="592" w:hRule="atLeast"/>
        </w:trPr>
        <w:tc>
          <w:tcPr>
            <w:tcW w:w="366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其中：财政拨款支出</w:t>
            </w:r>
          </w:p>
        </w:tc>
        <w:tc>
          <w:tcPr>
            <w:tcW w:w="583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default" w:ascii="仿宋" w:hAnsi="仿宋" w:eastAsia="仿宋" w:cs="仿宋"/>
                <w:color w:val="222222"/>
                <w:kern w:val="0"/>
                <w:sz w:val="24"/>
                <w:szCs w:val="24"/>
                <w:lang w:val="en-US" w:eastAsia="zh-CN"/>
              </w:rPr>
            </w:pPr>
            <w:r>
              <w:rPr>
                <w:rFonts w:hint="eastAsia" w:ascii="仿宋" w:hAnsi="仿宋" w:eastAsia="仿宋" w:cs="仿宋"/>
                <w:color w:val="222222"/>
                <w:kern w:val="0"/>
                <w:sz w:val="24"/>
                <w:szCs w:val="24"/>
                <w:lang w:val="en-US" w:eastAsia="zh-CN"/>
              </w:rPr>
              <w:t>861.71</w:t>
            </w:r>
          </w:p>
        </w:tc>
      </w:tr>
      <w:tr>
        <w:tblPrEx>
          <w:tblCellMar>
            <w:top w:w="0" w:type="dxa"/>
            <w:left w:w="0" w:type="dxa"/>
            <w:bottom w:w="0" w:type="dxa"/>
            <w:right w:w="0" w:type="dxa"/>
          </w:tblCellMar>
        </w:tblPrEx>
        <w:trPr>
          <w:trHeight w:val="592" w:hRule="atLeast"/>
        </w:trPr>
        <w:tc>
          <w:tcPr>
            <w:tcW w:w="366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项目支出</w:t>
            </w:r>
          </w:p>
        </w:tc>
        <w:tc>
          <w:tcPr>
            <w:tcW w:w="583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default" w:ascii="仿宋" w:hAnsi="仿宋" w:eastAsia="仿宋" w:cs="仿宋"/>
                <w:color w:val="222222"/>
                <w:kern w:val="0"/>
                <w:sz w:val="24"/>
                <w:szCs w:val="24"/>
                <w:lang w:val="en-US" w:eastAsia="zh-CN"/>
              </w:rPr>
            </w:pPr>
            <w:r>
              <w:rPr>
                <w:rFonts w:hint="eastAsia" w:ascii="仿宋" w:hAnsi="仿宋" w:eastAsia="仿宋" w:cs="仿宋"/>
                <w:color w:val="222222"/>
                <w:kern w:val="0"/>
                <w:sz w:val="24"/>
                <w:szCs w:val="24"/>
                <w:lang w:val="en-US" w:eastAsia="zh-CN"/>
              </w:rPr>
              <w:t>277</w:t>
            </w:r>
          </w:p>
        </w:tc>
      </w:tr>
      <w:tr>
        <w:tblPrEx>
          <w:tblCellMar>
            <w:top w:w="0" w:type="dxa"/>
            <w:left w:w="0" w:type="dxa"/>
            <w:bottom w:w="0" w:type="dxa"/>
            <w:right w:w="0" w:type="dxa"/>
          </w:tblCellMar>
        </w:tblPrEx>
        <w:trPr>
          <w:trHeight w:val="592" w:hRule="atLeast"/>
        </w:trPr>
        <w:tc>
          <w:tcPr>
            <w:tcW w:w="366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其中：财政拨款支出</w:t>
            </w:r>
          </w:p>
        </w:tc>
        <w:tc>
          <w:tcPr>
            <w:tcW w:w="583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default" w:ascii="仿宋" w:hAnsi="仿宋" w:eastAsia="仿宋" w:cs="仿宋"/>
                <w:color w:val="222222"/>
                <w:kern w:val="0"/>
                <w:sz w:val="24"/>
                <w:szCs w:val="24"/>
                <w:lang w:val="en-US" w:eastAsia="zh-CN"/>
              </w:rPr>
            </w:pPr>
            <w:r>
              <w:rPr>
                <w:rFonts w:hint="eastAsia" w:ascii="仿宋" w:hAnsi="仿宋" w:eastAsia="仿宋" w:cs="仿宋"/>
                <w:color w:val="222222"/>
                <w:kern w:val="0"/>
                <w:sz w:val="24"/>
                <w:szCs w:val="24"/>
                <w:lang w:val="en-US" w:eastAsia="zh-CN"/>
              </w:rPr>
              <w:t>277</w:t>
            </w:r>
          </w:p>
        </w:tc>
      </w:tr>
      <w:tr>
        <w:tblPrEx>
          <w:tblCellMar>
            <w:top w:w="0" w:type="dxa"/>
            <w:left w:w="0" w:type="dxa"/>
            <w:bottom w:w="0" w:type="dxa"/>
            <w:right w:w="0" w:type="dxa"/>
          </w:tblCellMar>
        </w:tblPrEx>
        <w:trPr>
          <w:trHeight w:val="592" w:hRule="atLeast"/>
        </w:trPr>
        <w:tc>
          <w:tcPr>
            <w:tcW w:w="3662" w:type="dxa"/>
            <w:tcBorders>
              <w:top w:val="nil"/>
              <w:left w:val="single" w:color="000000" w:sz="8" w:space="0"/>
              <w:bottom w:val="nil"/>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center"/>
              <w:rPr>
                <w:rFonts w:hint="eastAsia" w:ascii="仿宋" w:hAnsi="仿宋" w:eastAsia="仿宋" w:cs="仿宋"/>
                <w:color w:val="222222"/>
                <w:kern w:val="0"/>
                <w:sz w:val="24"/>
                <w:szCs w:val="24"/>
              </w:rPr>
            </w:pPr>
            <w:r>
              <w:rPr>
                <w:rFonts w:hint="eastAsia" w:ascii="仿宋" w:hAnsi="仿宋" w:eastAsia="仿宋" w:cs="仿宋"/>
                <w:b/>
                <w:bCs/>
                <w:color w:val="222222"/>
                <w:kern w:val="0"/>
                <w:sz w:val="24"/>
                <w:szCs w:val="24"/>
              </w:rPr>
              <w:t>支出预算合计</w:t>
            </w:r>
          </w:p>
        </w:tc>
        <w:tc>
          <w:tcPr>
            <w:tcW w:w="5837" w:type="dxa"/>
            <w:tcBorders>
              <w:top w:val="nil"/>
              <w:left w:val="nil"/>
              <w:bottom w:val="nil"/>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center"/>
              <w:rPr>
                <w:rFonts w:hint="default" w:ascii="仿宋" w:hAnsi="仿宋" w:eastAsia="仿宋" w:cs="仿宋"/>
                <w:color w:val="222222"/>
                <w:kern w:val="0"/>
                <w:sz w:val="24"/>
                <w:szCs w:val="24"/>
                <w:lang w:val="en-US" w:eastAsia="zh-CN"/>
              </w:rPr>
            </w:pPr>
            <w:r>
              <w:rPr>
                <w:rFonts w:hint="eastAsia" w:ascii="仿宋" w:hAnsi="仿宋" w:eastAsia="仿宋" w:cs="仿宋"/>
                <w:b/>
                <w:bCs/>
                <w:color w:val="222222"/>
                <w:kern w:val="0"/>
                <w:sz w:val="24"/>
                <w:szCs w:val="24"/>
                <w:lang w:val="en-US" w:eastAsia="zh-CN"/>
              </w:rPr>
              <w:t>1138.71</w:t>
            </w:r>
          </w:p>
        </w:tc>
      </w:tr>
      <w:tr>
        <w:tblPrEx>
          <w:tblCellMar>
            <w:top w:w="0" w:type="dxa"/>
            <w:left w:w="0" w:type="dxa"/>
            <w:bottom w:w="0" w:type="dxa"/>
            <w:right w:w="0" w:type="dxa"/>
          </w:tblCellMar>
        </w:tblPrEx>
        <w:trPr>
          <w:trHeight w:val="592" w:hRule="atLeast"/>
        </w:trPr>
        <w:tc>
          <w:tcPr>
            <w:tcW w:w="366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center"/>
              <w:rPr>
                <w:rFonts w:hint="eastAsia" w:ascii="仿宋" w:hAnsi="仿宋" w:eastAsia="仿宋" w:cs="仿宋"/>
                <w:b/>
                <w:bCs/>
                <w:color w:val="222222"/>
                <w:kern w:val="0"/>
                <w:sz w:val="24"/>
                <w:szCs w:val="24"/>
              </w:rPr>
            </w:pPr>
          </w:p>
        </w:tc>
        <w:tc>
          <w:tcPr>
            <w:tcW w:w="583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center"/>
              <w:rPr>
                <w:rFonts w:hint="eastAsia" w:ascii="仿宋" w:hAnsi="仿宋" w:eastAsia="仿宋" w:cs="仿宋"/>
                <w:b/>
                <w:bCs/>
                <w:color w:val="222222"/>
                <w:kern w:val="0"/>
                <w:sz w:val="24"/>
                <w:szCs w:val="24"/>
                <w:lang w:val="en-US" w:eastAsia="zh-CN"/>
              </w:rPr>
            </w:pPr>
          </w:p>
        </w:tc>
      </w:tr>
    </w:tbl>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从年初批复预算来看：我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收入预算为</w:t>
      </w:r>
      <w:r>
        <w:rPr>
          <w:rFonts w:hint="eastAsia" w:ascii="仿宋" w:hAnsi="仿宋" w:eastAsia="仿宋" w:cs="仿宋"/>
          <w:color w:val="222222"/>
          <w:kern w:val="0"/>
          <w:sz w:val="32"/>
          <w:szCs w:val="32"/>
          <w:lang w:val="en-US" w:eastAsia="zh-CN"/>
        </w:rPr>
        <w:t>1138.71</w:t>
      </w:r>
      <w:r>
        <w:rPr>
          <w:rFonts w:hint="eastAsia" w:ascii="仿宋" w:hAnsi="仿宋" w:eastAsia="仿宋" w:cs="仿宋"/>
          <w:color w:val="222222"/>
          <w:kern w:val="0"/>
          <w:sz w:val="32"/>
          <w:szCs w:val="32"/>
        </w:rPr>
        <w:t>万元，其中，</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本级财政拨款</w:t>
      </w:r>
      <w:r>
        <w:rPr>
          <w:rFonts w:hint="eastAsia" w:ascii="仿宋" w:hAnsi="仿宋" w:eastAsia="仿宋" w:cs="仿宋"/>
          <w:color w:val="222222"/>
          <w:kern w:val="0"/>
          <w:sz w:val="32"/>
          <w:szCs w:val="32"/>
          <w:lang w:val="en-US" w:eastAsia="zh-CN"/>
        </w:rPr>
        <w:t>1038.71</w:t>
      </w:r>
      <w:r>
        <w:rPr>
          <w:rFonts w:hint="eastAsia" w:ascii="仿宋" w:hAnsi="仿宋" w:eastAsia="仿宋" w:cs="仿宋"/>
          <w:color w:val="222222"/>
          <w:kern w:val="0"/>
          <w:sz w:val="32"/>
          <w:szCs w:val="32"/>
        </w:rPr>
        <w:t>万元，纳入专户管理非税收入</w:t>
      </w:r>
      <w:r>
        <w:rPr>
          <w:rFonts w:hint="eastAsia" w:ascii="仿宋" w:hAnsi="仿宋" w:eastAsia="仿宋" w:cs="仿宋"/>
          <w:color w:val="222222"/>
          <w:kern w:val="0"/>
          <w:sz w:val="32"/>
          <w:szCs w:val="32"/>
          <w:lang w:val="en-US" w:eastAsia="zh-CN"/>
        </w:rPr>
        <w:t>100</w:t>
      </w:r>
      <w:r>
        <w:rPr>
          <w:rFonts w:hint="eastAsia" w:ascii="仿宋" w:hAnsi="仿宋" w:eastAsia="仿宋" w:cs="仿宋"/>
          <w:color w:val="222222"/>
          <w:kern w:val="0"/>
          <w:sz w:val="32"/>
          <w:szCs w:val="32"/>
        </w:rPr>
        <w:t>万元。 支出预算中</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本级支出</w:t>
      </w:r>
      <w:r>
        <w:rPr>
          <w:rFonts w:hint="eastAsia" w:ascii="仿宋" w:hAnsi="仿宋" w:eastAsia="仿宋" w:cs="仿宋"/>
          <w:color w:val="222222"/>
          <w:kern w:val="0"/>
          <w:sz w:val="32"/>
          <w:szCs w:val="32"/>
          <w:lang w:val="en-US" w:eastAsia="zh-CN"/>
        </w:rPr>
        <w:t>1138.71</w:t>
      </w:r>
      <w:r>
        <w:rPr>
          <w:rFonts w:hint="eastAsia" w:ascii="仿宋" w:hAnsi="仿宋" w:eastAsia="仿宋" w:cs="仿宋"/>
          <w:color w:val="222222"/>
          <w:kern w:val="0"/>
          <w:sz w:val="32"/>
          <w:szCs w:val="32"/>
        </w:rPr>
        <w:t>万元，其中，基本支出</w:t>
      </w:r>
      <w:r>
        <w:rPr>
          <w:rFonts w:hint="eastAsia" w:ascii="仿宋" w:hAnsi="仿宋" w:eastAsia="仿宋" w:cs="仿宋"/>
          <w:color w:val="222222"/>
          <w:kern w:val="0"/>
          <w:sz w:val="32"/>
          <w:szCs w:val="32"/>
          <w:lang w:val="en-US" w:eastAsia="zh-CN"/>
        </w:rPr>
        <w:t>861.71</w:t>
      </w:r>
      <w:r>
        <w:rPr>
          <w:rFonts w:hint="eastAsia" w:ascii="仿宋" w:hAnsi="仿宋" w:eastAsia="仿宋" w:cs="仿宋"/>
          <w:color w:val="222222"/>
          <w:kern w:val="0"/>
          <w:sz w:val="32"/>
          <w:szCs w:val="32"/>
        </w:rPr>
        <w:t>万元，占</w:t>
      </w:r>
      <w:r>
        <w:rPr>
          <w:rFonts w:hint="eastAsia" w:ascii="仿宋" w:hAnsi="仿宋" w:eastAsia="仿宋" w:cs="仿宋"/>
          <w:color w:val="222222"/>
          <w:kern w:val="0"/>
          <w:sz w:val="32"/>
          <w:szCs w:val="32"/>
          <w:lang w:eastAsia="zh-CN"/>
        </w:rPr>
        <w:t>总</w:t>
      </w:r>
      <w:r>
        <w:rPr>
          <w:rFonts w:hint="eastAsia" w:ascii="仿宋" w:hAnsi="仿宋" w:eastAsia="仿宋" w:cs="仿宋"/>
          <w:color w:val="222222"/>
          <w:kern w:val="0"/>
          <w:sz w:val="32"/>
          <w:szCs w:val="32"/>
        </w:rPr>
        <w:t>支出预算</w:t>
      </w:r>
      <w:r>
        <w:rPr>
          <w:rFonts w:hint="eastAsia" w:ascii="仿宋" w:hAnsi="仿宋" w:eastAsia="仿宋" w:cs="仿宋"/>
          <w:color w:val="222222"/>
          <w:kern w:val="0"/>
          <w:sz w:val="32"/>
          <w:szCs w:val="32"/>
          <w:lang w:val="en-US" w:eastAsia="zh-CN"/>
        </w:rPr>
        <w:t>75.7</w:t>
      </w:r>
      <w:r>
        <w:rPr>
          <w:rFonts w:hint="eastAsia" w:ascii="仿宋" w:hAnsi="仿宋" w:eastAsia="仿宋" w:cs="仿宋"/>
          <w:color w:val="222222"/>
          <w:kern w:val="0"/>
          <w:sz w:val="32"/>
          <w:szCs w:val="32"/>
        </w:rPr>
        <w:t>%，项目支出</w:t>
      </w:r>
      <w:r>
        <w:rPr>
          <w:rFonts w:hint="eastAsia" w:ascii="仿宋" w:hAnsi="仿宋" w:eastAsia="仿宋" w:cs="仿宋"/>
          <w:color w:val="222222"/>
          <w:kern w:val="0"/>
          <w:sz w:val="32"/>
          <w:szCs w:val="32"/>
          <w:lang w:val="en-US" w:eastAsia="zh-CN"/>
        </w:rPr>
        <w:t>277</w:t>
      </w:r>
      <w:r>
        <w:rPr>
          <w:rFonts w:hint="eastAsia" w:ascii="仿宋" w:hAnsi="仿宋" w:eastAsia="仿宋" w:cs="仿宋"/>
          <w:color w:val="222222"/>
          <w:kern w:val="0"/>
          <w:sz w:val="32"/>
          <w:szCs w:val="32"/>
        </w:rPr>
        <w:t>万元，占</w:t>
      </w:r>
      <w:r>
        <w:rPr>
          <w:rFonts w:hint="eastAsia" w:ascii="仿宋" w:hAnsi="仿宋" w:eastAsia="仿宋" w:cs="仿宋"/>
          <w:color w:val="222222"/>
          <w:kern w:val="0"/>
          <w:sz w:val="32"/>
          <w:szCs w:val="32"/>
          <w:lang w:eastAsia="zh-CN"/>
        </w:rPr>
        <w:t>总</w:t>
      </w:r>
      <w:r>
        <w:rPr>
          <w:rFonts w:hint="eastAsia" w:ascii="仿宋" w:hAnsi="仿宋" w:eastAsia="仿宋" w:cs="仿宋"/>
          <w:color w:val="222222"/>
          <w:kern w:val="0"/>
          <w:sz w:val="32"/>
          <w:szCs w:val="32"/>
        </w:rPr>
        <w:t>支出预算</w:t>
      </w:r>
      <w:r>
        <w:rPr>
          <w:rFonts w:hint="eastAsia" w:ascii="仿宋" w:hAnsi="仿宋" w:eastAsia="仿宋" w:cs="仿宋"/>
          <w:color w:val="222222"/>
          <w:kern w:val="0"/>
          <w:sz w:val="32"/>
          <w:szCs w:val="32"/>
          <w:lang w:val="en-US" w:eastAsia="zh-CN"/>
        </w:rPr>
        <w:t>24.3</w:t>
      </w:r>
      <w:r>
        <w:rPr>
          <w:rFonts w:hint="eastAsia" w:ascii="仿宋" w:hAnsi="仿宋" w:eastAsia="仿宋" w:cs="仿宋"/>
          <w:color w:val="222222"/>
          <w:kern w:val="0"/>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（2）本年度财政追加指标、上年结转资金、年度可用金额情况</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根据</w:t>
      </w:r>
      <w:r>
        <w:rPr>
          <w:rFonts w:hint="eastAsia" w:ascii="仿宋" w:hAnsi="仿宋" w:eastAsia="仿宋" w:cs="仿宋"/>
          <w:color w:val="222222"/>
          <w:kern w:val="0"/>
          <w:sz w:val="32"/>
          <w:szCs w:val="32"/>
          <w:lang w:eastAsia="zh-CN"/>
        </w:rPr>
        <w:t>湘</w:t>
      </w:r>
      <w:r>
        <w:rPr>
          <w:rFonts w:hint="eastAsia" w:ascii="仿宋" w:hAnsi="仿宋" w:eastAsia="仿宋" w:cs="仿宋"/>
          <w:color w:val="222222"/>
          <w:kern w:val="0"/>
          <w:sz w:val="32"/>
          <w:szCs w:val="32"/>
        </w:rPr>
        <w:t>财</w:t>
      </w:r>
      <w:r>
        <w:rPr>
          <w:rFonts w:hint="eastAsia" w:ascii="仿宋" w:hAnsi="仿宋" w:eastAsia="仿宋" w:cs="仿宋"/>
          <w:color w:val="222222"/>
          <w:kern w:val="0"/>
          <w:sz w:val="32"/>
          <w:szCs w:val="32"/>
          <w:lang w:eastAsia="zh-CN"/>
        </w:rPr>
        <w:t>预</w:t>
      </w:r>
      <w:r>
        <w:rPr>
          <w:rFonts w:hint="eastAsia" w:ascii="仿宋" w:hAnsi="仿宋" w:eastAsia="仿宋" w:cs="仿宋"/>
          <w:color w:val="222222"/>
          <w:kern w:val="0"/>
          <w:sz w:val="32"/>
          <w:szCs w:val="32"/>
        </w:rPr>
        <w:t>《湖南省财政厅关于</w:t>
      </w:r>
      <w:r>
        <w:rPr>
          <w:rFonts w:hint="eastAsia" w:ascii="仿宋" w:hAnsi="仿宋" w:eastAsia="仿宋" w:cs="仿宋"/>
          <w:color w:val="222222"/>
          <w:kern w:val="0"/>
          <w:sz w:val="32"/>
          <w:szCs w:val="32"/>
          <w:lang w:eastAsia="zh-CN"/>
        </w:rPr>
        <w:t>下达</w:t>
      </w:r>
      <w:r>
        <w:rPr>
          <w:rFonts w:hint="eastAsia" w:ascii="仿宋" w:hAnsi="仿宋" w:eastAsia="仿宋" w:cs="仿宋"/>
          <w:color w:val="222222"/>
          <w:kern w:val="0"/>
          <w:sz w:val="32"/>
          <w:szCs w:val="32"/>
          <w:lang w:val="en-US" w:eastAsia="zh-CN"/>
        </w:rPr>
        <w:t>2021年央补助地方公共文化服务体系建设无线覆盖模拟、数字运维资金</w:t>
      </w:r>
      <w:r>
        <w:rPr>
          <w:rFonts w:hint="eastAsia" w:ascii="仿宋" w:hAnsi="仿宋" w:eastAsia="仿宋" w:cs="仿宋"/>
          <w:color w:val="222222"/>
          <w:kern w:val="0"/>
          <w:sz w:val="32"/>
          <w:szCs w:val="32"/>
        </w:rPr>
        <w:t>的通知》（湘财预函﹝20</w:t>
      </w:r>
      <w:r>
        <w:rPr>
          <w:rFonts w:hint="eastAsia" w:ascii="仿宋" w:hAnsi="仿宋" w:eastAsia="仿宋" w:cs="仿宋"/>
          <w:color w:val="222222"/>
          <w:kern w:val="0"/>
          <w:sz w:val="32"/>
          <w:szCs w:val="32"/>
          <w:lang w:val="en-US" w:eastAsia="zh-CN"/>
        </w:rPr>
        <w:t>20</w:t>
      </w:r>
      <w:r>
        <w:rPr>
          <w:rFonts w:hint="eastAsia" w:ascii="仿宋" w:hAnsi="仿宋" w:eastAsia="仿宋" w:cs="仿宋"/>
          <w:color w:val="222222"/>
          <w:kern w:val="0"/>
          <w:sz w:val="32"/>
          <w:szCs w:val="32"/>
        </w:rPr>
        <w:t>﹞</w:t>
      </w:r>
      <w:r>
        <w:rPr>
          <w:rFonts w:hint="eastAsia" w:ascii="仿宋" w:hAnsi="仿宋" w:eastAsia="仿宋" w:cs="仿宋"/>
          <w:color w:val="222222"/>
          <w:kern w:val="0"/>
          <w:sz w:val="32"/>
          <w:szCs w:val="32"/>
          <w:lang w:val="en-US" w:eastAsia="zh-CN"/>
        </w:rPr>
        <w:t>0</w:t>
      </w:r>
      <w:r>
        <w:rPr>
          <w:rFonts w:hint="eastAsia" w:ascii="仿宋" w:hAnsi="仿宋" w:eastAsia="仿宋" w:cs="仿宋"/>
          <w:color w:val="222222"/>
          <w:kern w:val="0"/>
          <w:sz w:val="32"/>
          <w:szCs w:val="32"/>
        </w:rPr>
        <w:t>3</w:t>
      </w:r>
      <w:r>
        <w:rPr>
          <w:rFonts w:hint="eastAsia" w:ascii="仿宋" w:hAnsi="仿宋" w:eastAsia="仿宋" w:cs="仿宋"/>
          <w:color w:val="222222"/>
          <w:kern w:val="0"/>
          <w:sz w:val="32"/>
          <w:szCs w:val="32"/>
          <w:lang w:val="en-US" w:eastAsia="zh-CN"/>
        </w:rPr>
        <w:t>08</w:t>
      </w:r>
      <w:r>
        <w:rPr>
          <w:rFonts w:hint="eastAsia" w:ascii="仿宋" w:hAnsi="仿宋" w:eastAsia="仿宋" w:cs="仿宋"/>
          <w:color w:val="222222"/>
          <w:kern w:val="0"/>
          <w:sz w:val="32"/>
          <w:szCs w:val="32"/>
        </w:rPr>
        <w:t>号）文件</w:t>
      </w:r>
      <w:r>
        <w:rPr>
          <w:rFonts w:hint="eastAsia" w:ascii="仿宋" w:hAnsi="仿宋" w:eastAsia="仿宋" w:cs="仿宋"/>
          <w:color w:val="222222"/>
          <w:kern w:val="0"/>
          <w:sz w:val="32"/>
          <w:szCs w:val="32"/>
          <w:lang w:val="en-US" w:eastAsia="zh-CN"/>
        </w:rPr>
        <w:t>33.38万元</w:t>
      </w:r>
      <w:r>
        <w:rPr>
          <w:rFonts w:hint="eastAsia" w:ascii="仿宋" w:hAnsi="仿宋" w:eastAsia="仿宋" w:cs="仿宋"/>
          <w:color w:val="222222"/>
          <w:kern w:val="0"/>
          <w:sz w:val="32"/>
          <w:szCs w:val="32"/>
          <w:lang w:eastAsia="zh-CN"/>
        </w:rPr>
        <w:t>；湘财预</w:t>
      </w:r>
      <w:r>
        <w:rPr>
          <w:rFonts w:hint="eastAsia" w:ascii="仿宋" w:hAnsi="仿宋" w:eastAsia="仿宋" w:cs="仿宋"/>
          <w:color w:val="222222"/>
          <w:kern w:val="0"/>
          <w:sz w:val="32"/>
          <w:szCs w:val="32"/>
          <w:lang w:val="en-US" w:eastAsia="zh-CN"/>
        </w:rPr>
        <w:t>[2020]0158号2020年公共文化服务建设（农村文化建设）专项资金10万元；湘财文指[2020]0064号2020年公共文化服务建设（农村文化建设）专项资金8.1万元；湘财行指[2021]0031号2021年全省县级人大换届选举省级补助经费4万元；财政增拨《这一片热土》拍摄经费35万元；新闻工作经费30万元；《我的入党故事》栏目费3万元；邵阳广播电视台专题报道经费10万元等。</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本年度财政追加指标、上年度</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本级结转资金及年度可用指标情况如下：</w:t>
      </w:r>
    </w:p>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8"/>
          <w:szCs w:val="28"/>
        </w:rPr>
      </w:pPr>
      <w:r>
        <w:rPr>
          <w:rFonts w:hint="eastAsia" w:ascii="仿宋" w:hAnsi="仿宋" w:eastAsia="仿宋" w:cs="仿宋"/>
          <w:b w:val="0"/>
          <w:bCs w:val="0"/>
          <w:color w:val="222222"/>
          <w:kern w:val="0"/>
          <w:sz w:val="28"/>
          <w:szCs w:val="28"/>
          <w:lang w:eastAsia="zh-CN"/>
        </w:rPr>
        <w:t>中心</w:t>
      </w:r>
      <w:r>
        <w:rPr>
          <w:rFonts w:hint="eastAsia" w:ascii="仿宋" w:hAnsi="仿宋" w:eastAsia="仿宋" w:cs="仿宋"/>
          <w:b w:val="0"/>
          <w:bCs w:val="0"/>
          <w:color w:val="222222"/>
          <w:kern w:val="0"/>
          <w:sz w:val="28"/>
          <w:szCs w:val="28"/>
        </w:rPr>
        <w:t>本级全年可用预算指标</w:t>
      </w:r>
      <w:r>
        <w:rPr>
          <w:rFonts w:hint="eastAsia" w:ascii="仿宋" w:hAnsi="仿宋" w:eastAsia="仿宋" w:cs="仿宋"/>
          <w:b w:val="0"/>
          <w:bCs w:val="0"/>
          <w:color w:val="222222"/>
          <w:kern w:val="0"/>
          <w:sz w:val="28"/>
          <w:szCs w:val="28"/>
          <w:lang w:eastAsia="zh-CN"/>
        </w:rPr>
        <w:t>表</w:t>
      </w:r>
    </w:p>
    <w:p>
      <w:pPr>
        <w:keepNext w:val="0"/>
        <w:keepLines w:val="0"/>
        <w:pageBreakBefore w:val="0"/>
        <w:widowControl/>
        <w:kinsoku/>
        <w:wordWrap/>
        <w:overflowPunct/>
        <w:topLinePunct w:val="0"/>
        <w:autoSpaceDE/>
        <w:autoSpaceDN/>
        <w:bidi w:val="0"/>
        <w:adjustRightInd/>
        <w:snapToGrid/>
        <w:spacing w:line="540" w:lineRule="exact"/>
        <w:ind w:firstLine="6960" w:firstLineChars="2900"/>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单位：万元</w:t>
      </w:r>
    </w:p>
    <w:tbl>
      <w:tblPr>
        <w:tblStyle w:val="6"/>
        <w:tblW w:w="0" w:type="auto"/>
        <w:tblInd w:w="150" w:type="dxa"/>
        <w:tblLayout w:type="fixed"/>
        <w:tblCellMar>
          <w:top w:w="0" w:type="dxa"/>
          <w:left w:w="0" w:type="dxa"/>
          <w:bottom w:w="0" w:type="dxa"/>
          <w:right w:w="0" w:type="dxa"/>
        </w:tblCellMar>
      </w:tblPr>
      <w:tblGrid>
        <w:gridCol w:w="2318"/>
        <w:gridCol w:w="2191"/>
        <w:gridCol w:w="2228"/>
        <w:gridCol w:w="2110"/>
      </w:tblGrid>
      <w:tr>
        <w:tblPrEx>
          <w:tblCellMar>
            <w:top w:w="0" w:type="dxa"/>
            <w:left w:w="0" w:type="dxa"/>
            <w:bottom w:w="0" w:type="dxa"/>
            <w:right w:w="0" w:type="dxa"/>
          </w:tblCellMar>
        </w:tblPrEx>
        <w:trPr>
          <w:trHeight w:val="450" w:hRule="atLeast"/>
        </w:trPr>
        <w:tc>
          <w:tcPr>
            <w:tcW w:w="231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项 目</w:t>
            </w:r>
          </w:p>
        </w:tc>
        <w:tc>
          <w:tcPr>
            <w:tcW w:w="219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基本支出</w:t>
            </w:r>
          </w:p>
        </w:tc>
        <w:tc>
          <w:tcPr>
            <w:tcW w:w="2228"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项目支出</w:t>
            </w:r>
          </w:p>
        </w:tc>
        <w:tc>
          <w:tcPr>
            <w:tcW w:w="211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合 计</w:t>
            </w:r>
          </w:p>
        </w:tc>
      </w:tr>
      <w:tr>
        <w:tblPrEx>
          <w:tblCellMar>
            <w:top w:w="0" w:type="dxa"/>
            <w:left w:w="0" w:type="dxa"/>
            <w:bottom w:w="0" w:type="dxa"/>
            <w:right w:w="0" w:type="dxa"/>
          </w:tblCellMar>
        </w:tblPrEx>
        <w:trPr>
          <w:trHeight w:val="420" w:hRule="atLeast"/>
        </w:trPr>
        <w:tc>
          <w:tcPr>
            <w:tcW w:w="231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年初预算</w:t>
            </w:r>
          </w:p>
        </w:tc>
        <w:tc>
          <w:tcPr>
            <w:tcW w:w="219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861.71</w:t>
            </w:r>
          </w:p>
        </w:tc>
        <w:tc>
          <w:tcPr>
            <w:tcW w:w="22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277</w:t>
            </w:r>
          </w:p>
        </w:tc>
        <w:tc>
          <w:tcPr>
            <w:tcW w:w="2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1138.71</w:t>
            </w:r>
          </w:p>
        </w:tc>
      </w:tr>
      <w:tr>
        <w:tblPrEx>
          <w:tblCellMar>
            <w:top w:w="0" w:type="dxa"/>
            <w:left w:w="0" w:type="dxa"/>
            <w:bottom w:w="0" w:type="dxa"/>
            <w:right w:w="0" w:type="dxa"/>
          </w:tblCellMar>
        </w:tblPrEx>
        <w:trPr>
          <w:trHeight w:val="390" w:hRule="atLeast"/>
        </w:trPr>
        <w:tc>
          <w:tcPr>
            <w:tcW w:w="231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上年结转</w:t>
            </w:r>
          </w:p>
        </w:tc>
        <w:tc>
          <w:tcPr>
            <w:tcW w:w="219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139.48</w:t>
            </w:r>
          </w:p>
        </w:tc>
        <w:tc>
          <w:tcPr>
            <w:tcW w:w="22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40</w:t>
            </w:r>
          </w:p>
        </w:tc>
        <w:tc>
          <w:tcPr>
            <w:tcW w:w="2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179.48</w:t>
            </w:r>
          </w:p>
        </w:tc>
      </w:tr>
      <w:tr>
        <w:tblPrEx>
          <w:tblCellMar>
            <w:top w:w="0" w:type="dxa"/>
            <w:left w:w="0" w:type="dxa"/>
            <w:bottom w:w="0" w:type="dxa"/>
            <w:right w:w="0" w:type="dxa"/>
          </w:tblCellMar>
        </w:tblPrEx>
        <w:trPr>
          <w:trHeight w:val="345" w:hRule="atLeast"/>
        </w:trPr>
        <w:tc>
          <w:tcPr>
            <w:tcW w:w="231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本年追加</w:t>
            </w:r>
          </w:p>
        </w:tc>
        <w:tc>
          <w:tcPr>
            <w:tcW w:w="219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440.1</w:t>
            </w:r>
          </w:p>
        </w:tc>
        <w:tc>
          <w:tcPr>
            <w:tcW w:w="22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104</w:t>
            </w:r>
          </w:p>
        </w:tc>
        <w:tc>
          <w:tcPr>
            <w:tcW w:w="2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544.1</w:t>
            </w:r>
          </w:p>
        </w:tc>
      </w:tr>
      <w:tr>
        <w:tblPrEx>
          <w:tblCellMar>
            <w:top w:w="0" w:type="dxa"/>
            <w:left w:w="0" w:type="dxa"/>
            <w:bottom w:w="0" w:type="dxa"/>
            <w:right w:w="0" w:type="dxa"/>
          </w:tblCellMar>
        </w:tblPrEx>
        <w:trPr>
          <w:trHeight w:val="90" w:hRule="atLeast"/>
        </w:trPr>
        <w:tc>
          <w:tcPr>
            <w:tcW w:w="231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小 计</w:t>
            </w:r>
          </w:p>
        </w:tc>
        <w:tc>
          <w:tcPr>
            <w:tcW w:w="219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1441.29</w:t>
            </w:r>
          </w:p>
        </w:tc>
        <w:tc>
          <w:tcPr>
            <w:tcW w:w="22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421</w:t>
            </w:r>
          </w:p>
        </w:tc>
        <w:tc>
          <w:tcPr>
            <w:tcW w:w="2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1862.29</w:t>
            </w:r>
          </w:p>
        </w:tc>
      </w:tr>
    </w:tbl>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从上表可以反映：我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20</w:t>
      </w:r>
      <w:r>
        <w:rPr>
          <w:rFonts w:hint="eastAsia" w:ascii="仿宋" w:hAnsi="仿宋" w:eastAsia="仿宋" w:cs="仿宋"/>
          <w:color w:val="222222"/>
          <w:kern w:val="0"/>
          <w:sz w:val="32"/>
          <w:szCs w:val="32"/>
          <w:lang w:val="en-US" w:eastAsia="zh-CN"/>
        </w:rPr>
        <w:t>21</w:t>
      </w:r>
      <w:r>
        <w:rPr>
          <w:rFonts w:hint="eastAsia" w:ascii="仿宋" w:hAnsi="仿宋" w:eastAsia="仿宋" w:cs="仿宋"/>
          <w:color w:val="222222"/>
          <w:kern w:val="0"/>
          <w:sz w:val="32"/>
          <w:szCs w:val="32"/>
        </w:rPr>
        <w:t>年全年可用预算资金</w:t>
      </w:r>
      <w:r>
        <w:rPr>
          <w:rFonts w:hint="eastAsia" w:ascii="仿宋" w:hAnsi="仿宋" w:eastAsia="仿宋" w:cs="仿宋"/>
          <w:color w:val="222222"/>
          <w:kern w:val="0"/>
          <w:sz w:val="32"/>
          <w:szCs w:val="32"/>
          <w:lang w:val="en-US" w:eastAsia="zh-CN"/>
        </w:rPr>
        <w:t>1862.29</w:t>
      </w:r>
      <w:r>
        <w:rPr>
          <w:rFonts w:hint="eastAsia" w:ascii="仿宋" w:hAnsi="仿宋" w:eastAsia="仿宋" w:cs="仿宋"/>
          <w:color w:val="222222"/>
          <w:kern w:val="0"/>
          <w:sz w:val="32"/>
          <w:szCs w:val="32"/>
        </w:rPr>
        <w:t>万元，其中年初预算</w:t>
      </w:r>
      <w:r>
        <w:rPr>
          <w:rFonts w:hint="eastAsia" w:ascii="仿宋" w:hAnsi="仿宋" w:eastAsia="仿宋" w:cs="仿宋"/>
          <w:color w:val="222222"/>
          <w:kern w:val="0"/>
          <w:sz w:val="32"/>
          <w:szCs w:val="32"/>
          <w:lang w:val="en-US" w:eastAsia="zh-CN"/>
        </w:rPr>
        <w:t>1138.71</w:t>
      </w:r>
      <w:r>
        <w:rPr>
          <w:rFonts w:hint="eastAsia" w:ascii="仿宋" w:hAnsi="仿宋" w:eastAsia="仿宋" w:cs="仿宋"/>
          <w:color w:val="222222"/>
          <w:kern w:val="0"/>
          <w:sz w:val="32"/>
          <w:szCs w:val="32"/>
        </w:rPr>
        <w:t>万元，上年结转</w:t>
      </w:r>
      <w:r>
        <w:rPr>
          <w:rFonts w:hint="eastAsia" w:ascii="仿宋" w:hAnsi="仿宋" w:eastAsia="仿宋" w:cs="仿宋"/>
          <w:color w:val="222222"/>
          <w:kern w:val="0"/>
          <w:sz w:val="32"/>
          <w:szCs w:val="32"/>
          <w:lang w:val="en-US" w:eastAsia="zh-CN"/>
        </w:rPr>
        <w:t>179.48</w:t>
      </w:r>
      <w:r>
        <w:rPr>
          <w:rFonts w:hint="eastAsia" w:ascii="仿宋" w:hAnsi="仿宋" w:eastAsia="仿宋" w:cs="仿宋"/>
          <w:color w:val="222222"/>
          <w:kern w:val="0"/>
          <w:sz w:val="32"/>
          <w:szCs w:val="32"/>
        </w:rPr>
        <w:t>万元，本年追加资金</w:t>
      </w:r>
      <w:r>
        <w:rPr>
          <w:rFonts w:hint="eastAsia" w:ascii="仿宋" w:hAnsi="仿宋" w:eastAsia="仿宋" w:cs="仿宋"/>
          <w:color w:val="222222"/>
          <w:kern w:val="0"/>
          <w:sz w:val="32"/>
          <w:szCs w:val="32"/>
          <w:lang w:val="en-US" w:eastAsia="zh-CN"/>
        </w:rPr>
        <w:t>544.1</w:t>
      </w:r>
      <w:r>
        <w:rPr>
          <w:rFonts w:hint="eastAsia" w:ascii="仿宋" w:hAnsi="仿宋" w:eastAsia="仿宋" w:cs="仿宋"/>
          <w:color w:val="222222"/>
          <w:kern w:val="0"/>
          <w:sz w:val="32"/>
          <w:szCs w:val="32"/>
        </w:rPr>
        <w:t>万元。</w:t>
      </w:r>
    </w:p>
    <w:p>
      <w:pPr>
        <w:keepNext w:val="0"/>
        <w:keepLines w:val="0"/>
        <w:pageBreakBefore w:val="0"/>
        <w:widowControl/>
        <w:kinsoku/>
        <w:wordWrap/>
        <w:overflowPunct/>
        <w:topLinePunct w:val="0"/>
        <w:autoSpaceDE/>
        <w:autoSpaceDN/>
        <w:bidi w:val="0"/>
        <w:adjustRightInd/>
        <w:snapToGrid/>
        <w:spacing w:line="540" w:lineRule="exact"/>
        <w:ind w:firstLine="640"/>
        <w:jc w:val="left"/>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追加预算指标主要为</w:t>
      </w:r>
      <w:r>
        <w:rPr>
          <w:rFonts w:hint="eastAsia" w:ascii="仿宋" w:hAnsi="仿宋" w:eastAsia="仿宋" w:cs="仿宋"/>
          <w:color w:val="222222"/>
          <w:kern w:val="0"/>
          <w:sz w:val="32"/>
          <w:szCs w:val="32"/>
          <w:lang w:eastAsia="zh-CN"/>
        </w:rPr>
        <w:t>云山转播台基础设施建设资金、村村响户户通维护费、新闻工作经费及栏目拍摄经费，人员工资福利</w:t>
      </w:r>
      <w:r>
        <w:rPr>
          <w:rFonts w:hint="eastAsia" w:ascii="仿宋" w:hAnsi="仿宋" w:eastAsia="仿宋" w:cs="仿宋"/>
          <w:color w:val="222222"/>
          <w:kern w:val="0"/>
          <w:sz w:val="32"/>
          <w:szCs w:val="32"/>
          <w:lang w:val="en-US" w:eastAsia="zh-CN"/>
        </w:rPr>
        <w:t>等</w:t>
      </w:r>
      <w:r>
        <w:rPr>
          <w:rFonts w:hint="eastAsia" w:ascii="仿宋" w:hAnsi="仿宋" w:eastAsia="仿宋" w:cs="仿宋"/>
          <w:color w:val="222222"/>
          <w:kern w:val="0"/>
          <w:sz w:val="32"/>
          <w:szCs w:val="32"/>
        </w:rPr>
        <w:t>，具体情况如下：</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b w:val="0"/>
          <w:bCs w:val="0"/>
          <w:color w:val="222222"/>
          <w:kern w:val="0"/>
          <w:sz w:val="32"/>
          <w:szCs w:val="32"/>
        </w:rPr>
      </w:pPr>
      <w:r>
        <w:rPr>
          <w:rFonts w:hint="eastAsia" w:ascii="仿宋" w:hAnsi="仿宋" w:eastAsia="仿宋" w:cs="仿宋"/>
          <w:b w:val="0"/>
          <w:bCs w:val="0"/>
          <w:color w:val="222222"/>
          <w:kern w:val="0"/>
          <w:sz w:val="32"/>
          <w:szCs w:val="32"/>
        </w:rPr>
        <w:t>20</w:t>
      </w:r>
      <w:r>
        <w:rPr>
          <w:rFonts w:hint="eastAsia" w:ascii="仿宋" w:hAnsi="仿宋" w:eastAsia="仿宋" w:cs="仿宋"/>
          <w:b w:val="0"/>
          <w:bCs w:val="0"/>
          <w:color w:val="222222"/>
          <w:kern w:val="0"/>
          <w:sz w:val="32"/>
          <w:szCs w:val="32"/>
          <w:lang w:val="en-US" w:eastAsia="zh-CN"/>
        </w:rPr>
        <w:t>21</w:t>
      </w:r>
      <w:r>
        <w:rPr>
          <w:rFonts w:hint="eastAsia" w:ascii="仿宋" w:hAnsi="仿宋" w:eastAsia="仿宋" w:cs="仿宋"/>
          <w:b w:val="0"/>
          <w:bCs w:val="0"/>
          <w:color w:val="222222"/>
          <w:kern w:val="0"/>
          <w:sz w:val="32"/>
          <w:szCs w:val="32"/>
        </w:rPr>
        <w:t>年</w:t>
      </w:r>
      <w:r>
        <w:rPr>
          <w:rFonts w:hint="eastAsia" w:ascii="仿宋" w:hAnsi="仿宋" w:eastAsia="仿宋" w:cs="仿宋"/>
          <w:b w:val="0"/>
          <w:bCs w:val="0"/>
          <w:color w:val="222222"/>
          <w:kern w:val="0"/>
          <w:sz w:val="32"/>
          <w:szCs w:val="32"/>
          <w:lang w:eastAsia="zh-CN"/>
        </w:rPr>
        <w:t>中心</w:t>
      </w:r>
      <w:r>
        <w:rPr>
          <w:rFonts w:hint="eastAsia" w:ascii="仿宋" w:hAnsi="仿宋" w:eastAsia="仿宋" w:cs="仿宋"/>
          <w:b w:val="0"/>
          <w:bCs w:val="0"/>
          <w:color w:val="222222"/>
          <w:kern w:val="0"/>
          <w:sz w:val="32"/>
          <w:szCs w:val="32"/>
        </w:rPr>
        <w:t>本级追加事项明细表</w:t>
      </w:r>
    </w:p>
    <w:tbl>
      <w:tblPr>
        <w:tblStyle w:val="6"/>
        <w:tblW w:w="8860" w:type="dxa"/>
        <w:jc w:val="center"/>
        <w:tblLayout w:type="fixed"/>
        <w:tblCellMar>
          <w:top w:w="0" w:type="dxa"/>
          <w:left w:w="0" w:type="dxa"/>
          <w:bottom w:w="0" w:type="dxa"/>
          <w:right w:w="0" w:type="dxa"/>
        </w:tblCellMar>
      </w:tblPr>
      <w:tblGrid>
        <w:gridCol w:w="3768"/>
        <w:gridCol w:w="1420"/>
        <w:gridCol w:w="1883"/>
        <w:gridCol w:w="1789"/>
      </w:tblGrid>
      <w:tr>
        <w:tblPrEx>
          <w:tblCellMar>
            <w:top w:w="0" w:type="dxa"/>
            <w:left w:w="0" w:type="dxa"/>
            <w:bottom w:w="0" w:type="dxa"/>
            <w:right w:w="0" w:type="dxa"/>
          </w:tblCellMar>
        </w:tblPrEx>
        <w:trPr>
          <w:trHeight w:val="760" w:hRule="atLeast"/>
          <w:jc w:val="center"/>
        </w:trPr>
        <w:tc>
          <w:tcPr>
            <w:tcW w:w="376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追加事项</w:t>
            </w:r>
          </w:p>
        </w:tc>
        <w:tc>
          <w:tcPr>
            <w:tcW w:w="142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基本支出预算（万元）</w:t>
            </w:r>
          </w:p>
        </w:tc>
        <w:tc>
          <w:tcPr>
            <w:tcW w:w="1883"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追加事项</w:t>
            </w:r>
          </w:p>
        </w:tc>
        <w:tc>
          <w:tcPr>
            <w:tcW w:w="1789"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项目支出预算（万元）</w:t>
            </w:r>
          </w:p>
        </w:tc>
      </w:tr>
      <w:tr>
        <w:tblPrEx>
          <w:tblCellMar>
            <w:top w:w="0" w:type="dxa"/>
            <w:left w:w="0" w:type="dxa"/>
            <w:bottom w:w="0" w:type="dxa"/>
            <w:right w:w="0" w:type="dxa"/>
          </w:tblCellMar>
        </w:tblPrEx>
        <w:trPr>
          <w:trHeight w:val="465" w:hRule="atLeast"/>
          <w:jc w:val="center"/>
        </w:trPr>
        <w:tc>
          <w:tcPr>
            <w:tcW w:w="376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2021年临聘人员工资社会保险及补助人员职业年金单位部分</w:t>
            </w:r>
          </w:p>
        </w:tc>
        <w:tc>
          <w:tcPr>
            <w:tcW w:w="142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76.85</w:t>
            </w:r>
          </w:p>
        </w:tc>
        <w:tc>
          <w:tcPr>
            <w:tcW w:w="188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eastAsia="zh-CN"/>
              </w:rPr>
              <w:t>农村文化建设资金</w:t>
            </w:r>
          </w:p>
        </w:tc>
        <w:tc>
          <w:tcPr>
            <w:tcW w:w="17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10</w:t>
            </w:r>
          </w:p>
        </w:tc>
      </w:tr>
      <w:tr>
        <w:tblPrEx>
          <w:tblCellMar>
            <w:top w:w="0" w:type="dxa"/>
            <w:left w:w="0" w:type="dxa"/>
            <w:bottom w:w="0" w:type="dxa"/>
            <w:right w:w="0" w:type="dxa"/>
          </w:tblCellMar>
        </w:tblPrEx>
        <w:trPr>
          <w:trHeight w:val="465" w:hRule="atLeast"/>
          <w:jc w:val="center"/>
        </w:trPr>
        <w:tc>
          <w:tcPr>
            <w:tcW w:w="376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eastAsia="zh-CN"/>
              </w:rPr>
              <w:t>原新闻中心</w:t>
            </w:r>
            <w:r>
              <w:rPr>
                <w:rFonts w:hint="eastAsia" w:ascii="仿宋" w:hAnsi="仿宋" w:eastAsia="仿宋" w:cs="仿宋"/>
                <w:b w:val="0"/>
                <w:bCs w:val="0"/>
                <w:color w:val="222222"/>
                <w:kern w:val="0"/>
                <w:sz w:val="24"/>
                <w:szCs w:val="24"/>
                <w:lang w:val="en-US" w:eastAsia="zh-CN"/>
              </w:rPr>
              <w:t>2020年</w:t>
            </w:r>
            <w:r>
              <w:rPr>
                <w:rFonts w:hint="eastAsia" w:ascii="仿宋" w:hAnsi="仿宋" w:eastAsia="仿宋" w:cs="仿宋"/>
                <w:b w:val="0"/>
                <w:bCs w:val="0"/>
                <w:color w:val="222222"/>
                <w:kern w:val="0"/>
                <w:sz w:val="24"/>
                <w:szCs w:val="24"/>
                <w:lang w:eastAsia="zh-CN"/>
              </w:rPr>
              <w:t>绩效工资及社会保险单位部分、临聘人员工资</w:t>
            </w:r>
          </w:p>
        </w:tc>
        <w:tc>
          <w:tcPr>
            <w:tcW w:w="142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63.15</w:t>
            </w:r>
          </w:p>
        </w:tc>
        <w:tc>
          <w:tcPr>
            <w:tcW w:w="188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lang w:eastAsia="zh-CN"/>
              </w:rPr>
            </w:pPr>
          </w:p>
        </w:tc>
        <w:tc>
          <w:tcPr>
            <w:tcW w:w="17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p>
        </w:tc>
      </w:tr>
      <w:tr>
        <w:tblPrEx>
          <w:tblCellMar>
            <w:top w:w="0" w:type="dxa"/>
            <w:left w:w="0" w:type="dxa"/>
            <w:bottom w:w="0" w:type="dxa"/>
            <w:right w:w="0" w:type="dxa"/>
          </w:tblCellMar>
        </w:tblPrEx>
        <w:trPr>
          <w:trHeight w:val="406" w:hRule="atLeast"/>
          <w:jc w:val="center"/>
        </w:trPr>
        <w:tc>
          <w:tcPr>
            <w:tcW w:w="376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eastAsia="zh-CN"/>
              </w:rPr>
              <w:t>人大换届选举费用及省卫查经费</w:t>
            </w:r>
          </w:p>
        </w:tc>
        <w:tc>
          <w:tcPr>
            <w:tcW w:w="142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8</w:t>
            </w:r>
          </w:p>
        </w:tc>
        <w:tc>
          <w:tcPr>
            <w:tcW w:w="188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eastAsia="zh-CN"/>
              </w:rPr>
              <w:t>户户通村村响维护费</w:t>
            </w:r>
          </w:p>
        </w:tc>
        <w:tc>
          <w:tcPr>
            <w:tcW w:w="17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50</w:t>
            </w:r>
          </w:p>
        </w:tc>
      </w:tr>
      <w:tr>
        <w:tblPrEx>
          <w:tblCellMar>
            <w:top w:w="0" w:type="dxa"/>
            <w:left w:w="0" w:type="dxa"/>
            <w:bottom w:w="0" w:type="dxa"/>
            <w:right w:w="0" w:type="dxa"/>
          </w:tblCellMar>
        </w:tblPrEx>
        <w:trPr>
          <w:trHeight w:val="406" w:hRule="atLeast"/>
          <w:jc w:val="center"/>
        </w:trPr>
        <w:tc>
          <w:tcPr>
            <w:tcW w:w="376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eastAsia="zh-CN"/>
              </w:rPr>
              <w:t>选聘工作人员经费</w:t>
            </w:r>
          </w:p>
        </w:tc>
        <w:tc>
          <w:tcPr>
            <w:tcW w:w="142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5</w:t>
            </w:r>
          </w:p>
        </w:tc>
        <w:tc>
          <w:tcPr>
            <w:tcW w:w="188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eastAsia="zh-CN"/>
              </w:rPr>
              <w:t>旅游发展云山道路维修资金</w:t>
            </w:r>
          </w:p>
        </w:tc>
        <w:tc>
          <w:tcPr>
            <w:tcW w:w="17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14</w:t>
            </w:r>
          </w:p>
        </w:tc>
      </w:tr>
      <w:tr>
        <w:tblPrEx>
          <w:tblCellMar>
            <w:top w:w="0" w:type="dxa"/>
            <w:left w:w="0" w:type="dxa"/>
            <w:bottom w:w="0" w:type="dxa"/>
            <w:right w:w="0" w:type="dxa"/>
          </w:tblCellMar>
        </w:tblPrEx>
        <w:trPr>
          <w:trHeight w:val="465" w:hRule="atLeast"/>
          <w:jc w:val="center"/>
        </w:trPr>
        <w:tc>
          <w:tcPr>
            <w:tcW w:w="376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eastAsia="zh-CN"/>
              </w:rPr>
              <w:t>新闻工作经费及栏目拍摄经费</w:t>
            </w:r>
          </w:p>
        </w:tc>
        <w:tc>
          <w:tcPr>
            <w:tcW w:w="142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78</w:t>
            </w:r>
          </w:p>
        </w:tc>
        <w:tc>
          <w:tcPr>
            <w:tcW w:w="188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云山配套基础建设资金</w:t>
            </w:r>
          </w:p>
        </w:tc>
        <w:tc>
          <w:tcPr>
            <w:tcW w:w="17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30</w:t>
            </w:r>
          </w:p>
        </w:tc>
      </w:tr>
      <w:tr>
        <w:tblPrEx>
          <w:tblCellMar>
            <w:top w:w="0" w:type="dxa"/>
            <w:left w:w="0" w:type="dxa"/>
            <w:bottom w:w="0" w:type="dxa"/>
            <w:right w:w="0" w:type="dxa"/>
          </w:tblCellMar>
        </w:tblPrEx>
        <w:trPr>
          <w:trHeight w:val="465" w:hRule="atLeast"/>
          <w:jc w:val="center"/>
        </w:trPr>
        <w:tc>
          <w:tcPr>
            <w:tcW w:w="376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eastAsia="zh-CN"/>
              </w:rPr>
              <w:t>绩效考核奖</w:t>
            </w:r>
          </w:p>
        </w:tc>
        <w:tc>
          <w:tcPr>
            <w:tcW w:w="142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75.45</w:t>
            </w:r>
          </w:p>
        </w:tc>
        <w:tc>
          <w:tcPr>
            <w:tcW w:w="188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both"/>
              <w:rPr>
                <w:rFonts w:hint="eastAsia" w:ascii="仿宋" w:hAnsi="仿宋" w:eastAsia="仿宋" w:cs="仿宋"/>
                <w:b w:val="0"/>
                <w:bCs w:val="0"/>
                <w:color w:val="222222"/>
                <w:kern w:val="0"/>
                <w:sz w:val="24"/>
                <w:szCs w:val="24"/>
                <w:lang w:eastAsia="zh-CN"/>
              </w:rPr>
            </w:pPr>
          </w:p>
        </w:tc>
        <w:tc>
          <w:tcPr>
            <w:tcW w:w="17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p>
        </w:tc>
      </w:tr>
      <w:tr>
        <w:tblPrEx>
          <w:tblCellMar>
            <w:top w:w="0" w:type="dxa"/>
            <w:left w:w="0" w:type="dxa"/>
            <w:bottom w:w="0" w:type="dxa"/>
            <w:right w:w="0" w:type="dxa"/>
          </w:tblCellMar>
        </w:tblPrEx>
        <w:trPr>
          <w:trHeight w:val="465" w:hRule="atLeast"/>
          <w:jc w:val="center"/>
        </w:trPr>
        <w:tc>
          <w:tcPr>
            <w:tcW w:w="376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eastAsia="zh-CN"/>
              </w:rPr>
              <w:t>离退人员</w:t>
            </w:r>
            <w:r>
              <w:rPr>
                <w:rFonts w:hint="eastAsia" w:ascii="仿宋" w:hAnsi="仿宋" w:eastAsia="仿宋" w:cs="仿宋"/>
                <w:b w:val="0"/>
                <w:bCs w:val="0"/>
                <w:color w:val="222222"/>
                <w:kern w:val="0"/>
                <w:sz w:val="24"/>
                <w:szCs w:val="24"/>
                <w:lang w:val="en-US" w:eastAsia="zh-CN"/>
              </w:rPr>
              <w:t>2020年生活待遇</w:t>
            </w:r>
          </w:p>
        </w:tc>
        <w:tc>
          <w:tcPr>
            <w:tcW w:w="142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7.93</w:t>
            </w:r>
          </w:p>
        </w:tc>
        <w:tc>
          <w:tcPr>
            <w:tcW w:w="188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lang w:eastAsia="zh-CN"/>
              </w:rPr>
            </w:pPr>
          </w:p>
        </w:tc>
        <w:tc>
          <w:tcPr>
            <w:tcW w:w="17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p>
        </w:tc>
      </w:tr>
      <w:tr>
        <w:tblPrEx>
          <w:tblCellMar>
            <w:top w:w="0" w:type="dxa"/>
            <w:left w:w="0" w:type="dxa"/>
            <w:bottom w:w="0" w:type="dxa"/>
            <w:right w:w="0" w:type="dxa"/>
          </w:tblCellMar>
        </w:tblPrEx>
        <w:trPr>
          <w:trHeight w:val="465" w:hRule="atLeast"/>
          <w:jc w:val="center"/>
        </w:trPr>
        <w:tc>
          <w:tcPr>
            <w:tcW w:w="376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eastAsia="zh-CN"/>
              </w:rPr>
              <w:t>建党</w:t>
            </w:r>
            <w:r>
              <w:rPr>
                <w:rFonts w:hint="eastAsia" w:ascii="仿宋" w:hAnsi="仿宋" w:eastAsia="仿宋" w:cs="仿宋"/>
                <w:b w:val="0"/>
                <w:bCs w:val="0"/>
                <w:color w:val="222222"/>
                <w:kern w:val="0"/>
                <w:sz w:val="24"/>
                <w:szCs w:val="24"/>
                <w:lang w:val="en-US" w:eastAsia="zh-CN"/>
              </w:rPr>
              <w:t>100周年播出维修资金</w:t>
            </w:r>
          </w:p>
        </w:tc>
        <w:tc>
          <w:tcPr>
            <w:tcW w:w="142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18</w:t>
            </w:r>
          </w:p>
        </w:tc>
        <w:tc>
          <w:tcPr>
            <w:tcW w:w="188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lang w:eastAsia="zh-CN"/>
              </w:rPr>
            </w:pPr>
          </w:p>
        </w:tc>
        <w:tc>
          <w:tcPr>
            <w:tcW w:w="17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p>
        </w:tc>
      </w:tr>
      <w:tr>
        <w:tblPrEx>
          <w:tblCellMar>
            <w:top w:w="0" w:type="dxa"/>
            <w:left w:w="0" w:type="dxa"/>
            <w:bottom w:w="0" w:type="dxa"/>
            <w:right w:w="0" w:type="dxa"/>
          </w:tblCellMar>
        </w:tblPrEx>
        <w:trPr>
          <w:trHeight w:val="465" w:hRule="atLeast"/>
          <w:jc w:val="center"/>
        </w:trPr>
        <w:tc>
          <w:tcPr>
            <w:tcW w:w="376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eastAsia="zh-CN"/>
              </w:rPr>
              <w:t>两会期间安全播出经费</w:t>
            </w:r>
          </w:p>
        </w:tc>
        <w:tc>
          <w:tcPr>
            <w:tcW w:w="142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15</w:t>
            </w:r>
          </w:p>
        </w:tc>
        <w:tc>
          <w:tcPr>
            <w:tcW w:w="188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lang w:eastAsia="zh-CN"/>
              </w:rPr>
            </w:pPr>
          </w:p>
        </w:tc>
        <w:tc>
          <w:tcPr>
            <w:tcW w:w="17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p>
        </w:tc>
      </w:tr>
      <w:tr>
        <w:tblPrEx>
          <w:tblCellMar>
            <w:top w:w="0" w:type="dxa"/>
            <w:left w:w="0" w:type="dxa"/>
            <w:bottom w:w="0" w:type="dxa"/>
            <w:right w:w="0" w:type="dxa"/>
          </w:tblCellMar>
        </w:tblPrEx>
        <w:trPr>
          <w:trHeight w:val="465" w:hRule="atLeast"/>
          <w:jc w:val="center"/>
        </w:trPr>
        <w:tc>
          <w:tcPr>
            <w:tcW w:w="376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2021新进人员社会保险单位部分</w:t>
            </w:r>
          </w:p>
        </w:tc>
        <w:tc>
          <w:tcPr>
            <w:tcW w:w="142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12.19</w:t>
            </w:r>
          </w:p>
        </w:tc>
        <w:tc>
          <w:tcPr>
            <w:tcW w:w="188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lang w:eastAsia="zh-CN"/>
              </w:rPr>
            </w:pPr>
          </w:p>
        </w:tc>
        <w:tc>
          <w:tcPr>
            <w:tcW w:w="17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p>
        </w:tc>
      </w:tr>
      <w:tr>
        <w:tblPrEx>
          <w:tblCellMar>
            <w:top w:w="0" w:type="dxa"/>
            <w:left w:w="0" w:type="dxa"/>
            <w:bottom w:w="0" w:type="dxa"/>
            <w:right w:w="0" w:type="dxa"/>
          </w:tblCellMar>
        </w:tblPrEx>
        <w:trPr>
          <w:trHeight w:val="465" w:hRule="atLeast"/>
          <w:jc w:val="center"/>
        </w:trPr>
        <w:tc>
          <w:tcPr>
            <w:tcW w:w="376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eastAsia="zh-CN"/>
              </w:rPr>
              <w:t>小型照相设备资金</w:t>
            </w:r>
          </w:p>
        </w:tc>
        <w:tc>
          <w:tcPr>
            <w:tcW w:w="142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w:t>
            </w:r>
          </w:p>
        </w:tc>
        <w:tc>
          <w:tcPr>
            <w:tcW w:w="188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lang w:eastAsia="zh-CN"/>
              </w:rPr>
            </w:pPr>
          </w:p>
        </w:tc>
        <w:tc>
          <w:tcPr>
            <w:tcW w:w="17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p>
        </w:tc>
      </w:tr>
      <w:tr>
        <w:tblPrEx>
          <w:tblCellMar>
            <w:top w:w="0" w:type="dxa"/>
            <w:left w:w="0" w:type="dxa"/>
            <w:bottom w:w="0" w:type="dxa"/>
            <w:right w:w="0" w:type="dxa"/>
          </w:tblCellMar>
        </w:tblPrEx>
        <w:trPr>
          <w:trHeight w:val="465" w:hRule="atLeast"/>
          <w:jc w:val="center"/>
        </w:trPr>
        <w:tc>
          <w:tcPr>
            <w:tcW w:w="376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eastAsia="zh-CN"/>
              </w:rPr>
              <w:t>非税收入资金及</w:t>
            </w:r>
            <w:r>
              <w:rPr>
                <w:rFonts w:hint="eastAsia" w:ascii="仿宋" w:hAnsi="仿宋" w:eastAsia="仿宋" w:cs="仿宋"/>
                <w:b w:val="0"/>
                <w:bCs w:val="0"/>
                <w:color w:val="222222"/>
                <w:kern w:val="0"/>
                <w:sz w:val="24"/>
                <w:szCs w:val="24"/>
                <w:lang w:val="en-US" w:eastAsia="zh-CN"/>
              </w:rPr>
              <w:t>2020年结算资金</w:t>
            </w:r>
          </w:p>
        </w:tc>
        <w:tc>
          <w:tcPr>
            <w:tcW w:w="142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38.05</w:t>
            </w:r>
          </w:p>
        </w:tc>
        <w:tc>
          <w:tcPr>
            <w:tcW w:w="188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lang w:eastAsia="zh-CN"/>
              </w:rPr>
            </w:pPr>
          </w:p>
        </w:tc>
        <w:tc>
          <w:tcPr>
            <w:tcW w:w="17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p>
        </w:tc>
      </w:tr>
      <w:tr>
        <w:tblPrEx>
          <w:tblCellMar>
            <w:top w:w="0" w:type="dxa"/>
            <w:left w:w="0" w:type="dxa"/>
            <w:bottom w:w="0" w:type="dxa"/>
            <w:right w:w="0" w:type="dxa"/>
          </w:tblCellMar>
        </w:tblPrEx>
        <w:trPr>
          <w:trHeight w:val="465" w:hRule="atLeast"/>
          <w:jc w:val="center"/>
        </w:trPr>
        <w:tc>
          <w:tcPr>
            <w:tcW w:w="376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eastAsia="zh-CN"/>
              </w:rPr>
              <w:t>云山转播台运营维护费</w:t>
            </w:r>
          </w:p>
        </w:tc>
        <w:tc>
          <w:tcPr>
            <w:tcW w:w="142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41.48</w:t>
            </w:r>
          </w:p>
        </w:tc>
        <w:tc>
          <w:tcPr>
            <w:tcW w:w="188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lang w:eastAsia="zh-CN"/>
              </w:rPr>
            </w:pPr>
          </w:p>
        </w:tc>
        <w:tc>
          <w:tcPr>
            <w:tcW w:w="17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lang w:val="en-US" w:eastAsia="zh-CN"/>
              </w:rPr>
            </w:pPr>
          </w:p>
        </w:tc>
      </w:tr>
      <w:tr>
        <w:tblPrEx>
          <w:tblCellMar>
            <w:top w:w="0" w:type="dxa"/>
            <w:left w:w="0" w:type="dxa"/>
            <w:bottom w:w="0" w:type="dxa"/>
            <w:right w:w="0" w:type="dxa"/>
          </w:tblCellMar>
        </w:tblPrEx>
        <w:trPr>
          <w:trHeight w:val="465" w:hRule="atLeast"/>
          <w:jc w:val="center"/>
        </w:trPr>
        <w:tc>
          <w:tcPr>
            <w:tcW w:w="376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合 计</w:t>
            </w:r>
          </w:p>
        </w:tc>
        <w:tc>
          <w:tcPr>
            <w:tcW w:w="142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440.1</w:t>
            </w:r>
          </w:p>
        </w:tc>
        <w:tc>
          <w:tcPr>
            <w:tcW w:w="188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合 计</w:t>
            </w:r>
          </w:p>
        </w:tc>
        <w:tc>
          <w:tcPr>
            <w:tcW w:w="17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104</w:t>
            </w:r>
          </w:p>
        </w:tc>
      </w:tr>
    </w:tbl>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rPr>
      </w:pPr>
      <w:r>
        <w:rPr>
          <w:rFonts w:hint="eastAsia" w:ascii="仿宋" w:hAnsi="仿宋" w:eastAsia="仿宋" w:cs="仿宋"/>
          <w:b/>
          <w:bCs/>
          <w:color w:val="222222"/>
          <w:kern w:val="0"/>
          <w:sz w:val="32"/>
          <w:szCs w:val="32"/>
        </w:rPr>
        <w:t>2</w:t>
      </w:r>
      <w:r>
        <w:rPr>
          <w:rFonts w:hint="eastAsia" w:ascii="仿宋" w:hAnsi="仿宋" w:eastAsia="仿宋" w:cs="仿宋"/>
          <w:b/>
          <w:bCs/>
          <w:color w:val="222222"/>
          <w:kern w:val="0"/>
          <w:sz w:val="32"/>
          <w:szCs w:val="32"/>
          <w:lang w:eastAsia="zh-CN"/>
        </w:rPr>
        <w:t>、</w:t>
      </w:r>
      <w:r>
        <w:rPr>
          <w:rFonts w:hint="eastAsia" w:ascii="仿宋" w:hAnsi="仿宋" w:eastAsia="仿宋" w:cs="仿宋"/>
          <w:b/>
          <w:bCs/>
          <w:color w:val="222222"/>
          <w:kern w:val="0"/>
          <w:sz w:val="32"/>
          <w:szCs w:val="32"/>
        </w:rPr>
        <w:t>整体支出使用范围、方向和内容</w:t>
      </w:r>
    </w:p>
    <w:p>
      <w:pPr>
        <w:keepNext w:val="0"/>
        <w:keepLines w:val="0"/>
        <w:pageBreakBefore w:val="0"/>
        <w:widowControl/>
        <w:kinsoku/>
        <w:wordWrap/>
        <w:overflowPunct/>
        <w:topLinePunct w:val="0"/>
        <w:autoSpaceDE/>
        <w:autoSpaceDN/>
        <w:bidi w:val="0"/>
        <w:adjustRightInd/>
        <w:snapToGrid/>
        <w:spacing w:line="540" w:lineRule="exact"/>
        <w:ind w:firstLine="641"/>
        <w:jc w:val="left"/>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（1）年初预算整体支出的使用范围、方向和内容</w:t>
      </w:r>
    </w:p>
    <w:p>
      <w:pPr>
        <w:keepNext w:val="0"/>
        <w:keepLines w:val="0"/>
        <w:pageBreakBefore w:val="0"/>
        <w:widowControl/>
        <w:kinsoku/>
        <w:wordWrap/>
        <w:overflowPunct/>
        <w:topLinePunct w:val="0"/>
        <w:autoSpaceDE/>
        <w:autoSpaceDN/>
        <w:bidi w:val="0"/>
        <w:adjustRightInd/>
        <w:snapToGrid/>
        <w:spacing w:line="540" w:lineRule="exact"/>
        <w:ind w:firstLine="641"/>
        <w:jc w:val="left"/>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20</w:t>
      </w:r>
      <w:r>
        <w:rPr>
          <w:rFonts w:hint="eastAsia" w:ascii="仿宋" w:hAnsi="仿宋" w:eastAsia="仿宋" w:cs="仿宋"/>
          <w:color w:val="222222"/>
          <w:kern w:val="0"/>
          <w:sz w:val="32"/>
          <w:szCs w:val="32"/>
          <w:lang w:val="en-US" w:eastAsia="zh-CN"/>
        </w:rPr>
        <w:t>21</w:t>
      </w:r>
      <w:r>
        <w:rPr>
          <w:rFonts w:hint="eastAsia" w:ascii="仿宋" w:hAnsi="仿宋" w:eastAsia="仿宋" w:cs="仿宋"/>
          <w:color w:val="222222"/>
          <w:kern w:val="0"/>
          <w:sz w:val="32"/>
          <w:szCs w:val="32"/>
        </w:rPr>
        <w:t>年年初预算为</w:t>
      </w:r>
      <w:r>
        <w:rPr>
          <w:rFonts w:hint="eastAsia" w:ascii="仿宋" w:hAnsi="仿宋" w:eastAsia="仿宋" w:cs="仿宋"/>
          <w:color w:val="222222"/>
          <w:kern w:val="0"/>
          <w:sz w:val="32"/>
          <w:szCs w:val="32"/>
          <w:lang w:val="en-US" w:eastAsia="zh-CN"/>
        </w:rPr>
        <w:t>1138.71</w:t>
      </w:r>
      <w:r>
        <w:rPr>
          <w:rFonts w:hint="eastAsia" w:ascii="仿宋" w:hAnsi="仿宋" w:eastAsia="仿宋" w:cs="仿宋"/>
          <w:color w:val="222222"/>
          <w:kern w:val="0"/>
          <w:sz w:val="32"/>
          <w:szCs w:val="32"/>
        </w:rPr>
        <w:t>万元，其中基本支出</w:t>
      </w:r>
      <w:r>
        <w:rPr>
          <w:rFonts w:hint="eastAsia" w:ascii="仿宋" w:hAnsi="仿宋" w:eastAsia="仿宋" w:cs="仿宋"/>
          <w:color w:val="222222"/>
          <w:kern w:val="0"/>
          <w:sz w:val="32"/>
          <w:szCs w:val="32"/>
          <w:lang w:val="en-US" w:eastAsia="zh-CN"/>
        </w:rPr>
        <w:t>861.71</w:t>
      </w:r>
      <w:r>
        <w:rPr>
          <w:rFonts w:hint="eastAsia" w:ascii="仿宋" w:hAnsi="仿宋" w:eastAsia="仿宋" w:cs="仿宋"/>
          <w:color w:val="222222"/>
          <w:kern w:val="0"/>
          <w:sz w:val="32"/>
          <w:szCs w:val="32"/>
        </w:rPr>
        <w:t>万元，使用内容为人员经费和日常公用经费；项目支出</w:t>
      </w:r>
      <w:r>
        <w:rPr>
          <w:rFonts w:hint="eastAsia" w:ascii="仿宋" w:hAnsi="仿宋" w:eastAsia="仿宋" w:cs="仿宋"/>
          <w:color w:val="222222"/>
          <w:kern w:val="0"/>
          <w:sz w:val="32"/>
          <w:szCs w:val="32"/>
          <w:lang w:val="en-US" w:eastAsia="zh-CN"/>
        </w:rPr>
        <w:t>277</w:t>
      </w:r>
      <w:r>
        <w:rPr>
          <w:rFonts w:hint="eastAsia" w:ascii="仿宋" w:hAnsi="仿宋" w:eastAsia="仿宋" w:cs="仿宋"/>
          <w:color w:val="222222"/>
          <w:kern w:val="0"/>
          <w:sz w:val="32"/>
          <w:szCs w:val="32"/>
        </w:rPr>
        <w:t>万元，使用内容为</w:t>
      </w:r>
      <w:r>
        <w:rPr>
          <w:rFonts w:hint="eastAsia" w:ascii="仿宋" w:hAnsi="仿宋" w:eastAsia="仿宋" w:cs="仿宋"/>
          <w:color w:val="222222"/>
          <w:kern w:val="0"/>
          <w:sz w:val="32"/>
          <w:szCs w:val="32"/>
          <w:lang w:eastAsia="zh-CN"/>
        </w:rPr>
        <w:t>拨付网络公司用于户户通、村村响设备购置，运行维护、工资福利支出及新闻中心工作经费</w:t>
      </w:r>
      <w:r>
        <w:rPr>
          <w:rFonts w:hint="eastAsia" w:ascii="仿宋" w:hAnsi="仿宋" w:eastAsia="仿宋" w:cs="仿宋"/>
          <w:color w:val="222222"/>
          <w:kern w:val="0"/>
          <w:sz w:val="32"/>
          <w:szCs w:val="32"/>
        </w:rPr>
        <w:t>。具体使用方向如下：</w:t>
      </w:r>
    </w:p>
    <w:tbl>
      <w:tblPr>
        <w:tblStyle w:val="6"/>
        <w:tblW w:w="8976" w:type="dxa"/>
        <w:tblInd w:w="108" w:type="dxa"/>
        <w:tblLayout w:type="autofit"/>
        <w:tblCellMar>
          <w:top w:w="0" w:type="dxa"/>
          <w:left w:w="0" w:type="dxa"/>
          <w:bottom w:w="0" w:type="dxa"/>
          <w:right w:w="0" w:type="dxa"/>
        </w:tblCellMar>
      </w:tblPr>
      <w:tblGrid>
        <w:gridCol w:w="2377"/>
        <w:gridCol w:w="2609"/>
        <w:gridCol w:w="3990"/>
      </w:tblGrid>
      <w:tr>
        <w:tblPrEx>
          <w:tblCellMar>
            <w:top w:w="0" w:type="dxa"/>
            <w:left w:w="0" w:type="dxa"/>
            <w:bottom w:w="0" w:type="dxa"/>
            <w:right w:w="0" w:type="dxa"/>
          </w:tblCellMar>
        </w:tblPrEx>
        <w:trPr>
          <w:trHeight w:val="325" w:hRule="atLeast"/>
        </w:trPr>
        <w:tc>
          <w:tcPr>
            <w:tcW w:w="237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支出项目</w:t>
            </w:r>
          </w:p>
        </w:tc>
        <w:tc>
          <w:tcPr>
            <w:tcW w:w="2609"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基本支出（万元）</w:t>
            </w:r>
          </w:p>
        </w:tc>
        <w:tc>
          <w:tcPr>
            <w:tcW w:w="399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项目支出（万元）</w:t>
            </w:r>
          </w:p>
        </w:tc>
      </w:tr>
      <w:tr>
        <w:tblPrEx>
          <w:tblCellMar>
            <w:top w:w="0" w:type="dxa"/>
            <w:left w:w="0" w:type="dxa"/>
            <w:bottom w:w="0" w:type="dxa"/>
            <w:right w:w="0" w:type="dxa"/>
          </w:tblCellMar>
        </w:tblPrEx>
        <w:trPr>
          <w:trHeight w:val="315" w:hRule="atLeast"/>
        </w:trPr>
        <w:tc>
          <w:tcPr>
            <w:tcW w:w="237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工资福利支出</w:t>
            </w:r>
          </w:p>
        </w:tc>
        <w:tc>
          <w:tcPr>
            <w:tcW w:w="260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718.56</w:t>
            </w:r>
          </w:p>
        </w:tc>
        <w:tc>
          <w:tcPr>
            <w:tcW w:w="3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r>
      <w:tr>
        <w:tblPrEx>
          <w:tblCellMar>
            <w:top w:w="0" w:type="dxa"/>
            <w:left w:w="0" w:type="dxa"/>
            <w:bottom w:w="0" w:type="dxa"/>
            <w:right w:w="0" w:type="dxa"/>
          </w:tblCellMar>
        </w:tblPrEx>
        <w:trPr>
          <w:trHeight w:val="270" w:hRule="atLeast"/>
        </w:trPr>
        <w:tc>
          <w:tcPr>
            <w:tcW w:w="237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商品和服务支出</w:t>
            </w:r>
          </w:p>
        </w:tc>
        <w:tc>
          <w:tcPr>
            <w:tcW w:w="260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130.15</w:t>
            </w:r>
          </w:p>
        </w:tc>
        <w:tc>
          <w:tcPr>
            <w:tcW w:w="3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p>
        </w:tc>
      </w:tr>
      <w:tr>
        <w:tblPrEx>
          <w:tblCellMar>
            <w:top w:w="0" w:type="dxa"/>
            <w:left w:w="0" w:type="dxa"/>
            <w:bottom w:w="0" w:type="dxa"/>
            <w:right w:w="0" w:type="dxa"/>
          </w:tblCellMar>
        </w:tblPrEx>
        <w:trPr>
          <w:trHeight w:val="270" w:hRule="atLeast"/>
        </w:trPr>
        <w:tc>
          <w:tcPr>
            <w:tcW w:w="237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对个人和家庭补助</w:t>
            </w:r>
          </w:p>
        </w:tc>
        <w:tc>
          <w:tcPr>
            <w:tcW w:w="260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13</w:t>
            </w:r>
          </w:p>
        </w:tc>
        <w:tc>
          <w:tcPr>
            <w:tcW w:w="3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r>
      <w:tr>
        <w:tblPrEx>
          <w:tblCellMar>
            <w:top w:w="0" w:type="dxa"/>
            <w:left w:w="0" w:type="dxa"/>
            <w:bottom w:w="0" w:type="dxa"/>
            <w:right w:w="0" w:type="dxa"/>
          </w:tblCellMar>
        </w:tblPrEx>
        <w:trPr>
          <w:trHeight w:val="330" w:hRule="atLeast"/>
        </w:trPr>
        <w:tc>
          <w:tcPr>
            <w:tcW w:w="237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eastAsia="zh-CN"/>
              </w:rPr>
              <w:t>专用商品和服务支出</w:t>
            </w:r>
          </w:p>
        </w:tc>
        <w:tc>
          <w:tcPr>
            <w:tcW w:w="260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default" w:ascii="仿宋" w:hAnsi="仿宋" w:eastAsia="仿宋" w:cs="仿宋"/>
                <w:b w:val="0"/>
                <w:bCs w:val="0"/>
                <w:color w:val="222222"/>
                <w:kern w:val="0"/>
                <w:sz w:val="24"/>
                <w:szCs w:val="24"/>
                <w:lang w:val="en-US" w:eastAsia="zh-CN"/>
              </w:rPr>
            </w:pPr>
          </w:p>
        </w:tc>
        <w:tc>
          <w:tcPr>
            <w:tcW w:w="3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187</w:t>
            </w:r>
          </w:p>
        </w:tc>
      </w:tr>
      <w:tr>
        <w:tblPrEx>
          <w:tblCellMar>
            <w:top w:w="0" w:type="dxa"/>
            <w:left w:w="0" w:type="dxa"/>
            <w:bottom w:w="0" w:type="dxa"/>
            <w:right w:w="0" w:type="dxa"/>
          </w:tblCellMar>
        </w:tblPrEx>
        <w:trPr>
          <w:trHeight w:val="330" w:hRule="atLeast"/>
        </w:trPr>
        <w:tc>
          <w:tcPr>
            <w:tcW w:w="237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eastAsia="zh-CN"/>
              </w:rPr>
            </w:pPr>
            <w:r>
              <w:rPr>
                <w:rFonts w:hint="eastAsia" w:ascii="仿宋" w:hAnsi="仿宋" w:eastAsia="仿宋" w:cs="仿宋"/>
                <w:b w:val="0"/>
                <w:bCs w:val="0"/>
                <w:color w:val="222222"/>
                <w:kern w:val="0"/>
                <w:sz w:val="24"/>
                <w:szCs w:val="24"/>
                <w:lang w:eastAsia="zh-CN"/>
              </w:rPr>
              <w:t>对企业补助</w:t>
            </w:r>
          </w:p>
        </w:tc>
        <w:tc>
          <w:tcPr>
            <w:tcW w:w="260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default" w:ascii="仿宋" w:hAnsi="仿宋" w:eastAsia="仿宋" w:cs="仿宋"/>
                <w:b w:val="0"/>
                <w:bCs w:val="0"/>
                <w:color w:val="222222"/>
                <w:kern w:val="0"/>
                <w:sz w:val="24"/>
                <w:szCs w:val="24"/>
                <w:lang w:val="en-US" w:eastAsia="zh-CN"/>
              </w:rPr>
            </w:pPr>
          </w:p>
        </w:tc>
        <w:tc>
          <w:tcPr>
            <w:tcW w:w="3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90</w:t>
            </w:r>
          </w:p>
        </w:tc>
      </w:tr>
      <w:tr>
        <w:tblPrEx>
          <w:tblCellMar>
            <w:top w:w="0" w:type="dxa"/>
            <w:left w:w="0" w:type="dxa"/>
            <w:bottom w:w="0" w:type="dxa"/>
            <w:right w:w="0" w:type="dxa"/>
          </w:tblCellMar>
        </w:tblPrEx>
        <w:trPr>
          <w:trHeight w:val="365" w:hRule="atLeast"/>
        </w:trPr>
        <w:tc>
          <w:tcPr>
            <w:tcW w:w="237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合 计</w:t>
            </w:r>
          </w:p>
        </w:tc>
        <w:tc>
          <w:tcPr>
            <w:tcW w:w="260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861.71</w:t>
            </w:r>
          </w:p>
        </w:tc>
        <w:tc>
          <w:tcPr>
            <w:tcW w:w="3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277</w:t>
            </w:r>
          </w:p>
        </w:tc>
      </w:tr>
    </w:tbl>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（2）上年结余和本年追加预算支出的使用范围、方向和内容</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上年结余资金和本年追加预算在预算指标文下达时即已明确使用用途和使用方向，需专款专用，追加明细详见上述追加事项明细表。</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rPr>
      </w:pPr>
      <w:r>
        <w:rPr>
          <w:rFonts w:hint="eastAsia" w:ascii="仿宋" w:hAnsi="仿宋" w:eastAsia="仿宋" w:cs="仿宋"/>
          <w:b/>
          <w:bCs/>
          <w:color w:val="222222"/>
          <w:kern w:val="0"/>
          <w:sz w:val="32"/>
          <w:szCs w:val="32"/>
        </w:rPr>
        <w:t>（二）年度预算收支决算情况</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b w:val="0"/>
          <w:bCs w:val="0"/>
          <w:color w:val="222222"/>
          <w:kern w:val="0"/>
          <w:sz w:val="32"/>
          <w:szCs w:val="32"/>
        </w:rPr>
      </w:pPr>
      <w:r>
        <w:rPr>
          <w:rFonts w:hint="eastAsia" w:ascii="仿宋" w:hAnsi="仿宋" w:eastAsia="仿宋" w:cs="仿宋"/>
          <w:b/>
          <w:bCs/>
          <w:color w:val="222222"/>
          <w:kern w:val="0"/>
          <w:sz w:val="32"/>
          <w:szCs w:val="32"/>
        </w:rPr>
        <w:t>1</w:t>
      </w:r>
      <w:r>
        <w:rPr>
          <w:rFonts w:hint="eastAsia" w:ascii="仿宋" w:hAnsi="仿宋" w:eastAsia="仿宋" w:cs="仿宋"/>
          <w:b/>
          <w:bCs/>
          <w:color w:val="222222"/>
          <w:kern w:val="0"/>
          <w:sz w:val="32"/>
          <w:szCs w:val="32"/>
          <w:lang w:eastAsia="zh-CN"/>
        </w:rPr>
        <w:t>、</w:t>
      </w:r>
      <w:r>
        <w:rPr>
          <w:rFonts w:hint="eastAsia" w:ascii="仿宋" w:hAnsi="仿宋" w:eastAsia="仿宋" w:cs="仿宋"/>
          <w:b/>
          <w:bCs/>
          <w:color w:val="222222"/>
          <w:kern w:val="0"/>
          <w:sz w:val="32"/>
          <w:szCs w:val="32"/>
        </w:rPr>
        <w:t xml:space="preserve"> 20</w:t>
      </w:r>
      <w:r>
        <w:rPr>
          <w:rFonts w:hint="eastAsia" w:ascii="仿宋" w:hAnsi="仿宋" w:eastAsia="仿宋" w:cs="仿宋"/>
          <w:b/>
          <w:bCs/>
          <w:color w:val="222222"/>
          <w:kern w:val="0"/>
          <w:sz w:val="32"/>
          <w:szCs w:val="32"/>
          <w:lang w:val="en-US" w:eastAsia="zh-CN"/>
        </w:rPr>
        <w:t>21</w:t>
      </w:r>
      <w:r>
        <w:rPr>
          <w:rFonts w:hint="eastAsia" w:ascii="仿宋" w:hAnsi="仿宋" w:eastAsia="仿宋" w:cs="仿宋"/>
          <w:b/>
          <w:bCs/>
          <w:color w:val="222222"/>
          <w:kern w:val="0"/>
          <w:sz w:val="32"/>
          <w:szCs w:val="32"/>
        </w:rPr>
        <w:t>年度预算收入决算情况</w:t>
      </w:r>
    </w:p>
    <w:p>
      <w:pPr>
        <w:keepNext w:val="0"/>
        <w:keepLines w:val="0"/>
        <w:pageBreakBefore w:val="0"/>
        <w:widowControl/>
        <w:kinsoku/>
        <w:wordWrap/>
        <w:overflowPunct/>
        <w:topLinePunct w:val="0"/>
        <w:autoSpaceDE/>
        <w:autoSpaceDN/>
        <w:bidi w:val="0"/>
        <w:adjustRightInd/>
        <w:snapToGrid/>
        <w:spacing w:line="540" w:lineRule="exact"/>
        <w:ind w:firstLine="643"/>
        <w:jc w:val="center"/>
        <w:rPr>
          <w:rFonts w:hint="eastAsia" w:ascii="仿宋" w:hAnsi="仿宋" w:eastAsia="仿宋" w:cs="仿宋"/>
          <w:b w:val="0"/>
          <w:bCs w:val="0"/>
          <w:color w:val="222222"/>
          <w:kern w:val="0"/>
          <w:sz w:val="30"/>
          <w:szCs w:val="30"/>
        </w:rPr>
      </w:pPr>
      <w:r>
        <w:rPr>
          <w:rFonts w:hint="eastAsia" w:ascii="仿宋" w:hAnsi="仿宋" w:eastAsia="仿宋" w:cs="仿宋"/>
          <w:b w:val="0"/>
          <w:bCs w:val="0"/>
          <w:color w:val="222222"/>
          <w:kern w:val="0"/>
          <w:sz w:val="30"/>
          <w:szCs w:val="30"/>
        </w:rPr>
        <w:t>20</w:t>
      </w:r>
      <w:r>
        <w:rPr>
          <w:rFonts w:hint="eastAsia" w:ascii="仿宋" w:hAnsi="仿宋" w:eastAsia="仿宋" w:cs="仿宋"/>
          <w:b w:val="0"/>
          <w:bCs w:val="0"/>
          <w:color w:val="222222"/>
          <w:kern w:val="0"/>
          <w:sz w:val="30"/>
          <w:szCs w:val="30"/>
          <w:lang w:val="en-US" w:eastAsia="zh-CN"/>
        </w:rPr>
        <w:t>21</w:t>
      </w:r>
      <w:r>
        <w:rPr>
          <w:rFonts w:hint="eastAsia" w:ascii="仿宋" w:hAnsi="仿宋" w:eastAsia="仿宋" w:cs="仿宋"/>
          <w:b w:val="0"/>
          <w:bCs w:val="0"/>
          <w:color w:val="222222"/>
          <w:kern w:val="0"/>
          <w:sz w:val="30"/>
          <w:szCs w:val="30"/>
        </w:rPr>
        <w:t>年</w:t>
      </w:r>
      <w:r>
        <w:rPr>
          <w:rFonts w:hint="eastAsia" w:ascii="仿宋" w:hAnsi="仿宋" w:eastAsia="仿宋" w:cs="仿宋"/>
          <w:b w:val="0"/>
          <w:bCs w:val="0"/>
          <w:color w:val="222222"/>
          <w:kern w:val="0"/>
          <w:sz w:val="30"/>
          <w:szCs w:val="30"/>
          <w:lang w:eastAsia="zh-CN"/>
        </w:rPr>
        <w:t>中心</w:t>
      </w:r>
      <w:r>
        <w:rPr>
          <w:rFonts w:hint="eastAsia" w:ascii="仿宋" w:hAnsi="仿宋" w:eastAsia="仿宋" w:cs="仿宋"/>
          <w:b w:val="0"/>
          <w:bCs w:val="0"/>
          <w:color w:val="222222"/>
          <w:kern w:val="0"/>
          <w:sz w:val="30"/>
          <w:szCs w:val="30"/>
        </w:rPr>
        <w:t>本级财政拨款收入决算情况</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b w:val="0"/>
          <w:bCs w:val="0"/>
          <w:color w:val="222222"/>
          <w:kern w:val="0"/>
          <w:sz w:val="32"/>
          <w:szCs w:val="32"/>
        </w:rPr>
      </w:pPr>
      <w:r>
        <w:rPr>
          <w:rFonts w:hint="eastAsia" w:ascii="仿宋" w:hAnsi="仿宋" w:eastAsia="仿宋" w:cs="仿宋"/>
          <w:b w:val="0"/>
          <w:bCs w:val="0"/>
          <w:color w:val="222222"/>
          <w:kern w:val="0"/>
          <w:sz w:val="30"/>
          <w:szCs w:val="30"/>
        </w:rPr>
        <w:t xml:space="preserve"> </w:t>
      </w:r>
      <w:r>
        <w:rPr>
          <w:rFonts w:hint="eastAsia" w:ascii="仿宋" w:hAnsi="仿宋" w:eastAsia="仿宋" w:cs="仿宋"/>
          <w:b w:val="0"/>
          <w:bCs w:val="0"/>
          <w:color w:val="222222"/>
          <w:kern w:val="0"/>
          <w:sz w:val="30"/>
          <w:szCs w:val="30"/>
          <w:lang w:val="en-US" w:eastAsia="zh-CN"/>
        </w:rPr>
        <w:t xml:space="preserve">                                     </w:t>
      </w:r>
      <w:r>
        <w:rPr>
          <w:rFonts w:hint="eastAsia" w:ascii="仿宋" w:hAnsi="仿宋" w:eastAsia="仿宋" w:cs="仿宋"/>
          <w:b w:val="0"/>
          <w:bCs w:val="0"/>
          <w:color w:val="222222"/>
          <w:kern w:val="0"/>
          <w:sz w:val="30"/>
          <w:szCs w:val="30"/>
        </w:rPr>
        <w:t>单位：万元</w:t>
      </w:r>
    </w:p>
    <w:tbl>
      <w:tblPr>
        <w:tblStyle w:val="6"/>
        <w:tblW w:w="8571" w:type="dxa"/>
        <w:tblInd w:w="108" w:type="dxa"/>
        <w:tblLayout w:type="fixed"/>
        <w:tblCellMar>
          <w:top w:w="0" w:type="dxa"/>
          <w:left w:w="0" w:type="dxa"/>
          <w:bottom w:w="0" w:type="dxa"/>
          <w:right w:w="0" w:type="dxa"/>
        </w:tblCellMar>
      </w:tblPr>
      <w:tblGrid>
        <w:gridCol w:w="1686"/>
        <w:gridCol w:w="1695"/>
        <w:gridCol w:w="1935"/>
        <w:gridCol w:w="2040"/>
        <w:gridCol w:w="1215"/>
      </w:tblGrid>
      <w:tr>
        <w:trPr>
          <w:trHeight w:val="550" w:hRule="atLeast"/>
        </w:trPr>
        <w:tc>
          <w:tcPr>
            <w:tcW w:w="1686"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预算可用指标</w:t>
            </w:r>
          </w:p>
        </w:tc>
        <w:tc>
          <w:tcPr>
            <w:tcW w:w="169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财政拨款</w:t>
            </w:r>
            <w:r>
              <w:rPr>
                <w:rFonts w:hint="eastAsia" w:ascii="仿宋" w:hAnsi="仿宋" w:eastAsia="仿宋" w:cs="仿宋"/>
                <w:b w:val="0"/>
                <w:bCs w:val="0"/>
                <w:color w:val="222222"/>
                <w:kern w:val="0"/>
                <w:sz w:val="24"/>
                <w:szCs w:val="24"/>
                <w:lang w:eastAsia="zh-CN"/>
              </w:rPr>
              <w:t>收</w:t>
            </w:r>
            <w:r>
              <w:rPr>
                <w:rFonts w:hint="eastAsia" w:ascii="仿宋" w:hAnsi="仿宋" w:eastAsia="仿宋" w:cs="仿宋"/>
                <w:b w:val="0"/>
                <w:bCs w:val="0"/>
                <w:color w:val="222222"/>
                <w:kern w:val="0"/>
                <w:sz w:val="24"/>
                <w:szCs w:val="24"/>
              </w:rPr>
              <w:t>入</w:t>
            </w:r>
          </w:p>
        </w:tc>
        <w:tc>
          <w:tcPr>
            <w:tcW w:w="193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本年度指标结余</w:t>
            </w:r>
          </w:p>
        </w:tc>
        <w:tc>
          <w:tcPr>
            <w:tcW w:w="204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上年度指标结余</w:t>
            </w:r>
          </w:p>
        </w:tc>
        <w:tc>
          <w:tcPr>
            <w:tcW w:w="121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结余增加</w:t>
            </w:r>
          </w:p>
        </w:tc>
      </w:tr>
      <w:tr>
        <w:tblPrEx>
          <w:tblCellMar>
            <w:top w:w="0" w:type="dxa"/>
            <w:left w:w="0" w:type="dxa"/>
            <w:bottom w:w="0" w:type="dxa"/>
            <w:right w:w="0" w:type="dxa"/>
          </w:tblCellMar>
        </w:tblPrEx>
        <w:trPr>
          <w:trHeight w:val="550" w:hRule="atLeast"/>
        </w:trPr>
        <w:tc>
          <w:tcPr>
            <w:tcW w:w="1686"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1862.29</w:t>
            </w:r>
          </w:p>
        </w:tc>
        <w:tc>
          <w:tcPr>
            <w:tcW w:w="169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1435.97</w:t>
            </w:r>
          </w:p>
        </w:tc>
        <w:tc>
          <w:tcPr>
            <w:tcW w:w="193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426.32</w:t>
            </w:r>
          </w:p>
        </w:tc>
        <w:tc>
          <w:tcPr>
            <w:tcW w:w="20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179.48</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246.84</w:t>
            </w:r>
          </w:p>
        </w:tc>
      </w:tr>
    </w:tbl>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b/>
          <w:bCs/>
          <w:color w:val="222222"/>
          <w:kern w:val="0"/>
          <w:sz w:val="32"/>
          <w:szCs w:val="32"/>
        </w:rPr>
        <w:t>2</w:t>
      </w:r>
      <w:r>
        <w:rPr>
          <w:rFonts w:hint="eastAsia" w:ascii="仿宋" w:hAnsi="仿宋" w:eastAsia="仿宋" w:cs="仿宋"/>
          <w:b/>
          <w:bCs/>
          <w:color w:val="222222"/>
          <w:kern w:val="0"/>
          <w:sz w:val="32"/>
          <w:szCs w:val="32"/>
          <w:lang w:eastAsia="zh-CN"/>
        </w:rPr>
        <w:t>、</w:t>
      </w:r>
      <w:r>
        <w:rPr>
          <w:rFonts w:hint="eastAsia" w:ascii="仿宋" w:hAnsi="仿宋" w:eastAsia="仿宋" w:cs="仿宋"/>
          <w:b/>
          <w:bCs/>
          <w:color w:val="222222"/>
          <w:kern w:val="0"/>
          <w:sz w:val="32"/>
          <w:szCs w:val="32"/>
        </w:rPr>
        <w:t>20</w:t>
      </w:r>
      <w:r>
        <w:rPr>
          <w:rFonts w:hint="eastAsia" w:ascii="仿宋" w:hAnsi="仿宋" w:eastAsia="仿宋" w:cs="仿宋"/>
          <w:b/>
          <w:bCs/>
          <w:color w:val="222222"/>
          <w:kern w:val="0"/>
          <w:sz w:val="32"/>
          <w:szCs w:val="32"/>
          <w:lang w:val="en-US" w:eastAsia="zh-CN"/>
        </w:rPr>
        <w:t>21</w:t>
      </w:r>
      <w:r>
        <w:rPr>
          <w:rFonts w:hint="eastAsia" w:ascii="仿宋" w:hAnsi="仿宋" w:eastAsia="仿宋" w:cs="仿宋"/>
          <w:b/>
          <w:bCs/>
          <w:color w:val="222222"/>
          <w:kern w:val="0"/>
          <w:sz w:val="32"/>
          <w:szCs w:val="32"/>
        </w:rPr>
        <w:t>年度预算支出决算及结余情况</w:t>
      </w:r>
    </w:p>
    <w:p>
      <w:pPr>
        <w:keepNext w:val="0"/>
        <w:keepLines w:val="0"/>
        <w:pageBreakBefore w:val="0"/>
        <w:widowControl/>
        <w:kinsoku/>
        <w:wordWrap/>
        <w:overflowPunct/>
        <w:topLinePunct w:val="0"/>
        <w:autoSpaceDE/>
        <w:autoSpaceDN/>
        <w:bidi w:val="0"/>
        <w:adjustRightInd/>
        <w:snapToGrid/>
        <w:spacing w:line="540" w:lineRule="exact"/>
        <w:ind w:firstLine="643"/>
        <w:jc w:val="center"/>
        <w:rPr>
          <w:rFonts w:hint="eastAsia" w:ascii="仿宋" w:hAnsi="仿宋" w:eastAsia="仿宋" w:cs="仿宋"/>
          <w:b w:val="0"/>
          <w:bCs w:val="0"/>
          <w:color w:val="222222"/>
          <w:kern w:val="0"/>
          <w:sz w:val="32"/>
          <w:szCs w:val="32"/>
        </w:rPr>
      </w:pPr>
      <w:r>
        <w:rPr>
          <w:rFonts w:hint="eastAsia" w:ascii="仿宋" w:hAnsi="仿宋" w:eastAsia="仿宋" w:cs="仿宋"/>
          <w:b w:val="0"/>
          <w:bCs w:val="0"/>
          <w:color w:val="222222"/>
          <w:kern w:val="0"/>
          <w:sz w:val="32"/>
          <w:szCs w:val="32"/>
        </w:rPr>
        <w:t>20</w:t>
      </w:r>
      <w:r>
        <w:rPr>
          <w:rFonts w:hint="eastAsia" w:ascii="仿宋" w:hAnsi="仿宋" w:eastAsia="仿宋" w:cs="仿宋"/>
          <w:b w:val="0"/>
          <w:bCs w:val="0"/>
          <w:color w:val="222222"/>
          <w:kern w:val="0"/>
          <w:sz w:val="32"/>
          <w:szCs w:val="32"/>
          <w:lang w:val="en-US" w:eastAsia="zh-CN"/>
        </w:rPr>
        <w:t>21</w:t>
      </w:r>
      <w:r>
        <w:rPr>
          <w:rFonts w:hint="eastAsia" w:ascii="仿宋" w:hAnsi="仿宋" w:eastAsia="仿宋" w:cs="仿宋"/>
          <w:b w:val="0"/>
          <w:bCs w:val="0"/>
          <w:color w:val="222222"/>
          <w:kern w:val="0"/>
          <w:sz w:val="32"/>
          <w:szCs w:val="32"/>
        </w:rPr>
        <w:t>年本级预算、决算和结余对比情况表</w:t>
      </w:r>
    </w:p>
    <w:tbl>
      <w:tblPr>
        <w:tblStyle w:val="6"/>
        <w:tblW w:w="8556" w:type="dxa"/>
        <w:tblInd w:w="108" w:type="dxa"/>
        <w:tblLayout w:type="autofit"/>
        <w:tblCellMar>
          <w:top w:w="0" w:type="dxa"/>
          <w:left w:w="0" w:type="dxa"/>
          <w:bottom w:w="0" w:type="dxa"/>
          <w:right w:w="0" w:type="dxa"/>
        </w:tblCellMar>
      </w:tblPr>
      <w:tblGrid>
        <w:gridCol w:w="2218"/>
        <w:gridCol w:w="1618"/>
        <w:gridCol w:w="1990"/>
        <w:gridCol w:w="2730"/>
      </w:tblGrid>
      <w:tr>
        <w:tblPrEx>
          <w:tblCellMar>
            <w:top w:w="0" w:type="dxa"/>
            <w:left w:w="0" w:type="dxa"/>
            <w:bottom w:w="0" w:type="dxa"/>
            <w:right w:w="0" w:type="dxa"/>
          </w:tblCellMar>
        </w:tblPrEx>
        <w:trPr>
          <w:trHeight w:val="405" w:hRule="atLeast"/>
        </w:trPr>
        <w:tc>
          <w:tcPr>
            <w:tcW w:w="0" w:type="auto"/>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比较项目</w:t>
            </w:r>
          </w:p>
        </w:tc>
        <w:tc>
          <w:tcPr>
            <w:tcW w:w="0" w:type="auto"/>
            <w:vMerge w:val="restart"/>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支出项目</w:t>
            </w:r>
          </w:p>
        </w:tc>
        <w:tc>
          <w:tcPr>
            <w:tcW w:w="4720"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lang w:eastAsia="zh-CN"/>
              </w:rPr>
              <w:t>中心</w:t>
            </w:r>
            <w:r>
              <w:rPr>
                <w:rFonts w:hint="eastAsia" w:ascii="仿宋" w:hAnsi="仿宋" w:eastAsia="仿宋" w:cs="仿宋"/>
                <w:b w:val="0"/>
                <w:bCs w:val="0"/>
                <w:color w:val="222222"/>
                <w:kern w:val="0"/>
                <w:sz w:val="24"/>
                <w:szCs w:val="24"/>
              </w:rPr>
              <w:t>本级（万元）</w:t>
            </w:r>
          </w:p>
        </w:tc>
      </w:tr>
      <w:tr>
        <w:tblPrEx>
          <w:tblCellMar>
            <w:top w:w="0" w:type="dxa"/>
            <w:left w:w="0" w:type="dxa"/>
            <w:bottom w:w="0" w:type="dxa"/>
            <w:right w:w="0" w:type="dxa"/>
          </w:tblCellMar>
        </w:tblPrEx>
        <w:trPr>
          <w:trHeight w:val="716" w:hRule="atLeast"/>
        </w:trPr>
        <w:tc>
          <w:tcPr>
            <w:tcW w:w="0" w:type="auto"/>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p>
        </w:tc>
        <w:tc>
          <w:tcPr>
            <w:tcW w:w="0" w:type="auto"/>
            <w:vMerge w:val="continue"/>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p>
        </w:tc>
        <w:tc>
          <w:tcPr>
            <w:tcW w:w="1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合 计</w:t>
            </w:r>
          </w:p>
        </w:tc>
        <w:tc>
          <w:tcPr>
            <w:tcW w:w="273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其中：财政拨款</w:t>
            </w:r>
          </w:p>
        </w:tc>
      </w:tr>
      <w:tr>
        <w:tblPrEx>
          <w:tblCellMar>
            <w:top w:w="0" w:type="dxa"/>
            <w:left w:w="0" w:type="dxa"/>
            <w:bottom w:w="0" w:type="dxa"/>
            <w:right w:w="0" w:type="dxa"/>
          </w:tblCellMar>
        </w:tblPrEx>
        <w:trPr>
          <w:trHeight w:val="405" w:hRule="atLeast"/>
        </w:trPr>
        <w:tc>
          <w:tcPr>
            <w:tcW w:w="0" w:type="auto"/>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预算金额</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基本支出</w:t>
            </w:r>
          </w:p>
        </w:tc>
        <w:tc>
          <w:tcPr>
            <w:tcW w:w="1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1441.29</w:t>
            </w:r>
          </w:p>
        </w:tc>
        <w:tc>
          <w:tcPr>
            <w:tcW w:w="273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1441.29</w:t>
            </w:r>
          </w:p>
        </w:tc>
      </w:tr>
      <w:tr>
        <w:trPr>
          <w:trHeight w:val="629"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项目支出</w:t>
            </w:r>
          </w:p>
        </w:tc>
        <w:tc>
          <w:tcPr>
            <w:tcW w:w="1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421</w:t>
            </w:r>
          </w:p>
        </w:tc>
        <w:tc>
          <w:tcPr>
            <w:tcW w:w="273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421</w:t>
            </w:r>
          </w:p>
        </w:tc>
      </w:tr>
      <w:tr>
        <w:tblPrEx>
          <w:tblCellMar>
            <w:top w:w="0" w:type="dxa"/>
            <w:left w:w="0" w:type="dxa"/>
            <w:bottom w:w="0" w:type="dxa"/>
            <w:right w:w="0" w:type="dxa"/>
          </w:tblCellMar>
        </w:tblPrEx>
        <w:trPr>
          <w:trHeight w:val="40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合 计</w:t>
            </w:r>
          </w:p>
        </w:tc>
        <w:tc>
          <w:tcPr>
            <w:tcW w:w="1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1862.29</w:t>
            </w:r>
          </w:p>
        </w:tc>
        <w:tc>
          <w:tcPr>
            <w:tcW w:w="273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1862.29</w:t>
            </w:r>
          </w:p>
        </w:tc>
      </w:tr>
      <w:tr>
        <w:tblPrEx>
          <w:tblCellMar>
            <w:top w:w="0" w:type="dxa"/>
            <w:left w:w="0" w:type="dxa"/>
            <w:bottom w:w="0" w:type="dxa"/>
            <w:right w:w="0" w:type="dxa"/>
          </w:tblCellMar>
        </w:tblPrEx>
        <w:trPr>
          <w:trHeight w:val="405" w:hRule="atLeast"/>
        </w:trPr>
        <w:tc>
          <w:tcPr>
            <w:tcW w:w="0" w:type="auto"/>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决算金额</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基本支出</w:t>
            </w:r>
          </w:p>
        </w:tc>
        <w:tc>
          <w:tcPr>
            <w:tcW w:w="1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1328.97</w:t>
            </w:r>
          </w:p>
        </w:tc>
        <w:tc>
          <w:tcPr>
            <w:tcW w:w="273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1328.97</w:t>
            </w:r>
          </w:p>
        </w:tc>
      </w:tr>
      <w:tr>
        <w:tblPrEx>
          <w:tblCellMar>
            <w:top w:w="0" w:type="dxa"/>
            <w:left w:w="0" w:type="dxa"/>
            <w:bottom w:w="0" w:type="dxa"/>
            <w:right w:w="0" w:type="dxa"/>
          </w:tblCellMar>
        </w:tblPrEx>
        <w:trPr>
          <w:trHeight w:val="40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项目支出</w:t>
            </w:r>
          </w:p>
        </w:tc>
        <w:tc>
          <w:tcPr>
            <w:tcW w:w="1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107</w:t>
            </w:r>
          </w:p>
        </w:tc>
        <w:tc>
          <w:tcPr>
            <w:tcW w:w="273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107</w:t>
            </w:r>
          </w:p>
        </w:tc>
      </w:tr>
      <w:tr>
        <w:tblPrEx>
          <w:tblCellMar>
            <w:top w:w="0" w:type="dxa"/>
            <w:left w:w="0" w:type="dxa"/>
            <w:bottom w:w="0" w:type="dxa"/>
            <w:right w:w="0" w:type="dxa"/>
          </w:tblCellMar>
        </w:tblPrEx>
        <w:trPr>
          <w:trHeight w:val="40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合 计</w:t>
            </w:r>
          </w:p>
        </w:tc>
        <w:tc>
          <w:tcPr>
            <w:tcW w:w="1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1435.97</w:t>
            </w:r>
          </w:p>
        </w:tc>
        <w:tc>
          <w:tcPr>
            <w:tcW w:w="273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1435.97</w:t>
            </w:r>
          </w:p>
        </w:tc>
      </w:tr>
      <w:tr>
        <w:trPr>
          <w:trHeight w:val="405" w:hRule="atLeast"/>
        </w:trPr>
        <w:tc>
          <w:tcPr>
            <w:tcW w:w="0" w:type="auto"/>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执行差异</w:t>
            </w:r>
          </w:p>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（预算-决算）</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基本支出</w:t>
            </w:r>
          </w:p>
        </w:tc>
        <w:tc>
          <w:tcPr>
            <w:tcW w:w="1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112.32</w:t>
            </w:r>
          </w:p>
        </w:tc>
        <w:tc>
          <w:tcPr>
            <w:tcW w:w="273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112.32</w:t>
            </w:r>
          </w:p>
        </w:tc>
      </w:tr>
      <w:tr>
        <w:tblPrEx>
          <w:tblCellMar>
            <w:top w:w="0" w:type="dxa"/>
            <w:left w:w="0" w:type="dxa"/>
            <w:bottom w:w="0" w:type="dxa"/>
            <w:right w:w="0" w:type="dxa"/>
          </w:tblCellMar>
        </w:tblPrEx>
        <w:trPr>
          <w:trHeight w:val="40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项目支出</w:t>
            </w:r>
          </w:p>
        </w:tc>
        <w:tc>
          <w:tcPr>
            <w:tcW w:w="1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314</w:t>
            </w:r>
          </w:p>
        </w:tc>
        <w:tc>
          <w:tcPr>
            <w:tcW w:w="273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314</w:t>
            </w:r>
          </w:p>
        </w:tc>
      </w:tr>
      <w:tr>
        <w:tblPrEx>
          <w:tblCellMar>
            <w:top w:w="0" w:type="dxa"/>
            <w:left w:w="0" w:type="dxa"/>
            <w:bottom w:w="0" w:type="dxa"/>
            <w:right w:w="0" w:type="dxa"/>
          </w:tblCellMar>
        </w:tblPrEx>
        <w:trPr>
          <w:trHeight w:val="405" w:hRule="atLeast"/>
        </w:trPr>
        <w:tc>
          <w:tcPr>
            <w:tcW w:w="0" w:type="auto"/>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合 计</w:t>
            </w:r>
          </w:p>
        </w:tc>
        <w:tc>
          <w:tcPr>
            <w:tcW w:w="199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426.32</w:t>
            </w:r>
          </w:p>
        </w:tc>
        <w:tc>
          <w:tcPr>
            <w:tcW w:w="273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426.32</w:t>
            </w:r>
          </w:p>
        </w:tc>
      </w:tr>
    </w:tbl>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针对上述数据反映情况，说明如下：</w:t>
      </w:r>
    </w:p>
    <w:p>
      <w:pPr>
        <w:keepNext w:val="0"/>
        <w:keepLines w:val="0"/>
        <w:pageBreakBefore w:val="0"/>
        <w:widowControl/>
        <w:numPr>
          <w:ilvl w:val="0"/>
          <w:numId w:val="2"/>
        </w:numPr>
        <w:kinsoku/>
        <w:wordWrap/>
        <w:overflowPunct/>
        <w:topLinePunct w:val="0"/>
        <w:autoSpaceDE/>
        <w:autoSpaceDN/>
        <w:bidi w:val="0"/>
        <w:adjustRightInd/>
        <w:snapToGrid/>
        <w:spacing w:line="540" w:lineRule="exact"/>
        <w:ind w:left="-10" w:leftChars="0" w:firstLine="640" w:firstLineChars="0"/>
        <w:jc w:val="left"/>
        <w:rPr>
          <w:rFonts w:hint="eastAsia" w:ascii="仿宋" w:hAnsi="仿宋" w:eastAsia="仿宋" w:cs="仿宋"/>
          <w:color w:val="222222"/>
          <w:kern w:val="0"/>
          <w:sz w:val="32"/>
          <w:szCs w:val="32"/>
          <w:lang w:val="en-US" w:eastAsia="zh-CN"/>
        </w:rPr>
      </w:pPr>
      <w:r>
        <w:rPr>
          <w:rFonts w:hint="eastAsia" w:ascii="仿宋" w:hAnsi="仿宋" w:eastAsia="仿宋" w:cs="仿宋"/>
          <w:color w:val="222222"/>
          <w:kern w:val="0"/>
          <w:sz w:val="32"/>
          <w:szCs w:val="32"/>
          <w:lang w:val="en-US" w:eastAsia="zh-CN"/>
        </w:rPr>
        <w:t>我中心基本支出预算与决算差异主要是建党100周年维修资金和两会期间安全播出经费项目未完成，将在2022年完成支付</w:t>
      </w:r>
    </w:p>
    <w:p>
      <w:pPr>
        <w:keepNext w:val="0"/>
        <w:keepLines w:val="0"/>
        <w:pageBreakBefore w:val="0"/>
        <w:widowControl/>
        <w:numPr>
          <w:ilvl w:val="0"/>
          <w:numId w:val="2"/>
        </w:numPr>
        <w:kinsoku/>
        <w:wordWrap/>
        <w:overflowPunct/>
        <w:topLinePunct w:val="0"/>
        <w:autoSpaceDE/>
        <w:autoSpaceDN/>
        <w:bidi w:val="0"/>
        <w:adjustRightInd/>
        <w:snapToGrid/>
        <w:spacing w:line="540" w:lineRule="exact"/>
        <w:ind w:left="-10" w:leftChars="0" w:firstLine="640" w:firstLineChars="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lang w:val="en-US" w:eastAsia="zh-CN"/>
        </w:rPr>
        <w:t>云山转播电视台配套基础建设未开工</w:t>
      </w:r>
    </w:p>
    <w:p>
      <w:pPr>
        <w:keepNext w:val="0"/>
        <w:keepLines w:val="0"/>
        <w:pageBreakBefore w:val="0"/>
        <w:widowControl/>
        <w:numPr>
          <w:ilvl w:val="0"/>
          <w:numId w:val="2"/>
        </w:numPr>
        <w:kinsoku/>
        <w:wordWrap/>
        <w:overflowPunct/>
        <w:topLinePunct w:val="0"/>
        <w:autoSpaceDE/>
        <w:autoSpaceDN/>
        <w:bidi w:val="0"/>
        <w:adjustRightInd/>
        <w:snapToGrid/>
        <w:spacing w:line="540" w:lineRule="exact"/>
        <w:ind w:left="-10" w:leftChars="0" w:firstLine="640" w:firstLineChars="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lang w:eastAsia="zh-CN"/>
        </w:rPr>
        <w:t>户户通村村响项目资金未完工，资金待付</w:t>
      </w:r>
    </w:p>
    <w:p>
      <w:pPr>
        <w:keepNext w:val="0"/>
        <w:keepLines w:val="0"/>
        <w:pageBreakBefore w:val="0"/>
        <w:widowControl/>
        <w:numPr>
          <w:ilvl w:val="0"/>
          <w:numId w:val="2"/>
        </w:numPr>
        <w:kinsoku/>
        <w:wordWrap/>
        <w:overflowPunct/>
        <w:topLinePunct w:val="0"/>
        <w:autoSpaceDE/>
        <w:autoSpaceDN/>
        <w:bidi w:val="0"/>
        <w:adjustRightInd/>
        <w:snapToGrid/>
        <w:spacing w:line="540" w:lineRule="exact"/>
        <w:ind w:left="-10" w:leftChars="0" w:firstLine="640" w:firstLineChars="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lang w:eastAsia="zh-CN"/>
        </w:rPr>
        <w:t>市分成彩票公益金将在</w:t>
      </w:r>
      <w:r>
        <w:rPr>
          <w:rFonts w:hint="eastAsia" w:ascii="仿宋" w:hAnsi="仿宋" w:eastAsia="仿宋" w:cs="仿宋"/>
          <w:color w:val="222222"/>
          <w:kern w:val="0"/>
          <w:sz w:val="32"/>
          <w:szCs w:val="32"/>
          <w:lang w:val="en-US" w:eastAsia="zh-CN"/>
        </w:rPr>
        <w:t>2022年完成支付</w:t>
      </w:r>
    </w:p>
    <w:p>
      <w:pPr>
        <w:keepNext w:val="0"/>
        <w:keepLines w:val="0"/>
        <w:pageBreakBefore w:val="0"/>
        <w:widowControl/>
        <w:numPr>
          <w:ilvl w:val="0"/>
          <w:numId w:val="2"/>
        </w:numPr>
        <w:kinsoku/>
        <w:wordWrap/>
        <w:overflowPunct/>
        <w:topLinePunct w:val="0"/>
        <w:autoSpaceDE/>
        <w:autoSpaceDN/>
        <w:bidi w:val="0"/>
        <w:adjustRightInd/>
        <w:snapToGrid/>
        <w:spacing w:line="540" w:lineRule="exact"/>
        <w:ind w:left="-10" w:leftChars="0" w:firstLine="640" w:firstLineChars="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lang w:val="en-US" w:eastAsia="zh-CN"/>
        </w:rPr>
        <w:t>2020年绩效奖2021年底才下达，来不及发放，已于2022年1月发放到位</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color w:val="222222"/>
          <w:kern w:val="0"/>
          <w:sz w:val="32"/>
          <w:szCs w:val="32"/>
        </w:rPr>
      </w:pPr>
      <w:r>
        <w:rPr>
          <w:rFonts w:hint="eastAsia" w:ascii="仿宋_GB2312" w:hAnsi="仿宋_GB2312" w:eastAsia="仿宋_GB2312" w:cs="仿宋_GB2312"/>
          <w:color w:val="222222"/>
          <w:kern w:val="0"/>
          <w:sz w:val="32"/>
          <w:szCs w:val="32"/>
          <w:highlight w:val="none"/>
          <w:lang w:eastAsia="zh-CN"/>
        </w:rPr>
        <w:t>我中心将全面铺开对各项目工作推进，</w:t>
      </w:r>
      <w:r>
        <w:rPr>
          <w:rFonts w:hint="eastAsia" w:ascii="仿宋_GB2312" w:hAnsi="仿宋_GB2312" w:eastAsia="仿宋_GB2312" w:cs="仿宋_GB2312"/>
          <w:color w:val="222222"/>
          <w:kern w:val="0"/>
          <w:sz w:val="32"/>
          <w:szCs w:val="32"/>
          <w:highlight w:val="none"/>
        </w:rPr>
        <w:t>预计跟预算刚好持平。</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jc w:val="left"/>
        <w:rPr>
          <w:rFonts w:hint="eastAsia" w:ascii="仿宋" w:hAnsi="仿宋" w:eastAsia="仿宋" w:cs="仿宋"/>
          <w:color w:val="222222"/>
          <w:kern w:val="0"/>
          <w:sz w:val="32"/>
          <w:szCs w:val="32"/>
        </w:rPr>
      </w:pPr>
      <w:r>
        <w:rPr>
          <w:rFonts w:hint="eastAsia" w:ascii="黑体" w:hAnsi="黑体" w:eastAsia="黑体" w:cs="黑体"/>
          <w:color w:val="222222"/>
          <w:kern w:val="0"/>
          <w:sz w:val="32"/>
          <w:szCs w:val="32"/>
          <w:highlight w:val="none"/>
        </w:rPr>
        <w:t>三、绩效评价工作情况</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rPr>
          <w:rFonts w:hint="eastAsia" w:ascii="仿宋" w:hAnsi="仿宋" w:eastAsia="仿宋" w:cs="仿宋"/>
          <w:color w:val="222222"/>
          <w:kern w:val="0"/>
          <w:sz w:val="32"/>
          <w:szCs w:val="32"/>
        </w:rPr>
      </w:pPr>
      <w:r>
        <w:rPr>
          <w:rFonts w:hint="eastAsia" w:ascii="仿宋" w:hAnsi="仿宋" w:eastAsia="仿宋" w:cs="仿宋"/>
          <w:b/>
          <w:bCs/>
          <w:color w:val="222222"/>
          <w:kern w:val="0"/>
          <w:sz w:val="32"/>
          <w:szCs w:val="32"/>
        </w:rPr>
        <w:t>（一）绩效评价目的</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本次绩效评价的目的是为了全面分析和综合评价我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本级财政预算资金的使用管理情况，为切实提高财政资金使用效益，强化预算支出的责任和效率提供参考依据。</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rPr>
      </w:pPr>
      <w:r>
        <w:rPr>
          <w:rFonts w:hint="eastAsia" w:ascii="仿宋" w:hAnsi="仿宋" w:eastAsia="仿宋" w:cs="仿宋"/>
          <w:b/>
          <w:bCs/>
          <w:color w:val="222222"/>
          <w:kern w:val="0"/>
          <w:sz w:val="32"/>
          <w:szCs w:val="32"/>
        </w:rPr>
        <w:t>（二）绩效评价工作过程，主要包括前期准备、组织实施和分析评价等内容</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我们按照市财政局绩效评价规程要求，第一阶段为前期准备：由我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财务</w:t>
      </w:r>
      <w:r>
        <w:rPr>
          <w:rFonts w:hint="eastAsia" w:ascii="仿宋" w:hAnsi="仿宋" w:eastAsia="仿宋" w:cs="仿宋"/>
          <w:color w:val="222222"/>
          <w:kern w:val="0"/>
          <w:sz w:val="32"/>
          <w:szCs w:val="32"/>
          <w:lang w:eastAsia="zh-CN"/>
        </w:rPr>
        <w:t>部</w:t>
      </w:r>
      <w:r>
        <w:rPr>
          <w:rFonts w:hint="eastAsia" w:ascii="仿宋" w:hAnsi="仿宋" w:eastAsia="仿宋" w:cs="仿宋"/>
          <w:color w:val="222222"/>
          <w:kern w:val="0"/>
          <w:sz w:val="32"/>
          <w:szCs w:val="32"/>
        </w:rPr>
        <w:t>牵头，组织有关业务处</w:t>
      </w:r>
      <w:r>
        <w:rPr>
          <w:rFonts w:hint="eastAsia" w:ascii="仿宋" w:hAnsi="仿宋" w:eastAsia="仿宋" w:cs="仿宋"/>
          <w:color w:val="222222"/>
          <w:kern w:val="0"/>
          <w:sz w:val="32"/>
          <w:szCs w:val="32"/>
          <w:lang w:eastAsia="zh-CN"/>
        </w:rPr>
        <w:t>股</w:t>
      </w:r>
      <w:r>
        <w:rPr>
          <w:rFonts w:hint="eastAsia" w:ascii="仿宋" w:hAnsi="仿宋" w:eastAsia="仿宋" w:cs="仿宋"/>
          <w:color w:val="222222"/>
          <w:kern w:val="0"/>
          <w:sz w:val="32"/>
          <w:szCs w:val="32"/>
        </w:rPr>
        <w:t>室制定了详细的工作方案，明确部室责任，确定评价指标细则；第二阶段为部室自评：根据上一阶段任务布置，各部室按照要求展开自评工作，并将评价结果报财务</w:t>
      </w:r>
      <w:r>
        <w:rPr>
          <w:rFonts w:hint="eastAsia" w:ascii="仿宋" w:hAnsi="仿宋" w:eastAsia="仿宋" w:cs="仿宋"/>
          <w:color w:val="222222"/>
          <w:kern w:val="0"/>
          <w:sz w:val="32"/>
          <w:szCs w:val="32"/>
          <w:lang w:eastAsia="zh-CN"/>
        </w:rPr>
        <w:t>部</w:t>
      </w:r>
      <w:r>
        <w:rPr>
          <w:rFonts w:hint="eastAsia" w:ascii="仿宋" w:hAnsi="仿宋" w:eastAsia="仿宋" w:cs="仿宋"/>
          <w:color w:val="222222"/>
          <w:kern w:val="0"/>
          <w:sz w:val="32"/>
          <w:szCs w:val="32"/>
        </w:rPr>
        <w:t>；第三阶段为定性终评，并出具评价报告：财务</w:t>
      </w:r>
      <w:r>
        <w:rPr>
          <w:rFonts w:hint="eastAsia" w:ascii="仿宋" w:hAnsi="仿宋" w:eastAsia="仿宋" w:cs="仿宋"/>
          <w:color w:val="222222"/>
          <w:kern w:val="0"/>
          <w:sz w:val="32"/>
          <w:szCs w:val="32"/>
          <w:lang w:eastAsia="zh-CN"/>
        </w:rPr>
        <w:t>部</w:t>
      </w:r>
      <w:r>
        <w:rPr>
          <w:rFonts w:hint="eastAsia" w:ascii="仿宋" w:hAnsi="仿宋" w:eastAsia="仿宋" w:cs="仿宋"/>
          <w:color w:val="222222"/>
          <w:kern w:val="0"/>
          <w:sz w:val="32"/>
          <w:szCs w:val="32"/>
        </w:rPr>
        <w:t>在部室自评的基础上，查阅相关文件资料和财务凭证，对收集资料进行定量定性分析，综合评议后形成评价结论，出具绩效评价报告。</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四、整体支出使用管理情况</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rPr>
      </w:pPr>
      <w:r>
        <w:rPr>
          <w:rFonts w:hint="eastAsia" w:ascii="仿宋" w:hAnsi="仿宋" w:eastAsia="仿宋" w:cs="仿宋"/>
          <w:b/>
          <w:bCs/>
          <w:color w:val="222222"/>
          <w:kern w:val="0"/>
          <w:sz w:val="32"/>
          <w:szCs w:val="32"/>
        </w:rPr>
        <w:t>（一）基本支出使用管理情况</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基本支出的范围和主要用途包括</w:t>
      </w:r>
      <w:r>
        <w:rPr>
          <w:rFonts w:hint="eastAsia" w:ascii="仿宋" w:hAnsi="仿宋" w:eastAsia="仿宋" w:cs="仿宋"/>
          <w:color w:val="222222"/>
          <w:kern w:val="0"/>
          <w:sz w:val="32"/>
          <w:szCs w:val="32"/>
          <w:lang w:eastAsia="zh-CN"/>
        </w:rPr>
        <w:t>中心本级</w:t>
      </w:r>
      <w:r>
        <w:rPr>
          <w:rFonts w:hint="eastAsia" w:ascii="仿宋" w:hAnsi="仿宋" w:eastAsia="仿宋" w:cs="仿宋"/>
          <w:color w:val="222222"/>
          <w:kern w:val="0"/>
          <w:sz w:val="32"/>
          <w:szCs w:val="32"/>
        </w:rPr>
        <w:t>的人员</w:t>
      </w:r>
      <w:r>
        <w:rPr>
          <w:rFonts w:hint="eastAsia" w:ascii="仿宋" w:hAnsi="仿宋" w:eastAsia="仿宋" w:cs="仿宋"/>
          <w:color w:val="222222"/>
          <w:kern w:val="0"/>
          <w:sz w:val="32"/>
          <w:szCs w:val="32"/>
          <w:lang w:eastAsia="zh-CN"/>
        </w:rPr>
        <w:t>和网络传输中心人员</w:t>
      </w:r>
      <w:r>
        <w:rPr>
          <w:rFonts w:hint="eastAsia" w:ascii="仿宋" w:hAnsi="仿宋" w:eastAsia="仿宋" w:cs="仿宋"/>
          <w:color w:val="222222"/>
          <w:kern w:val="0"/>
          <w:sz w:val="32"/>
          <w:szCs w:val="32"/>
        </w:rPr>
        <w:t>经费和日常公用经费。具体包括：工资福利支出、对个人和家庭的补助、商品和服务支出、其他资本性支出。基本支出的管理和使用情况如下：</w:t>
      </w:r>
    </w:p>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32"/>
          <w:szCs w:val="32"/>
        </w:rPr>
      </w:pPr>
      <w:r>
        <w:rPr>
          <w:rFonts w:hint="eastAsia" w:ascii="仿宋" w:hAnsi="仿宋" w:eastAsia="仿宋" w:cs="仿宋"/>
          <w:b w:val="0"/>
          <w:bCs w:val="0"/>
          <w:color w:val="222222"/>
          <w:kern w:val="0"/>
          <w:sz w:val="32"/>
          <w:szCs w:val="32"/>
        </w:rPr>
        <w:t>1</w:t>
      </w:r>
      <w:r>
        <w:rPr>
          <w:rFonts w:hint="eastAsia" w:ascii="仿宋" w:hAnsi="仿宋" w:eastAsia="仿宋" w:cs="仿宋"/>
          <w:b w:val="0"/>
          <w:bCs w:val="0"/>
          <w:color w:val="222222"/>
          <w:kern w:val="0"/>
          <w:sz w:val="32"/>
          <w:szCs w:val="32"/>
          <w:lang w:eastAsia="zh-CN"/>
        </w:rPr>
        <w:t>、</w:t>
      </w:r>
      <w:r>
        <w:rPr>
          <w:rFonts w:hint="eastAsia" w:ascii="仿宋" w:hAnsi="仿宋" w:eastAsia="仿宋" w:cs="仿宋"/>
          <w:b w:val="0"/>
          <w:bCs w:val="0"/>
          <w:color w:val="222222"/>
          <w:kern w:val="0"/>
          <w:sz w:val="32"/>
          <w:szCs w:val="32"/>
        </w:rPr>
        <w:t>基本支出本年预算指标可用情况（单位：万元）</w:t>
      </w:r>
    </w:p>
    <w:tbl>
      <w:tblPr>
        <w:tblStyle w:val="6"/>
        <w:tblW w:w="8421" w:type="dxa"/>
        <w:tblInd w:w="108" w:type="dxa"/>
        <w:tblLayout w:type="fixed"/>
        <w:tblCellMar>
          <w:top w:w="0" w:type="dxa"/>
          <w:left w:w="0" w:type="dxa"/>
          <w:bottom w:w="0" w:type="dxa"/>
          <w:right w:w="0" w:type="dxa"/>
        </w:tblCellMar>
      </w:tblPr>
      <w:tblGrid>
        <w:gridCol w:w="2493"/>
        <w:gridCol w:w="2342"/>
        <w:gridCol w:w="1659"/>
        <w:gridCol w:w="1927"/>
      </w:tblGrid>
      <w:tr>
        <w:tblPrEx>
          <w:tblCellMar>
            <w:top w:w="0" w:type="dxa"/>
            <w:left w:w="0" w:type="dxa"/>
            <w:bottom w:w="0" w:type="dxa"/>
            <w:right w:w="0" w:type="dxa"/>
          </w:tblCellMar>
        </w:tblPrEx>
        <w:trPr>
          <w:trHeight w:val="525" w:hRule="atLeast"/>
        </w:trPr>
        <w:tc>
          <w:tcPr>
            <w:tcW w:w="249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预算项目</w:t>
            </w:r>
          </w:p>
        </w:tc>
        <w:tc>
          <w:tcPr>
            <w:tcW w:w="2342"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本年预算</w:t>
            </w:r>
          </w:p>
        </w:tc>
        <w:tc>
          <w:tcPr>
            <w:tcW w:w="1659"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本年追加</w:t>
            </w:r>
          </w:p>
        </w:tc>
        <w:tc>
          <w:tcPr>
            <w:tcW w:w="1927"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本年可用指标</w:t>
            </w:r>
          </w:p>
        </w:tc>
      </w:tr>
      <w:tr>
        <w:tblPrEx>
          <w:tblCellMar>
            <w:top w:w="0" w:type="dxa"/>
            <w:left w:w="0" w:type="dxa"/>
            <w:bottom w:w="0" w:type="dxa"/>
            <w:right w:w="0" w:type="dxa"/>
          </w:tblCellMar>
        </w:tblPrEx>
        <w:trPr>
          <w:trHeight w:val="525" w:hRule="atLeast"/>
        </w:trPr>
        <w:tc>
          <w:tcPr>
            <w:tcW w:w="249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工资福利支出</w:t>
            </w:r>
          </w:p>
        </w:tc>
        <w:tc>
          <w:tcPr>
            <w:tcW w:w="234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718.56</w:t>
            </w:r>
          </w:p>
        </w:tc>
        <w:tc>
          <w:tcPr>
            <w:tcW w:w="165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379</w:t>
            </w:r>
          </w:p>
        </w:tc>
        <w:tc>
          <w:tcPr>
            <w:tcW w:w="192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1097.56</w:t>
            </w:r>
          </w:p>
        </w:tc>
      </w:tr>
      <w:tr>
        <w:tblPrEx>
          <w:tblCellMar>
            <w:top w:w="0" w:type="dxa"/>
            <w:left w:w="0" w:type="dxa"/>
            <w:bottom w:w="0" w:type="dxa"/>
            <w:right w:w="0" w:type="dxa"/>
          </w:tblCellMar>
        </w:tblPrEx>
        <w:trPr>
          <w:trHeight w:val="525" w:hRule="atLeast"/>
        </w:trPr>
        <w:tc>
          <w:tcPr>
            <w:tcW w:w="249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商品和服务支出</w:t>
            </w:r>
          </w:p>
        </w:tc>
        <w:tc>
          <w:tcPr>
            <w:tcW w:w="234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130.15</w:t>
            </w:r>
          </w:p>
        </w:tc>
        <w:tc>
          <w:tcPr>
            <w:tcW w:w="165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200.13</w:t>
            </w:r>
          </w:p>
        </w:tc>
        <w:tc>
          <w:tcPr>
            <w:tcW w:w="192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330.28</w:t>
            </w:r>
          </w:p>
        </w:tc>
      </w:tr>
      <w:tr>
        <w:tblPrEx>
          <w:tblCellMar>
            <w:top w:w="0" w:type="dxa"/>
            <w:left w:w="0" w:type="dxa"/>
            <w:bottom w:w="0" w:type="dxa"/>
            <w:right w:w="0" w:type="dxa"/>
          </w:tblCellMar>
        </w:tblPrEx>
        <w:trPr>
          <w:trHeight w:val="525" w:hRule="atLeast"/>
        </w:trPr>
        <w:tc>
          <w:tcPr>
            <w:tcW w:w="249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对个人和家庭补助</w:t>
            </w:r>
          </w:p>
        </w:tc>
        <w:tc>
          <w:tcPr>
            <w:tcW w:w="234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13</w:t>
            </w:r>
          </w:p>
        </w:tc>
        <w:tc>
          <w:tcPr>
            <w:tcW w:w="165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0.45</w:t>
            </w:r>
          </w:p>
        </w:tc>
        <w:tc>
          <w:tcPr>
            <w:tcW w:w="192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13.45</w:t>
            </w:r>
          </w:p>
        </w:tc>
      </w:tr>
      <w:tr>
        <w:tblPrEx>
          <w:tblCellMar>
            <w:top w:w="0" w:type="dxa"/>
            <w:left w:w="0" w:type="dxa"/>
            <w:bottom w:w="0" w:type="dxa"/>
            <w:right w:w="0" w:type="dxa"/>
          </w:tblCellMar>
        </w:tblPrEx>
        <w:trPr>
          <w:trHeight w:val="525" w:hRule="atLeast"/>
        </w:trPr>
        <w:tc>
          <w:tcPr>
            <w:tcW w:w="249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合 计</w:t>
            </w:r>
          </w:p>
        </w:tc>
        <w:tc>
          <w:tcPr>
            <w:tcW w:w="234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861.71</w:t>
            </w:r>
          </w:p>
        </w:tc>
        <w:tc>
          <w:tcPr>
            <w:tcW w:w="165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579.58</w:t>
            </w:r>
          </w:p>
        </w:tc>
        <w:tc>
          <w:tcPr>
            <w:tcW w:w="192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1441.29</w:t>
            </w:r>
          </w:p>
        </w:tc>
      </w:tr>
    </w:tbl>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根据本年预算、上年结余和本年预算追加情况，本年基本支出预算可用指标</w:t>
      </w:r>
      <w:r>
        <w:rPr>
          <w:rFonts w:hint="eastAsia" w:ascii="仿宋" w:hAnsi="仿宋" w:eastAsia="仿宋" w:cs="仿宋"/>
          <w:color w:val="222222"/>
          <w:kern w:val="0"/>
          <w:sz w:val="32"/>
          <w:szCs w:val="32"/>
          <w:lang w:val="en-US" w:eastAsia="zh-CN"/>
        </w:rPr>
        <w:t>1441.29</w:t>
      </w:r>
      <w:r>
        <w:rPr>
          <w:rFonts w:hint="eastAsia" w:ascii="仿宋" w:hAnsi="仿宋" w:eastAsia="仿宋" w:cs="仿宋"/>
          <w:color w:val="222222"/>
          <w:kern w:val="0"/>
          <w:sz w:val="32"/>
          <w:szCs w:val="32"/>
        </w:rPr>
        <w:t>万元。</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b w:val="0"/>
          <w:bCs w:val="0"/>
          <w:color w:val="222222"/>
          <w:kern w:val="0"/>
          <w:sz w:val="32"/>
          <w:szCs w:val="32"/>
        </w:rPr>
      </w:pPr>
      <w:r>
        <w:rPr>
          <w:rFonts w:hint="eastAsia" w:ascii="仿宋" w:hAnsi="仿宋" w:eastAsia="仿宋" w:cs="仿宋"/>
          <w:b w:val="0"/>
          <w:bCs w:val="0"/>
          <w:color w:val="222222"/>
          <w:kern w:val="0"/>
          <w:sz w:val="32"/>
          <w:szCs w:val="32"/>
        </w:rPr>
        <w:t>2</w:t>
      </w:r>
      <w:r>
        <w:rPr>
          <w:rFonts w:hint="eastAsia" w:ascii="仿宋" w:hAnsi="仿宋" w:eastAsia="仿宋" w:cs="仿宋"/>
          <w:b w:val="0"/>
          <w:bCs w:val="0"/>
          <w:color w:val="222222"/>
          <w:kern w:val="0"/>
          <w:sz w:val="32"/>
          <w:szCs w:val="32"/>
          <w:lang w:eastAsia="zh-CN"/>
        </w:rPr>
        <w:t>、</w:t>
      </w:r>
      <w:r>
        <w:rPr>
          <w:rFonts w:hint="eastAsia" w:ascii="仿宋" w:hAnsi="仿宋" w:eastAsia="仿宋" w:cs="仿宋"/>
          <w:b w:val="0"/>
          <w:bCs w:val="0"/>
          <w:color w:val="222222"/>
          <w:kern w:val="0"/>
          <w:sz w:val="32"/>
          <w:szCs w:val="32"/>
        </w:rPr>
        <w:t>本年基本支出预算执行情况（单位：万元）</w:t>
      </w:r>
    </w:p>
    <w:tbl>
      <w:tblPr>
        <w:tblStyle w:val="6"/>
        <w:tblW w:w="8380" w:type="dxa"/>
        <w:tblInd w:w="164" w:type="dxa"/>
        <w:tblLayout w:type="autofit"/>
        <w:tblCellMar>
          <w:top w:w="0" w:type="dxa"/>
          <w:left w:w="0" w:type="dxa"/>
          <w:bottom w:w="0" w:type="dxa"/>
          <w:right w:w="0" w:type="dxa"/>
        </w:tblCellMar>
      </w:tblPr>
      <w:tblGrid>
        <w:gridCol w:w="2578"/>
        <w:gridCol w:w="2098"/>
        <w:gridCol w:w="2098"/>
        <w:gridCol w:w="1606"/>
      </w:tblGrid>
      <w:tr>
        <w:tblPrEx>
          <w:tblCellMar>
            <w:top w:w="0" w:type="dxa"/>
            <w:left w:w="0" w:type="dxa"/>
            <w:bottom w:w="0" w:type="dxa"/>
            <w:right w:w="0" w:type="dxa"/>
          </w:tblCellMar>
        </w:tblPrEx>
        <w:trPr>
          <w:trHeight w:val="480" w:hRule="atLeast"/>
        </w:trPr>
        <w:tc>
          <w:tcPr>
            <w:tcW w:w="0" w:type="auto"/>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预算项目</w:t>
            </w:r>
          </w:p>
        </w:tc>
        <w:tc>
          <w:tcPr>
            <w:tcW w:w="0" w:type="auto"/>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预算可用指标</w:t>
            </w:r>
          </w:p>
        </w:tc>
        <w:tc>
          <w:tcPr>
            <w:tcW w:w="2098"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本年决算金额</w:t>
            </w:r>
          </w:p>
        </w:tc>
        <w:tc>
          <w:tcPr>
            <w:tcW w:w="160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差额</w:t>
            </w:r>
          </w:p>
        </w:tc>
      </w:tr>
      <w:tr>
        <w:tblPrEx>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工资福利支出</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1097.56</w:t>
            </w:r>
          </w:p>
        </w:tc>
        <w:tc>
          <w:tcPr>
            <w:tcW w:w="209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991.81</w:t>
            </w:r>
          </w:p>
        </w:tc>
        <w:tc>
          <w:tcPr>
            <w:tcW w:w="16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105.75</w:t>
            </w:r>
          </w:p>
        </w:tc>
      </w:tr>
      <w:tr>
        <w:tblPrEx>
          <w:tblCellMar>
            <w:top w:w="0" w:type="dxa"/>
            <w:left w:w="0" w:type="dxa"/>
            <w:bottom w:w="0" w:type="dxa"/>
            <w:right w:w="0" w:type="dxa"/>
          </w:tblCellMar>
        </w:tblPrEx>
        <w:trPr>
          <w:trHeight w:val="364"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商品和服务支出</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330.28</w:t>
            </w:r>
          </w:p>
        </w:tc>
        <w:tc>
          <w:tcPr>
            <w:tcW w:w="209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327.68</w:t>
            </w:r>
          </w:p>
        </w:tc>
        <w:tc>
          <w:tcPr>
            <w:tcW w:w="16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2.6</w:t>
            </w:r>
          </w:p>
        </w:tc>
      </w:tr>
      <w:tr>
        <w:tblPrEx>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对个人和家庭补助</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13.45</w:t>
            </w:r>
          </w:p>
        </w:tc>
        <w:tc>
          <w:tcPr>
            <w:tcW w:w="209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9.48</w:t>
            </w:r>
          </w:p>
        </w:tc>
        <w:tc>
          <w:tcPr>
            <w:tcW w:w="16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3.97</w:t>
            </w:r>
          </w:p>
        </w:tc>
      </w:tr>
      <w:tr>
        <w:tblPrEx>
          <w:tblCellMar>
            <w:top w:w="0" w:type="dxa"/>
            <w:left w:w="0" w:type="dxa"/>
            <w:bottom w:w="0" w:type="dxa"/>
            <w:right w:w="0" w:type="dxa"/>
          </w:tblCellMar>
        </w:tblPrEx>
        <w:trPr>
          <w:trHeight w:val="480"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合 计</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1441.29</w:t>
            </w:r>
          </w:p>
        </w:tc>
        <w:tc>
          <w:tcPr>
            <w:tcW w:w="209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1328.97</w:t>
            </w:r>
          </w:p>
        </w:tc>
        <w:tc>
          <w:tcPr>
            <w:tcW w:w="16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left"/>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112.32</w:t>
            </w:r>
          </w:p>
        </w:tc>
      </w:tr>
    </w:tbl>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从上表可以反映，20</w:t>
      </w:r>
      <w:r>
        <w:rPr>
          <w:rFonts w:hint="eastAsia" w:ascii="仿宋" w:hAnsi="仿宋" w:eastAsia="仿宋" w:cs="仿宋"/>
          <w:color w:val="222222"/>
          <w:kern w:val="0"/>
          <w:sz w:val="32"/>
          <w:szCs w:val="32"/>
          <w:lang w:val="en-US" w:eastAsia="zh-CN"/>
        </w:rPr>
        <w:t>21</w:t>
      </w:r>
      <w:r>
        <w:rPr>
          <w:rFonts w:hint="eastAsia" w:ascii="仿宋" w:hAnsi="仿宋" w:eastAsia="仿宋" w:cs="仿宋"/>
          <w:color w:val="222222"/>
          <w:kern w:val="0"/>
          <w:sz w:val="32"/>
          <w:szCs w:val="32"/>
        </w:rPr>
        <w:t>年我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基本支出与预算基本一致</w:t>
      </w:r>
      <w:r>
        <w:rPr>
          <w:rFonts w:hint="eastAsia" w:ascii="仿宋" w:hAnsi="仿宋" w:eastAsia="仿宋" w:cs="仿宋"/>
          <w:color w:val="222222"/>
          <w:kern w:val="0"/>
          <w:sz w:val="32"/>
          <w:szCs w:val="32"/>
          <w:lang w:eastAsia="zh-CN"/>
        </w:rPr>
        <w:t>，略有结余</w:t>
      </w:r>
      <w:r>
        <w:rPr>
          <w:rFonts w:hint="eastAsia" w:ascii="仿宋" w:hAnsi="仿宋" w:eastAsia="仿宋" w:cs="仿宋"/>
          <w:color w:val="222222"/>
          <w:kern w:val="0"/>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rPr>
      </w:pPr>
      <w:r>
        <w:rPr>
          <w:rFonts w:hint="eastAsia" w:ascii="仿宋" w:hAnsi="仿宋" w:eastAsia="仿宋" w:cs="仿宋"/>
          <w:b/>
          <w:bCs/>
          <w:color w:val="222222"/>
          <w:kern w:val="0"/>
          <w:sz w:val="32"/>
          <w:szCs w:val="32"/>
        </w:rPr>
        <w:t>（二）“三公”经费使用管理情况</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8"/>
          <w:szCs w:val="28"/>
        </w:rPr>
        <w:t>1</w:t>
      </w:r>
      <w:r>
        <w:rPr>
          <w:rFonts w:hint="eastAsia" w:ascii="仿宋" w:hAnsi="仿宋" w:eastAsia="仿宋" w:cs="仿宋"/>
          <w:b w:val="0"/>
          <w:bCs w:val="0"/>
          <w:color w:val="222222"/>
          <w:kern w:val="0"/>
          <w:sz w:val="28"/>
          <w:szCs w:val="28"/>
          <w:lang w:eastAsia="zh-CN"/>
        </w:rPr>
        <w:t>、</w:t>
      </w:r>
      <w:r>
        <w:rPr>
          <w:rFonts w:hint="eastAsia" w:ascii="仿宋" w:hAnsi="仿宋" w:eastAsia="仿宋" w:cs="仿宋"/>
          <w:b w:val="0"/>
          <w:bCs w:val="0"/>
          <w:color w:val="222222"/>
          <w:kern w:val="0"/>
          <w:sz w:val="28"/>
          <w:szCs w:val="28"/>
        </w:rPr>
        <w:t>20</w:t>
      </w:r>
      <w:r>
        <w:rPr>
          <w:rFonts w:hint="eastAsia" w:ascii="仿宋" w:hAnsi="仿宋" w:eastAsia="仿宋" w:cs="仿宋"/>
          <w:b w:val="0"/>
          <w:bCs w:val="0"/>
          <w:color w:val="222222"/>
          <w:kern w:val="0"/>
          <w:sz w:val="28"/>
          <w:szCs w:val="28"/>
          <w:lang w:val="en-US" w:eastAsia="zh-CN"/>
        </w:rPr>
        <w:t>21</w:t>
      </w:r>
      <w:r>
        <w:rPr>
          <w:rFonts w:hint="eastAsia" w:ascii="仿宋" w:hAnsi="仿宋" w:eastAsia="仿宋" w:cs="仿宋"/>
          <w:b w:val="0"/>
          <w:bCs w:val="0"/>
          <w:color w:val="222222"/>
          <w:kern w:val="0"/>
          <w:sz w:val="28"/>
          <w:szCs w:val="28"/>
        </w:rPr>
        <w:t>年“三公”经费预算情况（单位：万元</w:t>
      </w:r>
      <w:r>
        <w:rPr>
          <w:rFonts w:hint="eastAsia" w:ascii="仿宋" w:hAnsi="仿宋" w:eastAsia="仿宋" w:cs="仿宋"/>
          <w:b w:val="0"/>
          <w:bCs w:val="0"/>
          <w:color w:val="222222"/>
          <w:kern w:val="0"/>
          <w:sz w:val="24"/>
          <w:szCs w:val="24"/>
        </w:rPr>
        <w:t>）</w:t>
      </w:r>
    </w:p>
    <w:tbl>
      <w:tblPr>
        <w:tblStyle w:val="6"/>
        <w:tblW w:w="8451" w:type="dxa"/>
        <w:tblInd w:w="108" w:type="dxa"/>
        <w:tblLayout w:type="autofit"/>
        <w:tblCellMar>
          <w:top w:w="0" w:type="dxa"/>
          <w:left w:w="0" w:type="dxa"/>
          <w:bottom w:w="0" w:type="dxa"/>
          <w:right w:w="0" w:type="dxa"/>
        </w:tblCellMar>
      </w:tblPr>
      <w:tblGrid>
        <w:gridCol w:w="2338"/>
        <w:gridCol w:w="1778"/>
        <w:gridCol w:w="1710"/>
        <w:gridCol w:w="2625"/>
      </w:tblGrid>
      <w:tr>
        <w:tblPrEx>
          <w:tblCellMar>
            <w:top w:w="0" w:type="dxa"/>
            <w:left w:w="0" w:type="dxa"/>
            <w:bottom w:w="0" w:type="dxa"/>
            <w:right w:w="0" w:type="dxa"/>
          </w:tblCellMar>
        </w:tblPrEx>
        <w:trPr>
          <w:trHeight w:val="475" w:hRule="atLeast"/>
        </w:trPr>
        <w:tc>
          <w:tcPr>
            <w:tcW w:w="0" w:type="auto"/>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费用项目</w:t>
            </w:r>
          </w:p>
        </w:tc>
        <w:tc>
          <w:tcPr>
            <w:tcW w:w="1778"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基本支出</w:t>
            </w:r>
          </w:p>
        </w:tc>
        <w:tc>
          <w:tcPr>
            <w:tcW w:w="171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项目支出</w:t>
            </w:r>
          </w:p>
        </w:tc>
        <w:tc>
          <w:tcPr>
            <w:tcW w:w="262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合计</w:t>
            </w:r>
          </w:p>
        </w:tc>
      </w:tr>
      <w:tr>
        <w:tblPrEx>
          <w:tblCellMar>
            <w:top w:w="0" w:type="dxa"/>
            <w:left w:w="0" w:type="dxa"/>
            <w:bottom w:w="0" w:type="dxa"/>
            <w:right w:w="0" w:type="dxa"/>
          </w:tblCellMar>
        </w:tblPrEx>
        <w:trPr>
          <w:trHeight w:val="360"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textAlignment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000000"/>
                <w:kern w:val="0"/>
                <w:sz w:val="24"/>
                <w:szCs w:val="24"/>
              </w:rPr>
              <w:t>公务接待费</w:t>
            </w:r>
          </w:p>
        </w:tc>
        <w:tc>
          <w:tcPr>
            <w:tcW w:w="17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741" w:firstLineChars="309"/>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3.2</w:t>
            </w:r>
          </w:p>
        </w:tc>
        <w:tc>
          <w:tcPr>
            <w:tcW w:w="17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p>
        </w:tc>
        <w:tc>
          <w:tcPr>
            <w:tcW w:w="262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p>
        </w:tc>
      </w:tr>
      <w:tr>
        <w:tblPrEx>
          <w:tblCellMar>
            <w:top w:w="0" w:type="dxa"/>
            <w:left w:w="0" w:type="dxa"/>
            <w:bottom w:w="0" w:type="dxa"/>
            <w:right w:w="0" w:type="dxa"/>
          </w:tblCellMar>
        </w:tblPrEx>
        <w:trPr>
          <w:trHeight w:val="360"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textAlignment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000000"/>
                <w:kern w:val="0"/>
                <w:sz w:val="24"/>
                <w:szCs w:val="24"/>
              </w:rPr>
              <w:t>公车运行维护费</w:t>
            </w:r>
          </w:p>
        </w:tc>
        <w:tc>
          <w:tcPr>
            <w:tcW w:w="17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3.0</w:t>
            </w:r>
          </w:p>
        </w:tc>
        <w:tc>
          <w:tcPr>
            <w:tcW w:w="17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c>
          <w:tcPr>
            <w:tcW w:w="262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p>
        </w:tc>
      </w:tr>
      <w:tr>
        <w:tblPrEx>
          <w:tblCellMar>
            <w:top w:w="0" w:type="dxa"/>
            <w:left w:w="0" w:type="dxa"/>
            <w:bottom w:w="0" w:type="dxa"/>
            <w:right w:w="0" w:type="dxa"/>
          </w:tblCellMar>
        </w:tblPrEx>
        <w:trPr>
          <w:trHeight w:val="345"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textAlignment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000000"/>
                <w:kern w:val="0"/>
                <w:sz w:val="24"/>
                <w:szCs w:val="24"/>
              </w:rPr>
              <w:t>因公出国费用</w:t>
            </w:r>
          </w:p>
        </w:tc>
        <w:tc>
          <w:tcPr>
            <w:tcW w:w="17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c>
          <w:tcPr>
            <w:tcW w:w="17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p>
        </w:tc>
        <w:tc>
          <w:tcPr>
            <w:tcW w:w="262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p>
        </w:tc>
      </w:tr>
      <w:tr>
        <w:tblPrEx>
          <w:tblCellMar>
            <w:top w:w="0" w:type="dxa"/>
            <w:left w:w="0" w:type="dxa"/>
            <w:bottom w:w="0" w:type="dxa"/>
            <w:right w:w="0" w:type="dxa"/>
          </w:tblCellMar>
        </w:tblPrEx>
        <w:trPr>
          <w:trHeight w:val="330"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textAlignment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000000"/>
                <w:kern w:val="0"/>
                <w:sz w:val="24"/>
                <w:szCs w:val="24"/>
              </w:rPr>
              <w:t>公务车购置费</w:t>
            </w:r>
          </w:p>
        </w:tc>
        <w:tc>
          <w:tcPr>
            <w:tcW w:w="17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default" w:ascii="仿宋" w:hAnsi="仿宋" w:eastAsia="仿宋" w:cs="仿宋"/>
                <w:b w:val="0"/>
                <w:bCs w:val="0"/>
                <w:color w:val="222222"/>
                <w:kern w:val="0"/>
                <w:sz w:val="24"/>
                <w:szCs w:val="24"/>
                <w:lang w:val="en-US" w:eastAsia="zh-CN"/>
              </w:rPr>
            </w:pPr>
          </w:p>
        </w:tc>
        <w:tc>
          <w:tcPr>
            <w:tcW w:w="17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c>
          <w:tcPr>
            <w:tcW w:w="262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p>
        </w:tc>
      </w:tr>
      <w:tr>
        <w:tblPrEx>
          <w:tblCellMar>
            <w:top w:w="0" w:type="dxa"/>
            <w:left w:w="0" w:type="dxa"/>
            <w:bottom w:w="0" w:type="dxa"/>
            <w:right w:w="0" w:type="dxa"/>
          </w:tblCellMar>
        </w:tblPrEx>
        <w:trPr>
          <w:trHeight w:val="500" w:hRule="atLeast"/>
        </w:trPr>
        <w:tc>
          <w:tcPr>
            <w:tcW w:w="0" w:type="auto"/>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2"/>
              <w:jc w:val="left"/>
              <w:textAlignment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000000"/>
                <w:kern w:val="0"/>
                <w:sz w:val="24"/>
                <w:szCs w:val="24"/>
              </w:rPr>
              <w:t>合计</w:t>
            </w:r>
          </w:p>
        </w:tc>
        <w:tc>
          <w:tcPr>
            <w:tcW w:w="17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6.2</w:t>
            </w:r>
          </w:p>
        </w:tc>
        <w:tc>
          <w:tcPr>
            <w:tcW w:w="17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rPr>
            </w:pPr>
          </w:p>
        </w:tc>
        <w:tc>
          <w:tcPr>
            <w:tcW w:w="262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40"/>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6.2</w:t>
            </w:r>
          </w:p>
        </w:tc>
      </w:tr>
    </w:tbl>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20</w:t>
      </w:r>
      <w:r>
        <w:rPr>
          <w:rFonts w:hint="eastAsia" w:ascii="仿宋" w:hAnsi="仿宋" w:eastAsia="仿宋" w:cs="仿宋"/>
          <w:color w:val="222222"/>
          <w:kern w:val="0"/>
          <w:sz w:val="32"/>
          <w:szCs w:val="32"/>
          <w:lang w:val="en-US" w:eastAsia="zh-CN"/>
        </w:rPr>
        <w:t>21</w:t>
      </w:r>
      <w:r>
        <w:rPr>
          <w:rFonts w:hint="eastAsia" w:ascii="仿宋" w:hAnsi="仿宋" w:eastAsia="仿宋" w:cs="仿宋"/>
          <w:color w:val="222222"/>
          <w:kern w:val="0"/>
          <w:sz w:val="32"/>
          <w:szCs w:val="32"/>
        </w:rPr>
        <w:t>年“三公”经费预算金额为</w:t>
      </w:r>
      <w:r>
        <w:rPr>
          <w:rFonts w:hint="eastAsia" w:ascii="仿宋" w:hAnsi="仿宋" w:eastAsia="仿宋" w:cs="仿宋"/>
          <w:color w:val="222222"/>
          <w:kern w:val="0"/>
          <w:sz w:val="32"/>
          <w:szCs w:val="32"/>
          <w:lang w:val="en-US" w:eastAsia="zh-CN"/>
        </w:rPr>
        <w:t>6.2</w:t>
      </w:r>
      <w:r>
        <w:rPr>
          <w:rFonts w:hint="eastAsia" w:ascii="仿宋" w:hAnsi="仿宋" w:eastAsia="仿宋" w:cs="仿宋"/>
          <w:color w:val="222222"/>
          <w:kern w:val="0"/>
          <w:sz w:val="32"/>
          <w:szCs w:val="32"/>
        </w:rPr>
        <w:t>万元，全部为财政拨款资金，并在门户网站进行了公示。</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b w:val="0"/>
          <w:bCs w:val="0"/>
          <w:color w:val="222222"/>
          <w:kern w:val="0"/>
          <w:sz w:val="32"/>
          <w:szCs w:val="32"/>
        </w:rPr>
      </w:pPr>
      <w:r>
        <w:rPr>
          <w:rFonts w:hint="eastAsia" w:ascii="仿宋" w:hAnsi="仿宋" w:eastAsia="仿宋" w:cs="仿宋"/>
          <w:b w:val="0"/>
          <w:bCs w:val="0"/>
          <w:color w:val="222222"/>
          <w:kern w:val="0"/>
          <w:sz w:val="32"/>
          <w:szCs w:val="32"/>
        </w:rPr>
        <w:t>2</w:t>
      </w:r>
      <w:r>
        <w:rPr>
          <w:rFonts w:hint="eastAsia" w:ascii="仿宋" w:hAnsi="仿宋" w:eastAsia="仿宋" w:cs="仿宋"/>
          <w:b w:val="0"/>
          <w:bCs w:val="0"/>
          <w:color w:val="222222"/>
          <w:kern w:val="0"/>
          <w:sz w:val="32"/>
          <w:szCs w:val="32"/>
          <w:lang w:eastAsia="zh-CN"/>
        </w:rPr>
        <w:t>、</w:t>
      </w:r>
      <w:r>
        <w:rPr>
          <w:rFonts w:hint="eastAsia" w:ascii="仿宋" w:hAnsi="仿宋" w:eastAsia="仿宋" w:cs="仿宋"/>
          <w:b w:val="0"/>
          <w:bCs w:val="0"/>
          <w:color w:val="222222"/>
          <w:kern w:val="0"/>
          <w:sz w:val="32"/>
          <w:szCs w:val="32"/>
        </w:rPr>
        <w:t>“三公”经费预算执行情况（单位：万元）</w:t>
      </w:r>
    </w:p>
    <w:tbl>
      <w:tblPr>
        <w:tblStyle w:val="6"/>
        <w:tblW w:w="8313" w:type="dxa"/>
        <w:tblInd w:w="276" w:type="dxa"/>
        <w:tblLayout w:type="autofit"/>
        <w:tblCellMar>
          <w:top w:w="0" w:type="dxa"/>
          <w:left w:w="0" w:type="dxa"/>
          <w:bottom w:w="0" w:type="dxa"/>
          <w:right w:w="0" w:type="dxa"/>
        </w:tblCellMar>
      </w:tblPr>
      <w:tblGrid>
        <w:gridCol w:w="1263"/>
        <w:gridCol w:w="1305"/>
        <w:gridCol w:w="1155"/>
        <w:gridCol w:w="1110"/>
        <w:gridCol w:w="1057"/>
        <w:gridCol w:w="1016"/>
        <w:gridCol w:w="1407"/>
      </w:tblGrid>
      <w:tr>
        <w:tblPrEx>
          <w:tblCellMar>
            <w:top w:w="0" w:type="dxa"/>
            <w:left w:w="0" w:type="dxa"/>
            <w:bottom w:w="0" w:type="dxa"/>
            <w:right w:w="0" w:type="dxa"/>
          </w:tblCellMar>
        </w:tblPrEx>
        <w:trPr>
          <w:trHeight w:val="385" w:hRule="atLeast"/>
        </w:trPr>
        <w:tc>
          <w:tcPr>
            <w:tcW w:w="1263"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0"/>
                <w:szCs w:val="20"/>
              </w:rPr>
            </w:pPr>
            <w:r>
              <w:rPr>
                <w:rFonts w:hint="eastAsia" w:ascii="仿宋" w:hAnsi="仿宋" w:eastAsia="仿宋" w:cs="仿宋"/>
                <w:b w:val="0"/>
                <w:bCs w:val="0"/>
                <w:color w:val="222222"/>
                <w:kern w:val="0"/>
                <w:sz w:val="20"/>
                <w:szCs w:val="20"/>
              </w:rPr>
              <w:t>费用项目</w:t>
            </w:r>
          </w:p>
        </w:tc>
        <w:tc>
          <w:tcPr>
            <w:tcW w:w="2460"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0"/>
                <w:szCs w:val="20"/>
              </w:rPr>
            </w:pPr>
            <w:r>
              <w:rPr>
                <w:rFonts w:hint="eastAsia" w:ascii="仿宋" w:hAnsi="仿宋" w:eastAsia="仿宋" w:cs="仿宋"/>
                <w:b w:val="0"/>
                <w:bCs w:val="0"/>
                <w:color w:val="222222"/>
                <w:kern w:val="0"/>
                <w:sz w:val="20"/>
                <w:szCs w:val="20"/>
              </w:rPr>
              <w:t>预算金额</w:t>
            </w:r>
          </w:p>
        </w:tc>
        <w:tc>
          <w:tcPr>
            <w:tcW w:w="2167"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0"/>
                <w:szCs w:val="20"/>
              </w:rPr>
            </w:pPr>
            <w:r>
              <w:rPr>
                <w:rFonts w:hint="eastAsia" w:ascii="仿宋" w:hAnsi="仿宋" w:eastAsia="仿宋" w:cs="仿宋"/>
                <w:b w:val="0"/>
                <w:bCs w:val="0"/>
                <w:color w:val="222222"/>
                <w:kern w:val="0"/>
                <w:sz w:val="20"/>
                <w:szCs w:val="20"/>
              </w:rPr>
              <w:t>决算金额</w:t>
            </w:r>
          </w:p>
        </w:tc>
        <w:tc>
          <w:tcPr>
            <w:tcW w:w="2423"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0"/>
                <w:szCs w:val="20"/>
              </w:rPr>
            </w:pPr>
            <w:r>
              <w:rPr>
                <w:rFonts w:hint="eastAsia" w:ascii="仿宋" w:hAnsi="仿宋" w:eastAsia="仿宋" w:cs="仿宋"/>
                <w:b w:val="0"/>
                <w:bCs w:val="0"/>
                <w:color w:val="222222"/>
                <w:kern w:val="0"/>
                <w:sz w:val="20"/>
                <w:szCs w:val="20"/>
              </w:rPr>
              <w:t>增加额（预-决）</w:t>
            </w:r>
          </w:p>
        </w:tc>
      </w:tr>
      <w:tr>
        <w:tblPrEx>
          <w:tblCellMar>
            <w:top w:w="0" w:type="dxa"/>
            <w:left w:w="0" w:type="dxa"/>
            <w:bottom w:w="0" w:type="dxa"/>
            <w:right w:w="0" w:type="dxa"/>
          </w:tblCellMar>
        </w:tblPrEx>
        <w:trPr>
          <w:trHeight w:val="498" w:hRule="atLeast"/>
        </w:trPr>
        <w:tc>
          <w:tcPr>
            <w:tcW w:w="1263"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0"/>
                <w:szCs w:val="20"/>
              </w:rPr>
            </w:pPr>
          </w:p>
        </w:tc>
        <w:tc>
          <w:tcPr>
            <w:tcW w:w="13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0"/>
                <w:szCs w:val="20"/>
              </w:rPr>
            </w:pPr>
            <w:r>
              <w:rPr>
                <w:rFonts w:hint="eastAsia" w:ascii="仿宋" w:hAnsi="仿宋" w:eastAsia="仿宋" w:cs="仿宋"/>
                <w:b w:val="0"/>
                <w:bCs w:val="0"/>
                <w:color w:val="222222"/>
                <w:kern w:val="0"/>
                <w:sz w:val="20"/>
                <w:szCs w:val="20"/>
              </w:rPr>
              <w:t>基本支出</w:t>
            </w:r>
          </w:p>
        </w:tc>
        <w:tc>
          <w:tcPr>
            <w:tcW w:w="115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0"/>
                <w:szCs w:val="20"/>
              </w:rPr>
            </w:pPr>
            <w:r>
              <w:rPr>
                <w:rFonts w:hint="eastAsia" w:ascii="仿宋" w:hAnsi="仿宋" w:eastAsia="仿宋" w:cs="仿宋"/>
                <w:b w:val="0"/>
                <w:bCs w:val="0"/>
                <w:color w:val="222222"/>
                <w:kern w:val="0"/>
                <w:sz w:val="20"/>
                <w:szCs w:val="20"/>
              </w:rPr>
              <w:t>项目支出</w:t>
            </w:r>
          </w:p>
        </w:tc>
        <w:tc>
          <w:tcPr>
            <w:tcW w:w="1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0"/>
                <w:szCs w:val="20"/>
              </w:rPr>
            </w:pPr>
            <w:r>
              <w:rPr>
                <w:rFonts w:hint="eastAsia" w:ascii="仿宋" w:hAnsi="仿宋" w:eastAsia="仿宋" w:cs="仿宋"/>
                <w:b w:val="0"/>
                <w:bCs w:val="0"/>
                <w:color w:val="222222"/>
                <w:kern w:val="0"/>
                <w:sz w:val="20"/>
                <w:szCs w:val="20"/>
              </w:rPr>
              <w:t>基本支出</w:t>
            </w:r>
          </w:p>
        </w:tc>
        <w:tc>
          <w:tcPr>
            <w:tcW w:w="105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0"/>
                <w:szCs w:val="20"/>
              </w:rPr>
            </w:pPr>
            <w:r>
              <w:rPr>
                <w:rFonts w:hint="eastAsia" w:ascii="仿宋" w:hAnsi="仿宋" w:eastAsia="仿宋" w:cs="仿宋"/>
                <w:b w:val="0"/>
                <w:bCs w:val="0"/>
                <w:color w:val="222222"/>
                <w:kern w:val="0"/>
                <w:sz w:val="20"/>
                <w:szCs w:val="20"/>
              </w:rPr>
              <w:t>项目支出</w:t>
            </w: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0"/>
                <w:szCs w:val="20"/>
              </w:rPr>
            </w:pPr>
            <w:r>
              <w:rPr>
                <w:rFonts w:hint="eastAsia" w:ascii="仿宋" w:hAnsi="仿宋" w:eastAsia="仿宋" w:cs="仿宋"/>
                <w:b w:val="0"/>
                <w:bCs w:val="0"/>
                <w:color w:val="222222"/>
                <w:kern w:val="0"/>
                <w:sz w:val="20"/>
                <w:szCs w:val="20"/>
              </w:rPr>
              <w:t>基本支出</w:t>
            </w:r>
          </w:p>
        </w:tc>
        <w:tc>
          <w:tcPr>
            <w:tcW w:w="140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0"/>
                <w:szCs w:val="20"/>
              </w:rPr>
            </w:pPr>
            <w:r>
              <w:rPr>
                <w:rFonts w:hint="eastAsia" w:ascii="仿宋" w:hAnsi="仿宋" w:eastAsia="仿宋" w:cs="仿宋"/>
                <w:b w:val="0"/>
                <w:bCs w:val="0"/>
                <w:color w:val="222222"/>
                <w:kern w:val="0"/>
                <w:sz w:val="20"/>
                <w:szCs w:val="20"/>
              </w:rPr>
              <w:t>项目支出</w:t>
            </w:r>
          </w:p>
        </w:tc>
      </w:tr>
      <w:tr>
        <w:tblPrEx>
          <w:tblCellMar>
            <w:top w:w="0" w:type="dxa"/>
            <w:left w:w="0" w:type="dxa"/>
            <w:bottom w:w="0" w:type="dxa"/>
            <w:right w:w="0" w:type="dxa"/>
          </w:tblCellMar>
        </w:tblPrEx>
        <w:trPr>
          <w:trHeight w:val="90" w:hRule="atLeast"/>
        </w:trPr>
        <w:tc>
          <w:tcPr>
            <w:tcW w:w="126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公务接待</w:t>
            </w:r>
          </w:p>
        </w:tc>
        <w:tc>
          <w:tcPr>
            <w:tcW w:w="13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3.2</w:t>
            </w:r>
          </w:p>
        </w:tc>
        <w:tc>
          <w:tcPr>
            <w:tcW w:w="115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1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0.64</w:t>
            </w:r>
          </w:p>
        </w:tc>
        <w:tc>
          <w:tcPr>
            <w:tcW w:w="105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2.56</w:t>
            </w:r>
          </w:p>
        </w:tc>
        <w:tc>
          <w:tcPr>
            <w:tcW w:w="140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r>
      <w:tr>
        <w:tblPrEx>
          <w:tblCellMar>
            <w:top w:w="0" w:type="dxa"/>
            <w:left w:w="0" w:type="dxa"/>
            <w:bottom w:w="0" w:type="dxa"/>
            <w:right w:w="0" w:type="dxa"/>
          </w:tblCellMar>
        </w:tblPrEx>
        <w:trPr>
          <w:trHeight w:val="465" w:hRule="atLeast"/>
        </w:trPr>
        <w:tc>
          <w:tcPr>
            <w:tcW w:w="126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公车运行</w:t>
            </w:r>
          </w:p>
        </w:tc>
        <w:tc>
          <w:tcPr>
            <w:tcW w:w="13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3</w:t>
            </w:r>
          </w:p>
        </w:tc>
        <w:tc>
          <w:tcPr>
            <w:tcW w:w="115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1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1.08</w:t>
            </w:r>
          </w:p>
        </w:tc>
        <w:tc>
          <w:tcPr>
            <w:tcW w:w="105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1.92</w:t>
            </w:r>
          </w:p>
        </w:tc>
        <w:tc>
          <w:tcPr>
            <w:tcW w:w="140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r>
      <w:tr>
        <w:tblPrEx>
          <w:tblCellMar>
            <w:top w:w="0" w:type="dxa"/>
            <w:left w:w="0" w:type="dxa"/>
            <w:bottom w:w="0" w:type="dxa"/>
            <w:right w:w="0" w:type="dxa"/>
          </w:tblCellMar>
        </w:tblPrEx>
        <w:trPr>
          <w:trHeight w:val="450" w:hRule="atLeast"/>
        </w:trPr>
        <w:tc>
          <w:tcPr>
            <w:tcW w:w="126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公车购置</w:t>
            </w:r>
          </w:p>
        </w:tc>
        <w:tc>
          <w:tcPr>
            <w:tcW w:w="13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115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1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17.12</w:t>
            </w:r>
          </w:p>
        </w:tc>
        <w:tc>
          <w:tcPr>
            <w:tcW w:w="105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-17.12</w:t>
            </w:r>
          </w:p>
        </w:tc>
        <w:tc>
          <w:tcPr>
            <w:tcW w:w="140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r>
      <w:tr>
        <w:tblPrEx>
          <w:tblCellMar>
            <w:top w:w="0" w:type="dxa"/>
            <w:left w:w="0" w:type="dxa"/>
            <w:bottom w:w="0" w:type="dxa"/>
            <w:right w:w="0" w:type="dxa"/>
          </w:tblCellMar>
        </w:tblPrEx>
        <w:trPr>
          <w:trHeight w:val="390" w:hRule="atLeast"/>
        </w:trPr>
        <w:tc>
          <w:tcPr>
            <w:tcW w:w="126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因公出国</w:t>
            </w:r>
          </w:p>
        </w:tc>
        <w:tc>
          <w:tcPr>
            <w:tcW w:w="13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115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1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105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140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r>
      <w:tr>
        <w:tblPrEx>
          <w:tblCellMar>
            <w:top w:w="0" w:type="dxa"/>
            <w:left w:w="0" w:type="dxa"/>
            <w:bottom w:w="0" w:type="dxa"/>
            <w:right w:w="0" w:type="dxa"/>
          </w:tblCellMar>
        </w:tblPrEx>
        <w:trPr>
          <w:trHeight w:val="470" w:hRule="atLeast"/>
        </w:trPr>
        <w:tc>
          <w:tcPr>
            <w:tcW w:w="126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合计</w:t>
            </w:r>
          </w:p>
        </w:tc>
        <w:tc>
          <w:tcPr>
            <w:tcW w:w="13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6.2</w:t>
            </w:r>
          </w:p>
        </w:tc>
        <w:tc>
          <w:tcPr>
            <w:tcW w:w="115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1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18.84</w:t>
            </w:r>
          </w:p>
        </w:tc>
        <w:tc>
          <w:tcPr>
            <w:tcW w:w="105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0" w:type="auto"/>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-12.64</w:t>
            </w:r>
          </w:p>
        </w:tc>
        <w:tc>
          <w:tcPr>
            <w:tcW w:w="140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r>
    </w:tbl>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lang w:eastAsia="zh-CN"/>
        </w:rPr>
      </w:pPr>
      <w:r>
        <w:rPr>
          <w:rFonts w:hint="eastAsia" w:ascii="仿宋" w:hAnsi="仿宋" w:eastAsia="仿宋" w:cs="仿宋"/>
          <w:color w:val="222222"/>
          <w:kern w:val="0"/>
          <w:sz w:val="32"/>
          <w:szCs w:val="32"/>
        </w:rPr>
        <w:t>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lang w:val="en-US" w:eastAsia="zh-CN"/>
        </w:rPr>
        <w:t>2021</w:t>
      </w:r>
      <w:r>
        <w:rPr>
          <w:rFonts w:hint="eastAsia" w:ascii="仿宋" w:hAnsi="仿宋" w:eastAsia="仿宋" w:cs="仿宋"/>
          <w:color w:val="222222"/>
          <w:kern w:val="0"/>
          <w:sz w:val="32"/>
          <w:szCs w:val="32"/>
        </w:rPr>
        <w:t>年度“三公”经费预算</w:t>
      </w:r>
      <w:r>
        <w:rPr>
          <w:rFonts w:hint="eastAsia" w:ascii="仿宋" w:hAnsi="仿宋" w:eastAsia="仿宋" w:cs="仿宋"/>
          <w:color w:val="222222"/>
          <w:kern w:val="0"/>
          <w:sz w:val="32"/>
          <w:szCs w:val="32"/>
          <w:lang w:val="en-US" w:eastAsia="zh-CN"/>
        </w:rPr>
        <w:t>6.2</w:t>
      </w:r>
      <w:r>
        <w:rPr>
          <w:rFonts w:hint="eastAsia" w:ascii="仿宋" w:hAnsi="仿宋" w:eastAsia="仿宋" w:cs="仿宋"/>
          <w:color w:val="222222"/>
          <w:kern w:val="0"/>
          <w:sz w:val="32"/>
          <w:szCs w:val="32"/>
        </w:rPr>
        <w:t>万元，实际支出</w:t>
      </w:r>
      <w:r>
        <w:rPr>
          <w:rFonts w:hint="eastAsia" w:ascii="仿宋" w:hAnsi="仿宋" w:eastAsia="仿宋" w:cs="仿宋"/>
          <w:color w:val="222222"/>
          <w:kern w:val="0"/>
          <w:sz w:val="32"/>
          <w:szCs w:val="32"/>
          <w:lang w:val="en-US" w:eastAsia="zh-CN"/>
        </w:rPr>
        <w:t>18.84</w:t>
      </w:r>
      <w:r>
        <w:rPr>
          <w:rFonts w:hint="eastAsia" w:ascii="仿宋" w:hAnsi="仿宋" w:eastAsia="仿宋" w:cs="仿宋"/>
          <w:color w:val="222222"/>
          <w:kern w:val="0"/>
          <w:sz w:val="32"/>
          <w:szCs w:val="32"/>
        </w:rPr>
        <w:t>万元</w:t>
      </w:r>
      <w:r>
        <w:rPr>
          <w:rFonts w:hint="eastAsia" w:ascii="仿宋" w:hAnsi="仿宋" w:eastAsia="仿宋" w:cs="仿宋"/>
          <w:color w:val="222222"/>
          <w:kern w:val="0"/>
          <w:sz w:val="32"/>
          <w:szCs w:val="32"/>
          <w:lang w:eastAsia="zh-CN"/>
        </w:rPr>
        <w:t>，超支</w:t>
      </w:r>
      <w:r>
        <w:rPr>
          <w:rFonts w:hint="eastAsia" w:ascii="仿宋" w:hAnsi="仿宋" w:eastAsia="仿宋" w:cs="仿宋"/>
          <w:color w:val="222222"/>
          <w:kern w:val="0"/>
          <w:sz w:val="32"/>
          <w:szCs w:val="32"/>
          <w:lang w:val="en-US" w:eastAsia="zh-CN"/>
        </w:rPr>
        <w:t>12.64</w:t>
      </w:r>
      <w:r>
        <w:rPr>
          <w:rFonts w:hint="eastAsia" w:ascii="仿宋" w:hAnsi="仿宋" w:eastAsia="仿宋" w:cs="仿宋"/>
          <w:color w:val="222222"/>
          <w:kern w:val="0"/>
          <w:sz w:val="32"/>
          <w:szCs w:val="32"/>
        </w:rPr>
        <w:t>万元</w:t>
      </w:r>
      <w:r>
        <w:rPr>
          <w:rFonts w:hint="eastAsia" w:ascii="仿宋" w:hAnsi="仿宋" w:eastAsia="仿宋" w:cs="仿宋"/>
          <w:color w:val="222222"/>
          <w:kern w:val="0"/>
          <w:sz w:val="32"/>
          <w:szCs w:val="32"/>
          <w:lang w:eastAsia="zh-CN"/>
        </w:rPr>
        <w:t>，是因为单位合并，工作需要</w:t>
      </w:r>
      <w:r>
        <w:rPr>
          <w:rFonts w:hint="eastAsia" w:ascii="仿宋" w:hAnsi="仿宋" w:eastAsia="仿宋" w:cs="仿宋"/>
          <w:color w:val="222222"/>
          <w:kern w:val="0"/>
          <w:sz w:val="32"/>
          <w:szCs w:val="32"/>
        </w:rPr>
        <w:t>购置公务用车</w:t>
      </w:r>
      <w:r>
        <w:rPr>
          <w:rFonts w:hint="eastAsia" w:ascii="仿宋" w:hAnsi="仿宋" w:eastAsia="仿宋" w:cs="仿宋"/>
          <w:color w:val="222222"/>
          <w:kern w:val="0"/>
          <w:sz w:val="32"/>
          <w:szCs w:val="32"/>
          <w:lang w:eastAsia="zh-CN"/>
        </w:rPr>
        <w:t>一辆。</w:t>
      </w:r>
      <w:r>
        <w:rPr>
          <w:rFonts w:hint="eastAsia" w:ascii="仿宋" w:hAnsi="仿宋" w:eastAsia="仿宋" w:cs="仿宋"/>
          <w:color w:val="222222"/>
          <w:kern w:val="0"/>
          <w:sz w:val="32"/>
          <w:szCs w:val="32"/>
        </w:rPr>
        <w:t>其中，</w:t>
      </w:r>
      <w:r>
        <w:rPr>
          <w:rFonts w:hint="eastAsia" w:ascii="仿宋" w:hAnsi="仿宋" w:eastAsia="仿宋" w:cs="仿宋"/>
          <w:color w:val="222222"/>
          <w:kern w:val="0"/>
          <w:sz w:val="32"/>
          <w:szCs w:val="32"/>
          <w:lang w:eastAsia="zh-CN"/>
        </w:rPr>
        <w:t>公务接待费和公务车运行维护费</w:t>
      </w:r>
      <w:r>
        <w:rPr>
          <w:rFonts w:hint="eastAsia" w:ascii="仿宋" w:hAnsi="仿宋" w:eastAsia="仿宋" w:cs="仿宋"/>
          <w:color w:val="222222"/>
          <w:kern w:val="0"/>
          <w:sz w:val="32"/>
          <w:szCs w:val="32"/>
        </w:rPr>
        <w:t>结余</w:t>
      </w:r>
      <w:r>
        <w:rPr>
          <w:rFonts w:hint="eastAsia" w:ascii="仿宋" w:hAnsi="仿宋" w:eastAsia="仿宋" w:cs="仿宋"/>
          <w:color w:val="222222"/>
          <w:kern w:val="0"/>
          <w:sz w:val="32"/>
          <w:szCs w:val="32"/>
          <w:lang w:val="en-US" w:eastAsia="zh-CN"/>
        </w:rPr>
        <w:t>4.48</w:t>
      </w:r>
      <w:r>
        <w:rPr>
          <w:rFonts w:hint="eastAsia" w:ascii="仿宋" w:hAnsi="仿宋" w:eastAsia="仿宋" w:cs="仿宋"/>
          <w:color w:val="222222"/>
          <w:kern w:val="0"/>
          <w:sz w:val="32"/>
          <w:szCs w:val="32"/>
        </w:rPr>
        <w:t>万元，结余率</w:t>
      </w:r>
      <w:r>
        <w:rPr>
          <w:rFonts w:hint="eastAsia" w:ascii="仿宋" w:hAnsi="仿宋" w:eastAsia="仿宋" w:cs="仿宋"/>
          <w:color w:val="222222"/>
          <w:kern w:val="0"/>
          <w:sz w:val="32"/>
          <w:szCs w:val="32"/>
          <w:lang w:val="en-US" w:eastAsia="zh-CN"/>
        </w:rPr>
        <w:t>72%。</w:t>
      </w:r>
      <w:r>
        <w:rPr>
          <w:rFonts w:hint="eastAsia" w:ascii="仿宋" w:hAnsi="仿宋" w:eastAsia="仿宋" w:cs="仿宋"/>
          <w:color w:val="222222"/>
          <w:kern w:val="0"/>
          <w:sz w:val="32"/>
          <w:szCs w:val="32"/>
        </w:rPr>
        <w:t>“三公”经费总体控制较好</w:t>
      </w:r>
      <w:r>
        <w:rPr>
          <w:rFonts w:hint="eastAsia" w:ascii="仿宋" w:hAnsi="仿宋" w:eastAsia="仿宋" w:cs="仿宋"/>
          <w:color w:val="222222"/>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rPr>
      </w:pPr>
      <w:r>
        <w:rPr>
          <w:rFonts w:hint="eastAsia" w:ascii="仿宋" w:hAnsi="仿宋" w:eastAsia="仿宋" w:cs="仿宋"/>
          <w:b w:val="0"/>
          <w:bCs w:val="0"/>
          <w:color w:val="222222"/>
          <w:kern w:val="0"/>
          <w:sz w:val="32"/>
          <w:szCs w:val="32"/>
        </w:rPr>
        <w:t>3</w:t>
      </w:r>
      <w:r>
        <w:rPr>
          <w:rFonts w:hint="eastAsia" w:ascii="仿宋" w:hAnsi="仿宋" w:eastAsia="仿宋" w:cs="仿宋"/>
          <w:b w:val="0"/>
          <w:bCs w:val="0"/>
          <w:color w:val="222222"/>
          <w:kern w:val="0"/>
          <w:sz w:val="32"/>
          <w:szCs w:val="32"/>
          <w:lang w:eastAsia="zh-CN"/>
        </w:rPr>
        <w:t>、</w:t>
      </w:r>
      <w:r>
        <w:rPr>
          <w:rFonts w:hint="eastAsia" w:ascii="仿宋" w:hAnsi="仿宋" w:eastAsia="仿宋" w:cs="仿宋"/>
          <w:b w:val="0"/>
          <w:bCs w:val="0"/>
          <w:color w:val="222222"/>
          <w:kern w:val="0"/>
          <w:sz w:val="32"/>
          <w:szCs w:val="32"/>
        </w:rPr>
        <w:t>“三公”经费与上年对比情况（单位：万元）</w:t>
      </w:r>
    </w:p>
    <w:tbl>
      <w:tblPr>
        <w:tblStyle w:val="6"/>
        <w:tblW w:w="0" w:type="auto"/>
        <w:jc w:val="center"/>
        <w:tblLayout w:type="fixed"/>
        <w:tblCellMar>
          <w:top w:w="0" w:type="dxa"/>
          <w:left w:w="0" w:type="dxa"/>
          <w:bottom w:w="0" w:type="dxa"/>
          <w:right w:w="0" w:type="dxa"/>
        </w:tblCellMar>
      </w:tblPr>
      <w:tblGrid>
        <w:gridCol w:w="3133"/>
        <w:gridCol w:w="1928"/>
        <w:gridCol w:w="3274"/>
      </w:tblGrid>
      <w:tr>
        <w:tblPrEx>
          <w:tblCellMar>
            <w:top w:w="0" w:type="dxa"/>
            <w:left w:w="0" w:type="dxa"/>
            <w:bottom w:w="0" w:type="dxa"/>
            <w:right w:w="0" w:type="dxa"/>
          </w:tblCellMar>
        </w:tblPrEx>
        <w:trPr>
          <w:trHeight w:val="505" w:hRule="atLeast"/>
          <w:jc w:val="center"/>
        </w:trPr>
        <w:tc>
          <w:tcPr>
            <w:tcW w:w="313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费用项目</w:t>
            </w:r>
          </w:p>
        </w:tc>
        <w:tc>
          <w:tcPr>
            <w:tcW w:w="1928"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20</w:t>
            </w:r>
            <w:r>
              <w:rPr>
                <w:rFonts w:hint="eastAsia" w:ascii="仿宋" w:hAnsi="仿宋" w:eastAsia="仿宋" w:cs="仿宋"/>
                <w:b w:val="0"/>
                <w:bCs w:val="0"/>
                <w:color w:val="222222"/>
                <w:kern w:val="0"/>
                <w:sz w:val="24"/>
                <w:szCs w:val="24"/>
                <w:lang w:val="en-US" w:eastAsia="zh-CN"/>
              </w:rPr>
              <w:t>21</w:t>
            </w:r>
            <w:r>
              <w:rPr>
                <w:rFonts w:hint="eastAsia" w:ascii="仿宋" w:hAnsi="仿宋" w:eastAsia="仿宋" w:cs="仿宋"/>
                <w:b w:val="0"/>
                <w:bCs w:val="0"/>
                <w:color w:val="222222"/>
                <w:kern w:val="0"/>
                <w:sz w:val="24"/>
                <w:szCs w:val="24"/>
              </w:rPr>
              <w:t>年决算数</w:t>
            </w:r>
          </w:p>
        </w:tc>
        <w:tc>
          <w:tcPr>
            <w:tcW w:w="3274"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增减情况（20</w:t>
            </w:r>
            <w:r>
              <w:rPr>
                <w:rFonts w:hint="eastAsia" w:ascii="仿宋" w:hAnsi="仿宋" w:eastAsia="仿宋" w:cs="仿宋"/>
                <w:b w:val="0"/>
                <w:bCs w:val="0"/>
                <w:color w:val="222222"/>
                <w:kern w:val="0"/>
                <w:sz w:val="24"/>
                <w:szCs w:val="24"/>
                <w:lang w:val="en-US" w:eastAsia="zh-CN"/>
              </w:rPr>
              <w:t>21</w:t>
            </w:r>
            <w:r>
              <w:rPr>
                <w:rFonts w:hint="eastAsia" w:ascii="仿宋" w:hAnsi="仿宋" w:eastAsia="仿宋" w:cs="仿宋"/>
                <w:b w:val="0"/>
                <w:bCs w:val="0"/>
                <w:color w:val="222222"/>
                <w:kern w:val="0"/>
                <w:sz w:val="24"/>
                <w:szCs w:val="24"/>
              </w:rPr>
              <w:t>-20</w:t>
            </w:r>
            <w:r>
              <w:rPr>
                <w:rFonts w:hint="eastAsia" w:ascii="仿宋" w:hAnsi="仿宋" w:eastAsia="仿宋" w:cs="仿宋"/>
                <w:b w:val="0"/>
                <w:bCs w:val="0"/>
                <w:color w:val="222222"/>
                <w:kern w:val="0"/>
                <w:sz w:val="24"/>
                <w:szCs w:val="24"/>
                <w:lang w:val="en-US" w:eastAsia="zh-CN"/>
              </w:rPr>
              <w:t>20</w:t>
            </w:r>
            <w:r>
              <w:rPr>
                <w:rFonts w:hint="eastAsia" w:ascii="仿宋" w:hAnsi="仿宋" w:eastAsia="仿宋" w:cs="仿宋"/>
                <w:b w:val="0"/>
                <w:bCs w:val="0"/>
                <w:color w:val="222222"/>
                <w:kern w:val="0"/>
                <w:sz w:val="24"/>
                <w:szCs w:val="24"/>
              </w:rPr>
              <w:t>）</w:t>
            </w:r>
          </w:p>
        </w:tc>
      </w:tr>
      <w:tr>
        <w:tblPrEx>
          <w:tblCellMar>
            <w:top w:w="0" w:type="dxa"/>
            <w:left w:w="0" w:type="dxa"/>
            <w:bottom w:w="0" w:type="dxa"/>
            <w:right w:w="0" w:type="dxa"/>
          </w:tblCellMar>
        </w:tblPrEx>
        <w:trPr>
          <w:trHeight w:val="480" w:hRule="atLeast"/>
          <w:jc w:val="center"/>
        </w:trPr>
        <w:tc>
          <w:tcPr>
            <w:tcW w:w="313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000000"/>
                <w:kern w:val="0"/>
                <w:sz w:val="24"/>
                <w:szCs w:val="24"/>
              </w:rPr>
              <w:t>公务接待费</w:t>
            </w:r>
          </w:p>
        </w:tc>
        <w:tc>
          <w:tcPr>
            <w:tcW w:w="19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0.64</w:t>
            </w:r>
          </w:p>
        </w:tc>
        <w:tc>
          <w:tcPr>
            <w:tcW w:w="327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0.07</w:t>
            </w:r>
          </w:p>
        </w:tc>
      </w:tr>
      <w:tr>
        <w:tblPrEx>
          <w:tblCellMar>
            <w:top w:w="0" w:type="dxa"/>
            <w:left w:w="0" w:type="dxa"/>
            <w:bottom w:w="0" w:type="dxa"/>
            <w:right w:w="0" w:type="dxa"/>
          </w:tblCellMar>
        </w:tblPrEx>
        <w:trPr>
          <w:trHeight w:val="450" w:hRule="atLeast"/>
          <w:jc w:val="center"/>
        </w:trPr>
        <w:tc>
          <w:tcPr>
            <w:tcW w:w="313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000000"/>
                <w:kern w:val="0"/>
                <w:sz w:val="24"/>
                <w:szCs w:val="24"/>
              </w:rPr>
              <w:t>公车运行维护费</w:t>
            </w:r>
          </w:p>
        </w:tc>
        <w:tc>
          <w:tcPr>
            <w:tcW w:w="19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1.08</w:t>
            </w:r>
          </w:p>
        </w:tc>
        <w:tc>
          <w:tcPr>
            <w:tcW w:w="327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0.19</w:t>
            </w:r>
          </w:p>
        </w:tc>
      </w:tr>
      <w:tr>
        <w:tblPrEx>
          <w:tblCellMar>
            <w:top w:w="0" w:type="dxa"/>
            <w:left w:w="0" w:type="dxa"/>
            <w:bottom w:w="0" w:type="dxa"/>
            <w:right w:w="0" w:type="dxa"/>
          </w:tblCellMar>
        </w:tblPrEx>
        <w:trPr>
          <w:trHeight w:val="465" w:hRule="atLeast"/>
          <w:jc w:val="center"/>
        </w:trPr>
        <w:tc>
          <w:tcPr>
            <w:tcW w:w="313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000000"/>
                <w:kern w:val="0"/>
                <w:sz w:val="24"/>
                <w:szCs w:val="24"/>
              </w:rPr>
              <w:t>因公出国费用</w:t>
            </w:r>
          </w:p>
        </w:tc>
        <w:tc>
          <w:tcPr>
            <w:tcW w:w="19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p>
        </w:tc>
        <w:tc>
          <w:tcPr>
            <w:tcW w:w="327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0</w:t>
            </w:r>
          </w:p>
        </w:tc>
      </w:tr>
      <w:tr>
        <w:tblPrEx>
          <w:tblCellMar>
            <w:top w:w="0" w:type="dxa"/>
            <w:left w:w="0" w:type="dxa"/>
            <w:bottom w:w="0" w:type="dxa"/>
            <w:right w:w="0" w:type="dxa"/>
          </w:tblCellMar>
        </w:tblPrEx>
        <w:trPr>
          <w:trHeight w:val="510" w:hRule="atLeast"/>
          <w:jc w:val="center"/>
        </w:trPr>
        <w:tc>
          <w:tcPr>
            <w:tcW w:w="313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000000"/>
                <w:kern w:val="0"/>
                <w:sz w:val="24"/>
                <w:szCs w:val="24"/>
              </w:rPr>
              <w:t>公务车购置费</w:t>
            </w:r>
          </w:p>
        </w:tc>
        <w:tc>
          <w:tcPr>
            <w:tcW w:w="19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17.12</w:t>
            </w:r>
          </w:p>
        </w:tc>
        <w:tc>
          <w:tcPr>
            <w:tcW w:w="327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17.12</w:t>
            </w:r>
          </w:p>
        </w:tc>
      </w:tr>
      <w:tr>
        <w:tblPrEx>
          <w:tblCellMar>
            <w:top w:w="0" w:type="dxa"/>
            <w:left w:w="0" w:type="dxa"/>
            <w:bottom w:w="0" w:type="dxa"/>
            <w:right w:w="0" w:type="dxa"/>
          </w:tblCellMar>
        </w:tblPrEx>
        <w:trPr>
          <w:trHeight w:val="485" w:hRule="atLeast"/>
          <w:jc w:val="center"/>
        </w:trPr>
        <w:tc>
          <w:tcPr>
            <w:tcW w:w="313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000000"/>
                <w:kern w:val="0"/>
                <w:sz w:val="24"/>
                <w:szCs w:val="24"/>
              </w:rPr>
              <w:t>合计</w:t>
            </w:r>
          </w:p>
        </w:tc>
        <w:tc>
          <w:tcPr>
            <w:tcW w:w="19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18.84</w:t>
            </w:r>
          </w:p>
        </w:tc>
        <w:tc>
          <w:tcPr>
            <w:tcW w:w="327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17.38</w:t>
            </w:r>
          </w:p>
        </w:tc>
      </w:tr>
    </w:tbl>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lang w:eastAsia="zh-CN"/>
        </w:rPr>
      </w:pPr>
      <w:r>
        <w:rPr>
          <w:rFonts w:hint="eastAsia" w:ascii="仿宋" w:hAnsi="仿宋" w:eastAsia="仿宋" w:cs="仿宋"/>
          <w:color w:val="222222"/>
          <w:kern w:val="0"/>
          <w:sz w:val="32"/>
          <w:szCs w:val="32"/>
        </w:rPr>
        <w:t>从上表反映，本年“三公”经费较上年有所</w:t>
      </w:r>
      <w:r>
        <w:rPr>
          <w:rFonts w:hint="eastAsia" w:ascii="仿宋" w:hAnsi="仿宋" w:eastAsia="仿宋" w:cs="仿宋"/>
          <w:color w:val="222222"/>
          <w:kern w:val="0"/>
          <w:sz w:val="32"/>
          <w:szCs w:val="32"/>
          <w:lang w:eastAsia="zh-CN"/>
        </w:rPr>
        <w:t>增加</w:t>
      </w:r>
      <w:r>
        <w:rPr>
          <w:rFonts w:hint="eastAsia" w:ascii="仿宋" w:hAnsi="仿宋" w:eastAsia="仿宋" w:cs="仿宋"/>
          <w:color w:val="222222"/>
          <w:kern w:val="0"/>
          <w:sz w:val="32"/>
          <w:szCs w:val="32"/>
        </w:rPr>
        <w:t>，</w:t>
      </w:r>
      <w:r>
        <w:rPr>
          <w:rFonts w:hint="eastAsia" w:ascii="仿宋" w:hAnsi="仿宋" w:eastAsia="仿宋" w:cs="仿宋"/>
          <w:color w:val="222222"/>
          <w:kern w:val="0"/>
          <w:sz w:val="32"/>
          <w:szCs w:val="32"/>
          <w:lang w:eastAsia="zh-CN"/>
        </w:rPr>
        <w:t>增加</w:t>
      </w:r>
      <w:r>
        <w:rPr>
          <w:rFonts w:hint="eastAsia" w:ascii="仿宋" w:hAnsi="仿宋" w:eastAsia="仿宋" w:cs="仿宋"/>
          <w:color w:val="222222"/>
          <w:kern w:val="0"/>
          <w:sz w:val="32"/>
          <w:szCs w:val="32"/>
        </w:rPr>
        <w:t>金额为</w:t>
      </w:r>
      <w:r>
        <w:rPr>
          <w:rFonts w:hint="eastAsia" w:ascii="仿宋" w:hAnsi="仿宋" w:eastAsia="仿宋" w:cs="仿宋"/>
          <w:color w:val="222222"/>
          <w:kern w:val="0"/>
          <w:sz w:val="32"/>
          <w:szCs w:val="32"/>
          <w:lang w:val="en-US" w:eastAsia="zh-CN"/>
        </w:rPr>
        <w:t>17.38</w:t>
      </w:r>
      <w:r>
        <w:rPr>
          <w:rFonts w:hint="eastAsia" w:ascii="仿宋" w:hAnsi="仿宋" w:eastAsia="仿宋" w:cs="仿宋"/>
          <w:color w:val="222222"/>
          <w:kern w:val="0"/>
          <w:sz w:val="32"/>
          <w:szCs w:val="32"/>
        </w:rPr>
        <w:t>万元，</w:t>
      </w:r>
      <w:r>
        <w:rPr>
          <w:rFonts w:hint="eastAsia" w:ascii="仿宋" w:hAnsi="仿宋" w:eastAsia="仿宋" w:cs="仿宋"/>
          <w:color w:val="222222"/>
          <w:kern w:val="0"/>
          <w:sz w:val="32"/>
          <w:szCs w:val="32"/>
          <w:lang w:eastAsia="zh-CN"/>
        </w:rPr>
        <w:t>是因为单位合并工作需要购置新闻采访车一台，公务接待费和公车运行维护费控制在预算范围内。</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rPr>
      </w:pPr>
      <w:r>
        <w:rPr>
          <w:rFonts w:hint="eastAsia" w:ascii="仿宋" w:hAnsi="仿宋" w:eastAsia="仿宋" w:cs="仿宋"/>
          <w:b/>
          <w:bCs/>
          <w:color w:val="222222"/>
          <w:kern w:val="0"/>
          <w:sz w:val="32"/>
          <w:szCs w:val="32"/>
        </w:rPr>
        <w:t>（三）专项支出管理和使用情况</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rPr>
      </w:pPr>
      <w:r>
        <w:rPr>
          <w:rFonts w:hint="eastAsia" w:ascii="仿宋" w:hAnsi="仿宋" w:eastAsia="仿宋" w:cs="仿宋"/>
          <w:b w:val="0"/>
          <w:bCs w:val="0"/>
          <w:color w:val="222222"/>
          <w:kern w:val="0"/>
          <w:sz w:val="32"/>
          <w:szCs w:val="32"/>
        </w:rPr>
        <w:t>1</w:t>
      </w:r>
      <w:r>
        <w:rPr>
          <w:rFonts w:hint="eastAsia" w:ascii="仿宋" w:hAnsi="仿宋" w:eastAsia="仿宋" w:cs="仿宋"/>
          <w:b w:val="0"/>
          <w:bCs w:val="0"/>
          <w:color w:val="222222"/>
          <w:kern w:val="0"/>
          <w:sz w:val="32"/>
          <w:szCs w:val="32"/>
          <w:lang w:eastAsia="zh-CN"/>
        </w:rPr>
        <w:t>、</w:t>
      </w:r>
      <w:r>
        <w:rPr>
          <w:rFonts w:hint="eastAsia" w:ascii="仿宋" w:hAnsi="仿宋" w:eastAsia="仿宋" w:cs="仿宋"/>
          <w:b w:val="0"/>
          <w:bCs w:val="0"/>
          <w:color w:val="222222"/>
          <w:kern w:val="0"/>
          <w:sz w:val="32"/>
          <w:szCs w:val="32"/>
        </w:rPr>
        <w:t xml:space="preserve"> 20</w:t>
      </w:r>
      <w:r>
        <w:rPr>
          <w:rFonts w:hint="eastAsia" w:ascii="仿宋" w:hAnsi="仿宋" w:eastAsia="仿宋" w:cs="仿宋"/>
          <w:b w:val="0"/>
          <w:bCs w:val="0"/>
          <w:color w:val="222222"/>
          <w:kern w:val="0"/>
          <w:sz w:val="32"/>
          <w:szCs w:val="32"/>
          <w:lang w:val="en-US" w:eastAsia="zh-CN"/>
        </w:rPr>
        <w:t>21</w:t>
      </w:r>
      <w:r>
        <w:rPr>
          <w:rFonts w:hint="eastAsia" w:ascii="仿宋" w:hAnsi="仿宋" w:eastAsia="仿宋" w:cs="仿宋"/>
          <w:b w:val="0"/>
          <w:bCs w:val="0"/>
          <w:color w:val="222222"/>
          <w:kern w:val="0"/>
          <w:sz w:val="32"/>
          <w:szCs w:val="32"/>
        </w:rPr>
        <w:t>年</w:t>
      </w:r>
      <w:r>
        <w:rPr>
          <w:rFonts w:hint="eastAsia" w:ascii="仿宋" w:hAnsi="仿宋" w:eastAsia="仿宋" w:cs="仿宋"/>
          <w:b w:val="0"/>
          <w:bCs w:val="0"/>
          <w:color w:val="222222"/>
          <w:kern w:val="0"/>
          <w:sz w:val="32"/>
          <w:szCs w:val="32"/>
          <w:lang w:eastAsia="zh-CN"/>
        </w:rPr>
        <w:t>中心</w:t>
      </w:r>
      <w:r>
        <w:rPr>
          <w:rFonts w:hint="eastAsia" w:ascii="仿宋" w:hAnsi="仿宋" w:eastAsia="仿宋" w:cs="仿宋"/>
          <w:b w:val="0"/>
          <w:bCs w:val="0"/>
          <w:color w:val="222222"/>
          <w:kern w:val="0"/>
          <w:sz w:val="32"/>
          <w:szCs w:val="32"/>
        </w:rPr>
        <w:t>本级专项资金预算情况</w:t>
      </w:r>
      <w:r>
        <w:rPr>
          <w:rFonts w:hint="eastAsia" w:ascii="仿宋" w:hAnsi="仿宋" w:eastAsia="仿宋" w:cs="仿宋"/>
          <w:color w:val="222222"/>
          <w:kern w:val="0"/>
          <w:sz w:val="32"/>
          <w:szCs w:val="32"/>
        </w:rPr>
        <w:t>（单位：万元）</w:t>
      </w:r>
    </w:p>
    <w:tbl>
      <w:tblPr>
        <w:tblStyle w:val="6"/>
        <w:tblW w:w="0" w:type="auto"/>
        <w:jc w:val="center"/>
        <w:tblLayout w:type="fixed"/>
        <w:tblCellMar>
          <w:top w:w="0" w:type="dxa"/>
          <w:left w:w="0" w:type="dxa"/>
          <w:bottom w:w="0" w:type="dxa"/>
          <w:right w:w="0" w:type="dxa"/>
        </w:tblCellMar>
      </w:tblPr>
      <w:tblGrid>
        <w:gridCol w:w="2074"/>
        <w:gridCol w:w="1211"/>
        <w:gridCol w:w="1454"/>
        <w:gridCol w:w="1500"/>
        <w:gridCol w:w="2389"/>
      </w:tblGrid>
      <w:tr>
        <w:tblPrEx>
          <w:tblCellMar>
            <w:top w:w="0" w:type="dxa"/>
            <w:left w:w="0" w:type="dxa"/>
            <w:bottom w:w="0" w:type="dxa"/>
            <w:right w:w="0" w:type="dxa"/>
          </w:tblCellMar>
        </w:tblPrEx>
        <w:trPr>
          <w:trHeight w:val="750" w:hRule="atLeast"/>
          <w:jc w:val="center"/>
        </w:trPr>
        <w:tc>
          <w:tcPr>
            <w:tcW w:w="2074"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预算项目</w:t>
            </w:r>
          </w:p>
        </w:tc>
        <w:tc>
          <w:tcPr>
            <w:tcW w:w="121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上年结余</w:t>
            </w:r>
          </w:p>
        </w:tc>
        <w:tc>
          <w:tcPr>
            <w:tcW w:w="1454"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本年预算</w:t>
            </w:r>
          </w:p>
        </w:tc>
        <w:tc>
          <w:tcPr>
            <w:tcW w:w="150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本年追加</w:t>
            </w:r>
          </w:p>
        </w:tc>
        <w:tc>
          <w:tcPr>
            <w:tcW w:w="2389"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预算可用指标</w:t>
            </w:r>
          </w:p>
        </w:tc>
      </w:tr>
      <w:tr>
        <w:tblPrEx>
          <w:tblCellMar>
            <w:top w:w="0" w:type="dxa"/>
            <w:left w:w="0" w:type="dxa"/>
            <w:bottom w:w="0" w:type="dxa"/>
            <w:right w:w="0" w:type="dxa"/>
          </w:tblCellMar>
        </w:tblPrEx>
        <w:trPr>
          <w:trHeight w:val="750" w:hRule="atLeast"/>
          <w:jc w:val="center"/>
        </w:trPr>
        <w:tc>
          <w:tcPr>
            <w:tcW w:w="207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业务工作专项</w:t>
            </w:r>
          </w:p>
        </w:tc>
        <w:tc>
          <w:tcPr>
            <w:tcW w:w="121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40</w:t>
            </w:r>
          </w:p>
        </w:tc>
        <w:tc>
          <w:tcPr>
            <w:tcW w:w="145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277</w:t>
            </w:r>
          </w:p>
        </w:tc>
        <w:tc>
          <w:tcPr>
            <w:tcW w:w="150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104</w:t>
            </w:r>
          </w:p>
        </w:tc>
        <w:tc>
          <w:tcPr>
            <w:tcW w:w="23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421</w:t>
            </w:r>
          </w:p>
        </w:tc>
      </w:tr>
    </w:tbl>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rPr>
      </w:pPr>
      <w:r>
        <w:rPr>
          <w:rFonts w:hint="eastAsia" w:ascii="仿宋" w:hAnsi="仿宋" w:eastAsia="仿宋" w:cs="仿宋"/>
          <w:b w:val="0"/>
          <w:bCs w:val="0"/>
          <w:color w:val="222222"/>
          <w:kern w:val="0"/>
          <w:sz w:val="32"/>
          <w:szCs w:val="32"/>
        </w:rPr>
        <w:t>2</w:t>
      </w:r>
      <w:r>
        <w:rPr>
          <w:rFonts w:hint="eastAsia" w:ascii="仿宋" w:hAnsi="仿宋" w:eastAsia="仿宋" w:cs="仿宋"/>
          <w:b w:val="0"/>
          <w:bCs w:val="0"/>
          <w:color w:val="222222"/>
          <w:kern w:val="0"/>
          <w:sz w:val="32"/>
          <w:szCs w:val="32"/>
          <w:lang w:eastAsia="zh-CN"/>
        </w:rPr>
        <w:t>、</w:t>
      </w:r>
      <w:r>
        <w:rPr>
          <w:rFonts w:hint="eastAsia" w:ascii="仿宋" w:hAnsi="仿宋" w:eastAsia="仿宋" w:cs="仿宋"/>
          <w:b w:val="0"/>
          <w:bCs w:val="0"/>
          <w:color w:val="222222"/>
          <w:kern w:val="0"/>
          <w:sz w:val="32"/>
          <w:szCs w:val="32"/>
        </w:rPr>
        <w:t>20</w:t>
      </w:r>
      <w:r>
        <w:rPr>
          <w:rFonts w:hint="eastAsia" w:ascii="仿宋" w:hAnsi="仿宋" w:eastAsia="仿宋" w:cs="仿宋"/>
          <w:b w:val="0"/>
          <w:bCs w:val="0"/>
          <w:color w:val="222222"/>
          <w:kern w:val="0"/>
          <w:sz w:val="32"/>
          <w:szCs w:val="32"/>
          <w:lang w:val="en-US" w:eastAsia="zh-CN"/>
        </w:rPr>
        <w:t>20</w:t>
      </w:r>
      <w:r>
        <w:rPr>
          <w:rFonts w:hint="eastAsia" w:ascii="仿宋" w:hAnsi="仿宋" w:eastAsia="仿宋" w:cs="仿宋"/>
          <w:b w:val="0"/>
          <w:bCs w:val="0"/>
          <w:color w:val="222222"/>
          <w:kern w:val="0"/>
          <w:sz w:val="32"/>
          <w:szCs w:val="32"/>
        </w:rPr>
        <w:t>年专项资金投入使用情况</w:t>
      </w:r>
      <w:r>
        <w:rPr>
          <w:rFonts w:hint="eastAsia" w:ascii="仿宋" w:hAnsi="仿宋" w:eastAsia="仿宋" w:cs="仿宋"/>
          <w:color w:val="222222"/>
          <w:kern w:val="0"/>
          <w:sz w:val="32"/>
          <w:szCs w:val="32"/>
        </w:rPr>
        <w:t>（单位：万元）</w:t>
      </w:r>
    </w:p>
    <w:tbl>
      <w:tblPr>
        <w:tblStyle w:val="6"/>
        <w:tblW w:w="8595" w:type="dxa"/>
        <w:tblInd w:w="-21" w:type="dxa"/>
        <w:tblLayout w:type="autofit"/>
        <w:tblCellMar>
          <w:top w:w="0" w:type="dxa"/>
          <w:left w:w="0" w:type="dxa"/>
          <w:bottom w:w="0" w:type="dxa"/>
          <w:right w:w="0" w:type="dxa"/>
        </w:tblCellMar>
      </w:tblPr>
      <w:tblGrid>
        <w:gridCol w:w="1757"/>
        <w:gridCol w:w="1056"/>
        <w:gridCol w:w="1056"/>
        <w:gridCol w:w="2001"/>
        <w:gridCol w:w="2725"/>
      </w:tblGrid>
      <w:tr>
        <w:tblPrEx>
          <w:tblCellMar>
            <w:top w:w="0" w:type="dxa"/>
            <w:left w:w="0" w:type="dxa"/>
            <w:bottom w:w="0" w:type="dxa"/>
            <w:right w:w="0" w:type="dxa"/>
          </w:tblCellMar>
        </w:tblPrEx>
        <w:trPr>
          <w:trHeight w:val="939" w:hRule="atLeast"/>
        </w:trPr>
        <w:tc>
          <w:tcPr>
            <w:tcW w:w="175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1"/>
                <w:szCs w:val="21"/>
              </w:rPr>
            </w:pPr>
            <w:r>
              <w:rPr>
                <w:rFonts w:hint="eastAsia" w:ascii="仿宋" w:hAnsi="仿宋" w:eastAsia="仿宋" w:cs="仿宋"/>
                <w:b w:val="0"/>
                <w:bCs w:val="0"/>
                <w:color w:val="222222"/>
                <w:kern w:val="0"/>
                <w:sz w:val="21"/>
                <w:szCs w:val="21"/>
              </w:rPr>
              <w:t>预算项目</w:t>
            </w:r>
          </w:p>
        </w:tc>
        <w:tc>
          <w:tcPr>
            <w:tcW w:w="105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1"/>
                <w:szCs w:val="21"/>
              </w:rPr>
            </w:pPr>
            <w:r>
              <w:rPr>
                <w:rFonts w:hint="eastAsia" w:ascii="仿宋" w:hAnsi="仿宋" w:eastAsia="仿宋" w:cs="仿宋"/>
                <w:b w:val="0"/>
                <w:bCs w:val="0"/>
                <w:color w:val="222222"/>
                <w:kern w:val="0"/>
                <w:sz w:val="21"/>
                <w:szCs w:val="21"/>
              </w:rPr>
              <w:t>预算指标</w:t>
            </w:r>
          </w:p>
        </w:tc>
        <w:tc>
          <w:tcPr>
            <w:tcW w:w="105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1"/>
                <w:szCs w:val="21"/>
              </w:rPr>
            </w:pPr>
            <w:r>
              <w:rPr>
                <w:rFonts w:hint="eastAsia" w:ascii="仿宋" w:hAnsi="仿宋" w:eastAsia="仿宋" w:cs="仿宋"/>
                <w:b w:val="0"/>
                <w:bCs w:val="0"/>
                <w:color w:val="222222"/>
                <w:kern w:val="0"/>
                <w:sz w:val="21"/>
                <w:szCs w:val="21"/>
              </w:rPr>
              <w:t>实际使用</w:t>
            </w:r>
          </w:p>
        </w:tc>
        <w:tc>
          <w:tcPr>
            <w:tcW w:w="200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1"/>
                <w:szCs w:val="21"/>
              </w:rPr>
            </w:pPr>
            <w:r>
              <w:rPr>
                <w:rFonts w:hint="eastAsia" w:ascii="仿宋" w:hAnsi="仿宋" w:eastAsia="仿宋" w:cs="仿宋"/>
                <w:b w:val="0"/>
                <w:bCs w:val="0"/>
                <w:color w:val="222222"/>
                <w:kern w:val="0"/>
                <w:sz w:val="21"/>
                <w:szCs w:val="21"/>
              </w:rPr>
              <w:t>差额（预算-实际）</w:t>
            </w:r>
          </w:p>
        </w:tc>
        <w:tc>
          <w:tcPr>
            <w:tcW w:w="272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1"/>
                <w:szCs w:val="21"/>
              </w:rPr>
            </w:pPr>
            <w:r>
              <w:rPr>
                <w:rFonts w:hint="eastAsia" w:ascii="仿宋" w:hAnsi="仿宋" w:eastAsia="仿宋" w:cs="仿宋"/>
                <w:b w:val="0"/>
                <w:bCs w:val="0"/>
                <w:color w:val="222222"/>
                <w:kern w:val="0"/>
                <w:sz w:val="21"/>
                <w:szCs w:val="21"/>
              </w:rPr>
              <w:t>使用比例（实际/预算）</w:t>
            </w:r>
          </w:p>
        </w:tc>
      </w:tr>
      <w:tr>
        <w:tblPrEx>
          <w:tblCellMar>
            <w:top w:w="0" w:type="dxa"/>
            <w:left w:w="0" w:type="dxa"/>
            <w:bottom w:w="0" w:type="dxa"/>
            <w:right w:w="0" w:type="dxa"/>
          </w:tblCellMar>
        </w:tblPrEx>
        <w:trPr>
          <w:trHeight w:val="715" w:hRule="atLeast"/>
        </w:trPr>
        <w:tc>
          <w:tcPr>
            <w:tcW w:w="175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eastAsia" w:ascii="仿宋" w:hAnsi="仿宋" w:eastAsia="仿宋" w:cs="仿宋"/>
                <w:b w:val="0"/>
                <w:bCs w:val="0"/>
                <w:color w:val="222222"/>
                <w:kern w:val="0"/>
                <w:sz w:val="24"/>
                <w:szCs w:val="24"/>
              </w:rPr>
            </w:pPr>
            <w:r>
              <w:rPr>
                <w:rFonts w:hint="eastAsia" w:ascii="仿宋" w:hAnsi="仿宋" w:eastAsia="仿宋" w:cs="仿宋"/>
                <w:b w:val="0"/>
                <w:bCs w:val="0"/>
                <w:color w:val="222222"/>
                <w:kern w:val="0"/>
                <w:sz w:val="24"/>
                <w:szCs w:val="24"/>
              </w:rPr>
              <w:t>业务工作专项</w:t>
            </w:r>
          </w:p>
        </w:tc>
        <w:tc>
          <w:tcPr>
            <w:tcW w:w="105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421</w:t>
            </w:r>
          </w:p>
        </w:tc>
        <w:tc>
          <w:tcPr>
            <w:tcW w:w="105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115</w:t>
            </w:r>
          </w:p>
        </w:tc>
        <w:tc>
          <w:tcPr>
            <w:tcW w:w="200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306</w:t>
            </w:r>
          </w:p>
        </w:tc>
        <w:tc>
          <w:tcPr>
            <w:tcW w:w="272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rPr>
                <w:rFonts w:hint="default" w:ascii="仿宋" w:hAnsi="仿宋" w:eastAsia="仿宋" w:cs="仿宋"/>
                <w:b w:val="0"/>
                <w:bCs w:val="0"/>
                <w:color w:val="222222"/>
                <w:kern w:val="0"/>
                <w:sz w:val="24"/>
                <w:szCs w:val="24"/>
                <w:lang w:val="en-US" w:eastAsia="zh-CN"/>
              </w:rPr>
            </w:pPr>
            <w:r>
              <w:rPr>
                <w:rFonts w:hint="eastAsia" w:ascii="仿宋" w:hAnsi="仿宋" w:eastAsia="仿宋" w:cs="仿宋"/>
                <w:b w:val="0"/>
                <w:bCs w:val="0"/>
                <w:color w:val="222222"/>
                <w:kern w:val="0"/>
                <w:sz w:val="24"/>
                <w:szCs w:val="24"/>
                <w:lang w:val="en-US" w:eastAsia="zh-CN"/>
              </w:rPr>
              <w:t>27.32%</w:t>
            </w:r>
          </w:p>
        </w:tc>
      </w:tr>
    </w:tbl>
    <w:p>
      <w:pPr>
        <w:keepNext w:val="0"/>
        <w:keepLines w:val="0"/>
        <w:pageBreakBefore w:val="0"/>
        <w:widowControl/>
        <w:kinsoku/>
        <w:wordWrap/>
        <w:overflowPunct/>
        <w:topLinePunct w:val="0"/>
        <w:autoSpaceDE/>
        <w:autoSpaceDN/>
        <w:bidi w:val="0"/>
        <w:adjustRightInd/>
        <w:snapToGrid/>
        <w:spacing w:line="540" w:lineRule="exact"/>
        <w:jc w:val="left"/>
        <w:rPr>
          <w:rFonts w:hint="eastAsia" w:ascii="仿宋" w:hAnsi="仿宋" w:eastAsia="仿宋" w:cs="仿宋"/>
          <w:color w:val="222222"/>
          <w:kern w:val="0"/>
          <w:sz w:val="32"/>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Chars="0"/>
        <w:jc w:val="left"/>
        <w:rPr>
          <w:rFonts w:hint="eastAsia" w:ascii="仿宋" w:hAnsi="仿宋" w:eastAsia="仿宋" w:cs="仿宋"/>
          <w:b/>
          <w:bCs/>
          <w:color w:val="222222"/>
          <w:kern w:val="0"/>
          <w:sz w:val="32"/>
          <w:szCs w:val="32"/>
        </w:rPr>
      </w:pPr>
      <w:r>
        <w:rPr>
          <w:rFonts w:hint="eastAsia" w:ascii="仿宋" w:hAnsi="仿宋" w:eastAsia="仿宋" w:cs="仿宋"/>
          <w:b/>
          <w:bCs/>
          <w:color w:val="222222"/>
          <w:kern w:val="0"/>
          <w:sz w:val="32"/>
          <w:szCs w:val="32"/>
          <w:lang w:val="en-US" w:eastAsia="zh-CN"/>
        </w:rPr>
        <w:t xml:space="preserve">  （四）、</w:t>
      </w:r>
      <w:r>
        <w:rPr>
          <w:rFonts w:hint="eastAsia" w:ascii="仿宋" w:hAnsi="仿宋" w:eastAsia="仿宋" w:cs="仿宋"/>
          <w:b/>
          <w:bCs/>
          <w:color w:val="222222"/>
          <w:kern w:val="0"/>
          <w:sz w:val="32"/>
          <w:szCs w:val="32"/>
        </w:rPr>
        <w:t>专项资金管理和组织实施情况</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3" w:firstLineChars="200"/>
        <w:jc w:val="left"/>
        <w:rPr>
          <w:rFonts w:hint="eastAsia" w:ascii="仿宋" w:hAnsi="仿宋" w:eastAsia="仿宋" w:cs="仿宋"/>
          <w:color w:val="222222"/>
          <w:kern w:val="0"/>
          <w:sz w:val="32"/>
          <w:szCs w:val="32"/>
        </w:rPr>
      </w:pPr>
      <w:r>
        <w:rPr>
          <w:rFonts w:hint="eastAsia" w:ascii="黑体" w:hAnsi="黑体" w:eastAsia="黑体" w:cs="黑体"/>
          <w:b/>
          <w:bCs/>
          <w:color w:val="222222"/>
          <w:kern w:val="0"/>
          <w:sz w:val="32"/>
          <w:szCs w:val="32"/>
        </w:rPr>
        <w:t>五、部门整体支出绩效评价</w:t>
      </w:r>
    </w:p>
    <w:p>
      <w:pPr>
        <w:keepNext w:val="0"/>
        <w:keepLines w:val="0"/>
        <w:pageBreakBefore w:val="0"/>
        <w:widowControl/>
        <w:kinsoku/>
        <w:wordWrap/>
        <w:overflowPunct/>
        <w:topLinePunct w:val="0"/>
        <w:autoSpaceDE/>
        <w:autoSpaceDN/>
        <w:bidi w:val="0"/>
        <w:adjustRightInd/>
        <w:snapToGrid/>
        <w:spacing w:line="540" w:lineRule="exact"/>
        <w:ind w:firstLine="640"/>
        <w:jc w:val="left"/>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20</w:t>
      </w:r>
      <w:r>
        <w:rPr>
          <w:rFonts w:hint="eastAsia" w:ascii="仿宋" w:hAnsi="仿宋" w:eastAsia="仿宋" w:cs="仿宋"/>
          <w:color w:val="222222"/>
          <w:kern w:val="0"/>
          <w:sz w:val="32"/>
          <w:szCs w:val="32"/>
          <w:lang w:val="en-US" w:eastAsia="zh-CN"/>
        </w:rPr>
        <w:t>21</w:t>
      </w:r>
      <w:r>
        <w:rPr>
          <w:rFonts w:hint="eastAsia" w:ascii="仿宋" w:hAnsi="仿宋" w:eastAsia="仿宋" w:cs="仿宋"/>
          <w:color w:val="222222"/>
          <w:kern w:val="0"/>
          <w:sz w:val="32"/>
          <w:szCs w:val="32"/>
        </w:rPr>
        <w:t>年，根据</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年初工作规划和重点性工作，围绕市委、市政府全面建成小康社会的发展蓝图，积极履职，强化管理，较好的完成了年度工作目标。通过加强预算收支管理，不断建立健全内部管理制度，梳理内部管理流程，部门整体支出管理情况得到提升。根据20</w:t>
      </w:r>
      <w:r>
        <w:rPr>
          <w:rFonts w:hint="eastAsia" w:ascii="仿宋" w:hAnsi="仿宋" w:eastAsia="仿宋" w:cs="仿宋"/>
          <w:color w:val="222222"/>
          <w:kern w:val="0"/>
          <w:sz w:val="32"/>
          <w:szCs w:val="32"/>
          <w:lang w:val="en-US" w:eastAsia="zh-CN"/>
        </w:rPr>
        <w:t>21</w:t>
      </w:r>
      <w:r>
        <w:rPr>
          <w:rFonts w:hint="eastAsia" w:ascii="仿宋" w:hAnsi="仿宋" w:eastAsia="仿宋" w:cs="仿宋"/>
          <w:color w:val="222222"/>
          <w:kern w:val="0"/>
          <w:sz w:val="32"/>
          <w:szCs w:val="32"/>
        </w:rPr>
        <w:t>年度部门整体支出状况的概述和分析，部门整体支出绩效情况如下：</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firstLine="643"/>
        <w:jc w:val="left"/>
        <w:textAlignment w:val="auto"/>
        <w:rPr>
          <w:rFonts w:hint="eastAsia" w:ascii="仿宋" w:hAnsi="仿宋" w:eastAsia="仿宋" w:cs="仿宋"/>
          <w:b/>
          <w:bCs/>
          <w:color w:val="222222"/>
          <w:kern w:val="0"/>
          <w:sz w:val="32"/>
          <w:szCs w:val="32"/>
        </w:rPr>
      </w:pPr>
      <w:r>
        <w:rPr>
          <w:rFonts w:hint="eastAsia" w:ascii="仿宋" w:hAnsi="仿宋" w:eastAsia="仿宋" w:cs="仿宋"/>
          <w:b/>
          <w:bCs/>
          <w:color w:val="222222"/>
          <w:kern w:val="0"/>
          <w:sz w:val="32"/>
          <w:szCs w:val="32"/>
        </w:rPr>
        <w:t>经济效益评价</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222222"/>
          <w:kern w:val="0"/>
          <w:sz w:val="32"/>
          <w:szCs w:val="32"/>
          <w:lang w:eastAsia="zh-CN"/>
        </w:rPr>
      </w:pPr>
      <w:r>
        <w:rPr>
          <w:rFonts w:hint="eastAsia" w:ascii="仿宋" w:hAnsi="仿宋" w:eastAsia="仿宋" w:cs="仿宋"/>
          <w:b w:val="0"/>
          <w:bCs w:val="0"/>
          <w:color w:val="222222"/>
          <w:kern w:val="0"/>
          <w:sz w:val="32"/>
          <w:szCs w:val="32"/>
        </w:rPr>
        <w:t>1</w:t>
      </w:r>
      <w:r>
        <w:rPr>
          <w:rFonts w:hint="eastAsia" w:ascii="仿宋" w:hAnsi="仿宋" w:eastAsia="仿宋" w:cs="仿宋"/>
          <w:b w:val="0"/>
          <w:bCs w:val="0"/>
          <w:color w:val="222222"/>
          <w:kern w:val="0"/>
          <w:sz w:val="32"/>
          <w:szCs w:val="32"/>
          <w:lang w:eastAsia="zh-CN"/>
        </w:rPr>
        <w:t>、</w:t>
      </w:r>
      <w:r>
        <w:rPr>
          <w:rFonts w:hint="eastAsia" w:ascii="仿宋" w:hAnsi="仿宋" w:eastAsia="仿宋" w:cs="仿宋"/>
          <w:b w:val="0"/>
          <w:bCs w:val="0"/>
          <w:color w:val="222222"/>
          <w:kern w:val="0"/>
          <w:sz w:val="32"/>
          <w:szCs w:val="32"/>
        </w:rPr>
        <w:t>本年预算配置控制较好。</w:t>
      </w:r>
      <w:r>
        <w:rPr>
          <w:rFonts w:hint="eastAsia" w:ascii="仿宋" w:hAnsi="仿宋" w:eastAsia="仿宋" w:cs="仿宋"/>
          <w:color w:val="222222"/>
          <w:kern w:val="0"/>
          <w:sz w:val="32"/>
          <w:szCs w:val="32"/>
        </w:rPr>
        <w:t>财政供养人员控制在预算编制以内，编制内在职人员控制率小于100%；“三公”经费决算总额较上年</w:t>
      </w:r>
      <w:r>
        <w:rPr>
          <w:rFonts w:hint="eastAsia" w:ascii="仿宋" w:hAnsi="仿宋" w:eastAsia="仿宋" w:cs="仿宋"/>
          <w:color w:val="222222"/>
          <w:kern w:val="0"/>
          <w:sz w:val="32"/>
          <w:szCs w:val="32"/>
          <w:lang w:eastAsia="zh-CN"/>
        </w:rPr>
        <w:t>增加</w:t>
      </w:r>
      <w:r>
        <w:rPr>
          <w:rFonts w:hint="eastAsia" w:ascii="仿宋" w:hAnsi="仿宋" w:eastAsia="仿宋" w:cs="仿宋"/>
          <w:color w:val="222222"/>
          <w:kern w:val="0"/>
          <w:sz w:val="32"/>
          <w:szCs w:val="32"/>
        </w:rPr>
        <w:t>，</w:t>
      </w:r>
      <w:r>
        <w:rPr>
          <w:rFonts w:hint="eastAsia" w:ascii="仿宋" w:hAnsi="仿宋" w:eastAsia="仿宋" w:cs="仿宋"/>
          <w:color w:val="222222"/>
          <w:kern w:val="0"/>
          <w:sz w:val="32"/>
          <w:szCs w:val="32"/>
          <w:lang w:eastAsia="zh-CN"/>
        </w:rPr>
        <w:t>是因为单位工作需要购置了一辆新闻采访公务车</w:t>
      </w:r>
      <w:r>
        <w:rPr>
          <w:rFonts w:hint="eastAsia" w:ascii="仿宋" w:hAnsi="仿宋" w:eastAsia="仿宋" w:cs="仿宋"/>
          <w:color w:val="222222"/>
          <w:kern w:val="0"/>
          <w:sz w:val="32"/>
          <w:szCs w:val="32"/>
        </w:rPr>
        <w:t>。</w:t>
      </w:r>
      <w:r>
        <w:rPr>
          <w:rFonts w:hint="eastAsia" w:ascii="仿宋" w:hAnsi="仿宋" w:eastAsia="仿宋" w:cs="仿宋"/>
          <w:color w:val="222222"/>
          <w:kern w:val="0"/>
          <w:sz w:val="32"/>
          <w:szCs w:val="32"/>
          <w:lang w:eastAsia="zh-CN"/>
        </w:rPr>
        <w:t>公务接待费和公务车运行费都在预算控制范围内。</w:t>
      </w:r>
    </w:p>
    <w:p>
      <w:pPr>
        <w:keepNext w:val="0"/>
        <w:keepLines w:val="0"/>
        <w:pageBreakBefore w:val="0"/>
        <w:widowControl/>
        <w:kinsoku/>
        <w:wordWrap/>
        <w:overflowPunct/>
        <w:topLinePunct w:val="0"/>
        <w:autoSpaceDE/>
        <w:autoSpaceDN/>
        <w:bidi w:val="0"/>
        <w:adjustRightInd/>
        <w:snapToGrid/>
        <w:spacing w:line="540" w:lineRule="exact"/>
        <w:ind w:firstLine="643"/>
        <w:jc w:val="left"/>
        <w:textAlignment w:val="auto"/>
        <w:rPr>
          <w:rFonts w:hint="eastAsia" w:ascii="仿宋" w:hAnsi="仿宋" w:eastAsia="仿宋" w:cs="仿宋"/>
          <w:color w:val="222222"/>
          <w:kern w:val="0"/>
          <w:sz w:val="32"/>
          <w:szCs w:val="32"/>
        </w:rPr>
      </w:pPr>
      <w:r>
        <w:rPr>
          <w:rFonts w:hint="eastAsia" w:ascii="仿宋" w:hAnsi="仿宋" w:eastAsia="仿宋" w:cs="仿宋"/>
          <w:b w:val="0"/>
          <w:bCs w:val="0"/>
          <w:color w:val="222222"/>
          <w:kern w:val="0"/>
          <w:sz w:val="32"/>
          <w:szCs w:val="32"/>
        </w:rPr>
        <w:t>2</w:t>
      </w:r>
      <w:r>
        <w:rPr>
          <w:rFonts w:hint="eastAsia" w:ascii="仿宋" w:hAnsi="仿宋" w:eastAsia="仿宋" w:cs="仿宋"/>
          <w:b w:val="0"/>
          <w:bCs w:val="0"/>
          <w:color w:val="222222"/>
          <w:kern w:val="0"/>
          <w:sz w:val="32"/>
          <w:szCs w:val="32"/>
          <w:lang w:eastAsia="zh-CN"/>
        </w:rPr>
        <w:t>、</w:t>
      </w:r>
      <w:r>
        <w:rPr>
          <w:rFonts w:hint="eastAsia" w:ascii="仿宋" w:hAnsi="仿宋" w:eastAsia="仿宋" w:cs="仿宋"/>
          <w:b w:val="0"/>
          <w:bCs w:val="0"/>
          <w:color w:val="222222"/>
          <w:kern w:val="0"/>
          <w:sz w:val="32"/>
          <w:szCs w:val="32"/>
        </w:rPr>
        <w:t>预算执行方面。</w:t>
      </w:r>
      <w:r>
        <w:rPr>
          <w:rFonts w:hint="eastAsia" w:ascii="仿宋" w:hAnsi="仿宋" w:eastAsia="仿宋" w:cs="仿宋"/>
          <w:color w:val="222222"/>
          <w:kern w:val="0"/>
          <w:sz w:val="32"/>
          <w:szCs w:val="32"/>
        </w:rPr>
        <w:t>支出总额控制在预算总额以内，除专项预算的追加和政策性工资绩效预算的追加外，本年部门预算未进行预算相关事项的调整；我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预算内专项资金在取得财政的年度预算批复时，随批复一同进行了下达；追加的项目专项资金在取得财政批复后随批复及时进行了下达； “三公”经费总体控制较好，未超本年预算和上年决算支出。</w:t>
      </w:r>
    </w:p>
    <w:p>
      <w:pPr>
        <w:keepNext w:val="0"/>
        <w:keepLines w:val="0"/>
        <w:pageBreakBefore w:val="0"/>
        <w:widowControl/>
        <w:kinsoku/>
        <w:wordWrap/>
        <w:overflowPunct/>
        <w:topLinePunct w:val="0"/>
        <w:autoSpaceDE/>
        <w:autoSpaceDN/>
        <w:bidi w:val="0"/>
        <w:adjustRightInd/>
        <w:snapToGrid/>
        <w:spacing w:line="540" w:lineRule="exact"/>
        <w:ind w:firstLine="640"/>
        <w:jc w:val="left"/>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预算管理方面，制度执行总体较为有效，仍需进一步强化；资金使用管理需进一步加强。</w:t>
      </w:r>
    </w:p>
    <w:p>
      <w:pPr>
        <w:keepNext w:val="0"/>
        <w:keepLines w:val="0"/>
        <w:pageBreakBefore w:val="0"/>
        <w:widowControl/>
        <w:kinsoku/>
        <w:wordWrap/>
        <w:overflowPunct/>
        <w:topLinePunct w:val="0"/>
        <w:autoSpaceDE/>
        <w:autoSpaceDN/>
        <w:bidi w:val="0"/>
        <w:adjustRightInd/>
        <w:snapToGrid/>
        <w:spacing w:line="540" w:lineRule="exact"/>
        <w:ind w:firstLine="640"/>
        <w:jc w:val="left"/>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资产管理方面，建立了资产管理制度，定期进行了盘点和资产清理，总体执行较好。</w:t>
      </w:r>
    </w:p>
    <w:p>
      <w:pPr>
        <w:keepNext w:val="0"/>
        <w:keepLines w:val="0"/>
        <w:pageBreakBefore w:val="0"/>
        <w:widowControl/>
        <w:kinsoku/>
        <w:wordWrap/>
        <w:overflowPunct/>
        <w:topLinePunct w:val="0"/>
        <w:autoSpaceDE/>
        <w:autoSpaceDN/>
        <w:bidi w:val="0"/>
        <w:adjustRightInd/>
        <w:snapToGrid/>
        <w:spacing w:line="540" w:lineRule="exact"/>
        <w:ind w:firstLine="640"/>
        <w:jc w:val="left"/>
        <w:textAlignment w:val="auto"/>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根据部门整体支出绩效评价指标体系，本</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20</w:t>
      </w:r>
      <w:r>
        <w:rPr>
          <w:rFonts w:hint="eastAsia" w:ascii="仿宋" w:hAnsi="仿宋" w:eastAsia="仿宋" w:cs="仿宋"/>
          <w:color w:val="222222"/>
          <w:kern w:val="0"/>
          <w:sz w:val="32"/>
          <w:szCs w:val="32"/>
          <w:lang w:val="en-US" w:eastAsia="zh-CN"/>
        </w:rPr>
        <w:t>21</w:t>
      </w:r>
      <w:r>
        <w:rPr>
          <w:rFonts w:hint="eastAsia" w:ascii="仿宋" w:hAnsi="仿宋" w:eastAsia="仿宋" w:cs="仿宋"/>
          <w:color w:val="222222"/>
          <w:kern w:val="0"/>
          <w:sz w:val="32"/>
          <w:szCs w:val="32"/>
        </w:rPr>
        <w:t>年度评价得分为9</w:t>
      </w:r>
      <w:r>
        <w:rPr>
          <w:rFonts w:hint="eastAsia" w:ascii="仿宋" w:hAnsi="仿宋" w:eastAsia="仿宋" w:cs="仿宋"/>
          <w:color w:val="222222"/>
          <w:kern w:val="0"/>
          <w:sz w:val="32"/>
          <w:szCs w:val="32"/>
          <w:lang w:val="en-US" w:eastAsia="zh-CN"/>
        </w:rPr>
        <w:t>5</w:t>
      </w:r>
      <w:r>
        <w:rPr>
          <w:rFonts w:hint="eastAsia" w:ascii="仿宋" w:hAnsi="仿宋" w:eastAsia="仿宋" w:cs="仿宋"/>
          <w:color w:val="222222"/>
          <w:kern w:val="0"/>
          <w:sz w:val="32"/>
          <w:szCs w:val="32"/>
        </w:rPr>
        <w:t>分。</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rPr>
      </w:pPr>
      <w:r>
        <w:rPr>
          <w:rFonts w:hint="eastAsia" w:ascii="仿宋" w:hAnsi="仿宋" w:eastAsia="仿宋" w:cs="仿宋"/>
          <w:b/>
          <w:bCs/>
          <w:color w:val="222222"/>
          <w:kern w:val="0"/>
          <w:sz w:val="32"/>
          <w:szCs w:val="32"/>
        </w:rPr>
        <w:t>（二）效率性评价和有效性评价</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预算安排的基本支出保障了我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正常的工作运转，体现了市委市政府对我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工作的关心和重视，预算安排的项目支出是非常必要的，我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在执行上是严格遵守各项财经纪律的，在项目资金的使用上也是放的心的。</w:t>
      </w:r>
    </w:p>
    <w:p>
      <w:pPr>
        <w:keepNext w:val="0"/>
        <w:keepLines w:val="0"/>
        <w:pageBreakBefore w:val="0"/>
        <w:widowControl w:val="0"/>
        <w:numPr>
          <w:ilvl w:val="0"/>
          <w:numId w:val="0"/>
        </w:numPr>
        <w:kinsoku/>
        <w:wordWrap/>
        <w:overflowPunct/>
        <w:autoSpaceDE/>
        <w:autoSpaceDN/>
        <w:bidi w:val="0"/>
        <w:adjustRightInd/>
        <w:spacing w:line="540" w:lineRule="exact"/>
        <w:ind w:firstLine="640" w:firstLineChars="200"/>
        <w:rPr>
          <w:rFonts w:hint="eastAsia"/>
          <w:lang w:val="en-US" w:eastAsia="zh-CN"/>
        </w:rPr>
      </w:pPr>
      <w:r>
        <w:rPr>
          <w:rFonts w:hint="eastAsia" w:ascii="仿宋_GB2312" w:hAnsi="楷体" w:eastAsia="仿宋_GB2312"/>
          <w:sz w:val="32"/>
          <w:szCs w:val="32"/>
          <w:lang w:val="en-US" w:eastAsia="zh-CN"/>
        </w:rPr>
        <w:t>2021年，</w:t>
      </w:r>
      <w:r>
        <w:rPr>
          <w:rFonts w:hint="eastAsia" w:ascii="仿宋_GB2312" w:hAnsi="楷体" w:eastAsia="仿宋_GB2312"/>
          <w:sz w:val="32"/>
          <w:szCs w:val="32"/>
        </w:rPr>
        <w:t>在</w:t>
      </w:r>
      <w:r>
        <w:rPr>
          <w:rFonts w:hint="eastAsia" w:ascii="仿宋_GB2312" w:hAnsi="楷体" w:eastAsia="仿宋_GB2312"/>
          <w:sz w:val="32"/>
          <w:szCs w:val="32"/>
          <w:lang w:eastAsia="zh-CN"/>
        </w:rPr>
        <w:t>市委市政府</w:t>
      </w:r>
      <w:r>
        <w:rPr>
          <w:rFonts w:hint="eastAsia" w:ascii="仿宋_GB2312" w:hAnsi="楷体" w:eastAsia="仿宋_GB2312"/>
          <w:sz w:val="32"/>
          <w:szCs w:val="32"/>
        </w:rPr>
        <w:t>的坚强领导下，</w:t>
      </w:r>
      <w:r>
        <w:rPr>
          <w:rFonts w:hint="eastAsia" w:ascii="仿宋" w:hAnsi="仿宋" w:eastAsia="仿宋_GB2312" w:cs="仿宋"/>
          <w:b w:val="0"/>
          <w:sz w:val="32"/>
          <w:szCs w:val="28"/>
          <w:lang w:eastAsia="zh-CN"/>
        </w:rPr>
        <w:t>围绕市委市政府的中心工作，围绕“十九届六中全会”、“湖南省、邵阳市、武冈市党代会”、“党史学习教育”、“创建湖南省文明城市”等重点宣传报道，</w:t>
      </w:r>
      <w:r>
        <w:rPr>
          <w:rFonts w:hint="eastAsia" w:ascii="仿宋" w:hAnsi="仿宋" w:eastAsia="仿宋_GB2312" w:cs="仿宋"/>
          <w:b w:val="0"/>
          <w:sz w:val="32"/>
          <w:szCs w:val="28"/>
        </w:rPr>
        <w:t>不断提升传播力、引导力、影响力、公信力，为</w:t>
      </w:r>
      <w:r>
        <w:rPr>
          <w:rFonts w:hint="eastAsia" w:ascii="仿宋" w:hAnsi="仿宋" w:eastAsia="仿宋_GB2312" w:cs="仿宋"/>
          <w:b w:val="0"/>
          <w:sz w:val="32"/>
          <w:szCs w:val="28"/>
          <w:lang w:val="en-US" w:eastAsia="zh-CN"/>
        </w:rPr>
        <w:t>全面建成小康武冈</w:t>
      </w:r>
      <w:r>
        <w:rPr>
          <w:rFonts w:hint="eastAsia" w:ascii="仿宋" w:hAnsi="仿宋" w:eastAsia="仿宋_GB2312" w:cs="仿宋"/>
          <w:b w:val="0"/>
          <w:sz w:val="32"/>
          <w:szCs w:val="28"/>
        </w:rPr>
        <w:t>提供坚强的舆论支持。</w:t>
      </w:r>
      <w:r>
        <w:rPr>
          <w:rFonts w:hint="eastAsia" w:ascii="仿宋_GB2312" w:hAnsi="楷体" w:eastAsia="仿宋_GB2312"/>
          <w:color w:val="auto"/>
          <w:sz w:val="32"/>
          <w:szCs w:val="32"/>
          <w:lang w:val="en-US" w:eastAsia="zh-CN"/>
        </w:rPr>
        <w:t>2021年，武冈市融媒体中心获得邵阳市宣传工作工作先进单位。</w:t>
      </w:r>
    </w:p>
    <w:p>
      <w:pPr>
        <w:keepNext w:val="0"/>
        <w:keepLines w:val="0"/>
        <w:pageBreakBefore w:val="0"/>
        <w:widowControl w:val="0"/>
        <w:kinsoku/>
        <w:wordWrap/>
        <w:overflowPunct/>
        <w:topLinePunct/>
        <w:autoSpaceDE/>
        <w:autoSpaceDN/>
        <w:bidi w:val="0"/>
        <w:adjustRightInd/>
        <w:spacing w:line="540" w:lineRule="exact"/>
        <w:ind w:firstLine="643" w:firstLineChars="200"/>
        <w:jc w:val="both"/>
        <w:rPr>
          <w:rFonts w:hint="eastAsia" w:ascii="仿宋" w:hAnsi="仿宋" w:eastAsia="仿宋" w:cs="仿宋"/>
          <w:color w:val="000000"/>
          <w:kern w:val="2"/>
          <w:sz w:val="32"/>
          <w:szCs w:val="32"/>
          <w:lang w:val="en-US" w:eastAsia="zh-CN" w:bidi="ar-SA"/>
        </w:rPr>
      </w:pPr>
      <w:r>
        <w:rPr>
          <w:rFonts w:hint="eastAsia" w:ascii="仿宋_GB2312" w:hAnsi="仿宋_GB2312" w:eastAsia="仿宋_GB2312" w:cs="仿宋_GB2312"/>
          <w:b/>
          <w:bCs/>
          <w:sz w:val="32"/>
          <w:szCs w:val="32"/>
          <w:lang w:val="en-US" w:eastAsia="zh-CN"/>
        </w:rPr>
        <w:t>1、宣传工作实现新突破。</w:t>
      </w:r>
      <w:r>
        <w:rPr>
          <w:rFonts w:hint="eastAsia" w:ascii="仿宋_GB2312" w:hAnsi="仿宋_GB2312" w:eastAsia="仿宋_GB2312" w:cs="仿宋_GB2312"/>
          <w:b w:val="0"/>
          <w:bCs w:val="0"/>
          <w:color w:val="auto"/>
          <w:sz w:val="32"/>
          <w:szCs w:val="32"/>
        </w:rPr>
        <w:t>今年</w:t>
      </w:r>
      <w:r>
        <w:rPr>
          <w:rFonts w:hint="eastAsia" w:ascii="仿宋_GB2312" w:hAnsi="仿宋_GB2312" w:eastAsia="仿宋_GB2312" w:cs="仿宋_GB2312"/>
          <w:b w:val="0"/>
          <w:bCs w:val="0"/>
          <w:color w:val="auto"/>
          <w:sz w:val="32"/>
          <w:szCs w:val="32"/>
          <w:lang w:eastAsia="zh-CN"/>
        </w:rPr>
        <w:t>在省、市发稿数比上年明显增加，</w:t>
      </w:r>
      <w:r>
        <w:rPr>
          <w:rFonts w:hint="eastAsia" w:ascii="仿宋" w:hAnsi="仿宋" w:eastAsia="仿宋" w:cs="仿宋"/>
          <w:color w:val="000000"/>
          <w:kern w:val="2"/>
          <w:sz w:val="32"/>
          <w:szCs w:val="32"/>
          <w:lang w:val="en-US" w:eastAsia="zh-CN" w:bidi="ar-SA"/>
        </w:rPr>
        <w:t>共完成内外电视发稿1348篇，其中向上级各电视媒体发稿231篇</w:t>
      </w:r>
      <w:r>
        <w:rPr>
          <w:rFonts w:hint="eastAsia" w:ascii="仿宋_GB2312" w:hAnsi="仿宋_GB2312" w:eastAsia="仿宋_GB2312" w:cs="仿宋_GB2312"/>
          <w:b w:val="0"/>
          <w:bCs w:val="0"/>
          <w:color w:val="auto"/>
          <w:sz w:val="32"/>
          <w:szCs w:val="32"/>
          <w:lang w:eastAsia="zh-CN"/>
        </w:rPr>
        <w:t>。</w:t>
      </w:r>
      <w:r>
        <w:rPr>
          <w:rFonts w:hint="eastAsia" w:ascii="仿宋" w:hAnsi="仿宋" w:eastAsia="仿宋" w:cs="仿宋"/>
          <w:color w:val="000000"/>
          <w:kern w:val="2"/>
          <w:sz w:val="32"/>
          <w:szCs w:val="32"/>
          <w:lang w:val="en-US" w:eastAsia="zh-CN" w:bidi="ar-SA"/>
        </w:rPr>
        <w:t>红色武冈系列纪录片《这一片热土之一枚铜钱得民心》入选为全国第二届“追寻先烈足迹”短视频征集赛优秀作品；微年韵系列纪录片连续七集在“学习强国”推出；为了宣传申报国家历史文化名城我们拍摄的《主播探古城》系列短视频在邵阳新闻网、湖南红网、新湖南等主流媒体推出。《湖南首个5G+物联网智慧消防平台在武冈试点》在中央电视台13频道、湖南卫视、湖南经视播出。</w:t>
      </w:r>
    </w:p>
    <w:p>
      <w:pPr>
        <w:keepNext w:val="0"/>
        <w:keepLines w:val="0"/>
        <w:pageBreakBefore w:val="0"/>
        <w:widowControl w:val="0"/>
        <w:numPr>
          <w:ilvl w:val="0"/>
          <w:numId w:val="0"/>
        </w:numPr>
        <w:kinsoku/>
        <w:wordWrap/>
        <w:overflowPunct/>
        <w:topLinePunct/>
        <w:autoSpaceDE/>
        <w:autoSpaceDN/>
        <w:bidi w:val="0"/>
        <w:adjustRightInd/>
        <w:spacing w:line="540" w:lineRule="exact"/>
        <w:ind w:firstLine="643" w:firstLineChars="200"/>
        <w:jc w:val="both"/>
        <w:rPr>
          <w:rFonts w:hint="eastAsia" w:ascii="仿宋" w:hAnsi="仿宋" w:eastAsia="仿宋" w:cs="仿宋"/>
          <w:color w:val="000000"/>
          <w:kern w:val="2"/>
          <w:sz w:val="32"/>
          <w:szCs w:val="32"/>
          <w:lang w:val="en-US" w:eastAsia="zh-CN" w:bidi="ar-SA"/>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媒体融合</w:t>
      </w:r>
      <w:r>
        <w:rPr>
          <w:rFonts w:hint="eastAsia" w:ascii="仿宋_GB2312" w:hAnsi="仿宋_GB2312" w:eastAsia="仿宋_GB2312" w:cs="仿宋_GB2312"/>
          <w:b/>
          <w:bCs/>
          <w:sz w:val="32"/>
          <w:szCs w:val="32"/>
          <w:lang w:val="en-US" w:eastAsia="zh-CN"/>
        </w:rPr>
        <w:t>创造新作为。</w:t>
      </w:r>
      <w:r>
        <w:rPr>
          <w:rFonts w:hint="eastAsia" w:ascii="仿宋" w:hAnsi="仿宋" w:eastAsia="仿宋" w:cs="仿宋"/>
          <w:color w:val="000000"/>
          <w:kern w:val="2"/>
          <w:sz w:val="32"/>
          <w:szCs w:val="32"/>
          <w:lang w:val="en-US" w:eastAsia="zh-CN" w:bidi="ar-SA"/>
        </w:rPr>
        <w:t>新武冈微信公众号发布各类资讯1783条，制作各类短视频 254 个，开展网络直播6场次，累计粉丝38408人。其中《袁隆平和武冈》、《直击武冈高考——为特殊考生让路》、《武冈话说防疫》、《武冈交警“戴帽”工程整治》等点赞量上万，播放量上百万。推出“寻找武冈工匠”“最美武冈人”“扫黑除恶”等系列短视频，融入武冈本地元素，受到群众一致好评。</w:t>
      </w:r>
    </w:p>
    <w:p>
      <w:pPr>
        <w:keepNext w:val="0"/>
        <w:keepLines w:val="0"/>
        <w:pageBreakBefore w:val="0"/>
        <w:widowControl w:val="0"/>
        <w:numPr>
          <w:ilvl w:val="0"/>
          <w:numId w:val="0"/>
        </w:numPr>
        <w:kinsoku/>
        <w:wordWrap/>
        <w:overflowPunct/>
        <w:topLinePunct/>
        <w:autoSpaceDE/>
        <w:autoSpaceDN/>
        <w:bidi w:val="0"/>
        <w:adjustRightInd/>
        <w:spacing w:line="540" w:lineRule="exact"/>
        <w:ind w:firstLine="643" w:firstLineChars="200"/>
        <w:jc w:val="both"/>
        <w:rPr>
          <w:rFonts w:hint="eastAsia" w:ascii="仿宋" w:hAnsi="仿宋" w:eastAsia="仿宋" w:cs="仿宋"/>
          <w:color w:val="000000"/>
          <w:kern w:val="2"/>
          <w:sz w:val="32"/>
          <w:szCs w:val="32"/>
          <w:lang w:val="en-US" w:eastAsia="zh-CN" w:bidi="ar-SA"/>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应急广播</w:t>
      </w:r>
      <w:r>
        <w:rPr>
          <w:rFonts w:hint="eastAsia" w:ascii="仿宋_GB2312" w:hAnsi="仿宋_GB2312" w:eastAsia="仿宋_GB2312" w:cs="仿宋_GB2312"/>
          <w:b/>
          <w:bCs/>
          <w:sz w:val="32"/>
          <w:szCs w:val="32"/>
          <w:lang w:val="en-US" w:eastAsia="zh-CN"/>
        </w:rPr>
        <w:t>实现新</w:t>
      </w:r>
      <w:r>
        <w:rPr>
          <w:rFonts w:hint="eastAsia" w:ascii="仿宋_GB2312" w:hAnsi="仿宋_GB2312" w:eastAsia="仿宋_GB2312" w:cs="仿宋_GB2312"/>
          <w:b/>
          <w:bCs/>
          <w:sz w:val="32"/>
          <w:szCs w:val="32"/>
          <w:lang w:eastAsia="zh-CN"/>
        </w:rPr>
        <w:t>效益</w:t>
      </w:r>
      <w:r>
        <w:rPr>
          <w:rFonts w:hint="eastAsia" w:ascii="仿宋_GB2312" w:hAnsi="仿宋_GB2312" w:eastAsia="仿宋_GB2312" w:cs="仿宋_GB2312"/>
          <w:b/>
          <w:bCs/>
          <w:sz w:val="32"/>
          <w:szCs w:val="32"/>
          <w:lang w:val="en-US" w:eastAsia="zh-CN"/>
        </w:rPr>
        <w:t>。</w:t>
      </w:r>
      <w:r>
        <w:rPr>
          <w:rFonts w:hint="eastAsia" w:ascii="仿宋" w:hAnsi="仿宋" w:eastAsia="仿宋" w:cs="仿宋"/>
          <w:b w:val="0"/>
          <w:bCs w:val="0"/>
          <w:color w:val="000000"/>
          <w:kern w:val="2"/>
          <w:sz w:val="32"/>
          <w:szCs w:val="32"/>
          <w:lang w:val="en-US" w:eastAsia="zh-CN" w:bidi="ar-SA"/>
        </w:rPr>
        <w:t>全力维护“村村响”应急广播、云山电视台清流节目等公共服务体系，</w:t>
      </w:r>
      <w:r>
        <w:rPr>
          <w:rFonts w:hint="eastAsia" w:ascii="仿宋" w:hAnsi="仿宋" w:eastAsia="仿宋" w:cs="仿宋"/>
          <w:color w:val="000000"/>
          <w:kern w:val="2"/>
          <w:sz w:val="32"/>
          <w:szCs w:val="32"/>
          <w:lang w:val="en-US" w:eastAsia="zh-CN" w:bidi="ar-SA"/>
        </w:rPr>
        <w:t>向省广播电视局争取2022年应急广播项目资金480余万。</w:t>
      </w:r>
      <w:r>
        <w:rPr>
          <w:rFonts w:hint="eastAsia" w:ascii="仿宋" w:hAnsi="仿宋" w:eastAsia="仿宋" w:cs="仿宋"/>
          <w:sz w:val="32"/>
          <w:szCs w:val="32"/>
        </w:rPr>
        <w:t>做到互联互通，最大限度发挥应急广播的综合效益</w:t>
      </w:r>
      <w:r>
        <w:rPr>
          <w:rFonts w:hint="eastAsia" w:ascii="仿宋" w:hAnsi="仿宋" w:eastAsia="仿宋" w:cs="仿宋"/>
          <w:sz w:val="32"/>
          <w:szCs w:val="32"/>
          <w:lang w:eastAsia="zh-CN"/>
        </w:rPr>
        <w:t>，</w:t>
      </w:r>
      <w:r>
        <w:rPr>
          <w:rFonts w:hint="eastAsia" w:ascii="仿宋" w:hAnsi="仿宋" w:eastAsia="仿宋" w:cs="仿宋"/>
          <w:color w:val="000000"/>
          <w:kern w:val="2"/>
          <w:sz w:val="32"/>
          <w:szCs w:val="32"/>
          <w:lang w:val="en-US" w:eastAsia="zh-CN" w:bidi="ar-SA"/>
        </w:rPr>
        <w:t>进一步丰富广大农民群众精神文化需求。</w:t>
      </w:r>
    </w:p>
    <w:p>
      <w:pPr>
        <w:keepNext w:val="0"/>
        <w:keepLines w:val="0"/>
        <w:pageBreakBefore w:val="0"/>
        <w:widowControl w:val="0"/>
        <w:numPr>
          <w:ilvl w:val="0"/>
          <w:numId w:val="0"/>
        </w:numPr>
        <w:kinsoku/>
        <w:wordWrap/>
        <w:overflowPunct/>
        <w:topLinePunct/>
        <w:autoSpaceDE/>
        <w:autoSpaceDN/>
        <w:bidi w:val="0"/>
        <w:adjustRightInd/>
        <w:spacing w:line="540" w:lineRule="exact"/>
        <w:ind w:firstLine="643" w:firstLineChars="200"/>
        <w:jc w:val="both"/>
        <w:rPr>
          <w:rFonts w:hint="eastAsia" w:ascii="仿宋" w:hAnsi="仿宋" w:eastAsia="仿宋" w:cs="仿宋"/>
          <w:color w:val="000000"/>
          <w:kern w:val="2"/>
          <w:sz w:val="32"/>
          <w:szCs w:val="32"/>
          <w:lang w:val="en-US" w:eastAsia="zh-CN" w:bidi="ar-SA"/>
        </w:rPr>
      </w:pPr>
      <w:r>
        <w:rPr>
          <w:rFonts w:hint="eastAsia" w:ascii="仿宋_GB2312" w:hAnsi="仿宋_GB2312" w:eastAsia="仿宋_GB2312" w:cs="仿宋_GB2312"/>
          <w:b/>
          <w:bCs/>
          <w:sz w:val="32"/>
          <w:szCs w:val="32"/>
          <w:lang w:val="en-US" w:eastAsia="zh-CN"/>
        </w:rPr>
        <w:t>4.产业发展注入新动力。</w:t>
      </w:r>
      <w:r>
        <w:rPr>
          <w:rFonts w:hint="default" w:ascii="仿宋_GB2312" w:hAnsi="楷体" w:eastAsia="仿宋_GB2312"/>
          <w:color w:val="auto"/>
          <w:sz w:val="32"/>
          <w:szCs w:val="32"/>
          <w:lang w:val="en-US" w:eastAsia="zh-CN"/>
        </w:rPr>
        <w:t>大力促进</w:t>
      </w:r>
      <w:r>
        <w:rPr>
          <w:rFonts w:hint="eastAsia" w:ascii="仿宋_GB2312" w:hAnsi="楷体" w:eastAsia="仿宋_GB2312"/>
          <w:color w:val="auto"/>
          <w:sz w:val="32"/>
          <w:szCs w:val="32"/>
          <w:lang w:eastAsia="zh-CN"/>
        </w:rPr>
        <w:t>公益性事业和经营性产业齐头并进。</w:t>
      </w:r>
      <w:r>
        <w:rPr>
          <w:rFonts w:hint="eastAsia" w:ascii="仿宋" w:hAnsi="仿宋" w:eastAsia="仿宋" w:cs="仿宋"/>
          <w:color w:val="000000"/>
          <w:kern w:val="2"/>
          <w:sz w:val="32"/>
          <w:szCs w:val="32"/>
          <w:lang w:val="en-US" w:eastAsia="zh-CN" w:bidi="ar-SA"/>
        </w:rPr>
        <w:t>今年签订了节目联办合同30多个，合同金额总计170万余元。举办了湖南省第二届油菜花节-武冈分会场、“五四”青年节文艺晚会、5.12护士节文艺晚会、党史知识抢答赛、建党100周年文艺晚会等现场直播活动，提升融媒体中心产出效益。</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sz w:val="32"/>
          <w:szCs w:val="32"/>
          <w:lang w:eastAsia="zh-CN"/>
        </w:rPr>
      </w:pPr>
      <w:r>
        <w:rPr>
          <w:rFonts w:hint="eastAsia" w:ascii="仿宋_GB2312" w:hAnsi="仿宋_GB2312" w:eastAsia="仿宋_GB2312" w:cs="仿宋_GB2312"/>
          <w:b/>
          <w:bCs/>
          <w:kern w:val="2"/>
          <w:sz w:val="32"/>
          <w:szCs w:val="32"/>
          <w:lang w:val="en-US" w:eastAsia="zh-CN" w:bidi="ar-SA"/>
        </w:rPr>
        <w:t>5、机构改革构建新格局。</w:t>
      </w:r>
      <w:r>
        <w:rPr>
          <w:rFonts w:hint="eastAsia" w:ascii="仿宋" w:hAnsi="仿宋" w:eastAsia="仿宋" w:cs="仿宋"/>
          <w:b w:val="0"/>
          <w:bCs w:val="0"/>
          <w:sz w:val="32"/>
          <w:szCs w:val="32"/>
          <w:lang w:val="en-US" w:eastAsia="zh-CN"/>
        </w:rPr>
        <w:t>认真学习梳理研究上级有关生产经营类事业单位改革文件，准确把握改革政策，通过召开座谈会、个别谈话等方式，广泛听取有关干部职工的意见建议，</w:t>
      </w:r>
      <w:r>
        <w:rPr>
          <w:rFonts w:hint="eastAsia" w:ascii="仿宋" w:hAnsi="仿宋" w:eastAsia="仿宋"/>
          <w:sz w:val="32"/>
          <w:szCs w:val="32"/>
          <w:lang w:eastAsia="zh-CN"/>
        </w:rPr>
        <w:t>确保分流安置工作12月</w:t>
      </w:r>
      <w:r>
        <w:rPr>
          <w:rFonts w:hint="eastAsia" w:ascii="仿宋" w:hAnsi="仿宋" w:eastAsia="仿宋"/>
          <w:sz w:val="32"/>
          <w:szCs w:val="32"/>
          <w:lang w:val="en-US" w:eastAsia="zh-CN"/>
        </w:rPr>
        <w:t>20</w:t>
      </w:r>
      <w:r>
        <w:rPr>
          <w:rFonts w:hint="eastAsia" w:ascii="仿宋" w:hAnsi="仿宋" w:eastAsia="仿宋"/>
          <w:sz w:val="32"/>
          <w:szCs w:val="32"/>
          <w:lang w:eastAsia="zh-CN"/>
        </w:rPr>
        <w:t>日前圆满完</w:t>
      </w:r>
    </w:p>
    <w:p>
      <w:pPr>
        <w:keepNext w:val="0"/>
        <w:keepLines w:val="0"/>
        <w:pageBreakBefore w:val="0"/>
        <w:widowControl/>
        <w:kinsoku/>
        <w:wordWrap/>
        <w:overflowPunct/>
        <w:topLinePunct w:val="0"/>
        <w:autoSpaceDE/>
        <w:autoSpaceDN/>
        <w:bidi w:val="0"/>
        <w:adjustRightInd/>
        <w:snapToGrid/>
        <w:spacing w:line="540" w:lineRule="exact"/>
        <w:ind w:firstLine="643"/>
        <w:jc w:val="left"/>
        <w:rPr>
          <w:rFonts w:hint="eastAsia" w:ascii="仿宋" w:hAnsi="仿宋" w:eastAsia="仿宋" w:cs="仿宋"/>
          <w:color w:val="222222"/>
          <w:kern w:val="0"/>
          <w:sz w:val="32"/>
          <w:szCs w:val="32"/>
        </w:rPr>
      </w:pPr>
      <w:r>
        <w:rPr>
          <w:rFonts w:hint="eastAsia" w:ascii="仿宋" w:hAnsi="仿宋" w:eastAsia="仿宋" w:cs="仿宋"/>
          <w:b/>
          <w:bCs/>
          <w:color w:val="222222"/>
          <w:kern w:val="0"/>
          <w:sz w:val="32"/>
          <w:szCs w:val="32"/>
        </w:rPr>
        <w:t>（三）社会公众满意度评价</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20</w:t>
      </w:r>
      <w:r>
        <w:rPr>
          <w:rFonts w:hint="eastAsia" w:ascii="仿宋" w:hAnsi="仿宋" w:eastAsia="仿宋" w:cs="仿宋"/>
          <w:color w:val="222222"/>
          <w:kern w:val="0"/>
          <w:sz w:val="32"/>
          <w:szCs w:val="32"/>
          <w:lang w:val="en-US" w:eastAsia="zh-CN"/>
        </w:rPr>
        <w:t>21</w:t>
      </w:r>
      <w:r>
        <w:rPr>
          <w:rFonts w:hint="eastAsia" w:ascii="仿宋" w:hAnsi="仿宋" w:eastAsia="仿宋" w:cs="仿宋"/>
          <w:color w:val="222222"/>
          <w:kern w:val="0"/>
          <w:sz w:val="32"/>
          <w:szCs w:val="32"/>
        </w:rPr>
        <w:t>年，全</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干部职工在</w:t>
      </w:r>
      <w:r>
        <w:rPr>
          <w:rFonts w:hint="eastAsia" w:ascii="仿宋" w:hAnsi="仿宋" w:eastAsia="仿宋" w:cs="仿宋"/>
          <w:color w:val="222222"/>
          <w:kern w:val="0"/>
          <w:sz w:val="32"/>
          <w:szCs w:val="32"/>
          <w:lang w:eastAsia="zh-CN"/>
        </w:rPr>
        <w:t>中心班子</w:t>
      </w:r>
      <w:r>
        <w:rPr>
          <w:rFonts w:hint="eastAsia" w:ascii="仿宋" w:hAnsi="仿宋" w:eastAsia="仿宋" w:cs="仿宋"/>
          <w:color w:val="222222"/>
          <w:kern w:val="0"/>
          <w:sz w:val="32"/>
          <w:szCs w:val="32"/>
        </w:rPr>
        <w:t>的正确领导下，认真贯彻落实党的十九大精神和市委市政府决策部署，扎实工作，创先争优，</w:t>
      </w:r>
      <w:r>
        <w:rPr>
          <w:rFonts w:hint="eastAsia" w:ascii="仿宋" w:hAnsi="仿宋" w:eastAsia="仿宋" w:cs="仿宋"/>
          <w:color w:val="222222"/>
          <w:kern w:val="0"/>
          <w:sz w:val="32"/>
          <w:szCs w:val="32"/>
          <w:lang w:eastAsia="zh-CN"/>
        </w:rPr>
        <w:t>在</w:t>
      </w:r>
      <w:r>
        <w:rPr>
          <w:rFonts w:hint="eastAsia" w:ascii="仿宋" w:hAnsi="仿宋" w:eastAsia="仿宋" w:cs="仿宋"/>
          <w:color w:val="222222"/>
          <w:kern w:val="0"/>
          <w:sz w:val="32"/>
          <w:szCs w:val="32"/>
        </w:rPr>
        <w:t>20</w:t>
      </w:r>
      <w:r>
        <w:rPr>
          <w:rFonts w:hint="eastAsia" w:ascii="仿宋" w:hAnsi="仿宋" w:eastAsia="仿宋" w:cs="仿宋"/>
          <w:color w:val="222222"/>
          <w:kern w:val="0"/>
          <w:sz w:val="32"/>
          <w:szCs w:val="32"/>
          <w:lang w:val="en-US" w:eastAsia="zh-CN"/>
        </w:rPr>
        <w:t>21</w:t>
      </w:r>
      <w:r>
        <w:rPr>
          <w:rFonts w:hint="eastAsia" w:ascii="仿宋" w:hAnsi="仿宋" w:eastAsia="仿宋" w:cs="仿宋"/>
          <w:color w:val="222222"/>
          <w:kern w:val="0"/>
          <w:sz w:val="32"/>
          <w:szCs w:val="32"/>
        </w:rPr>
        <w:t>年度全市</w:t>
      </w:r>
      <w:r>
        <w:rPr>
          <w:rFonts w:hint="eastAsia" w:ascii="仿宋" w:hAnsi="仿宋" w:eastAsia="仿宋" w:cs="仿宋"/>
          <w:color w:val="222222"/>
          <w:kern w:val="0"/>
          <w:sz w:val="32"/>
          <w:szCs w:val="32"/>
          <w:lang w:eastAsia="zh-CN"/>
        </w:rPr>
        <w:t>综合治理评为</w:t>
      </w:r>
      <w:r>
        <w:rPr>
          <w:rFonts w:hint="eastAsia" w:ascii="仿宋" w:hAnsi="仿宋" w:eastAsia="仿宋" w:cs="仿宋"/>
          <w:color w:val="222222"/>
          <w:kern w:val="0"/>
          <w:sz w:val="32"/>
          <w:szCs w:val="32"/>
        </w:rPr>
        <w:t>先进。</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黑体" w:hAnsi="黑体" w:eastAsia="黑体" w:cs="黑体"/>
          <w:kern w:val="0"/>
          <w:sz w:val="32"/>
          <w:szCs w:val="32"/>
        </w:rPr>
      </w:pPr>
      <w:r>
        <w:rPr>
          <w:rFonts w:hint="eastAsia" w:ascii="黑体" w:hAnsi="黑体" w:eastAsia="黑体" w:cs="黑体"/>
          <w:kern w:val="0"/>
          <w:sz w:val="32"/>
          <w:szCs w:val="32"/>
        </w:rPr>
        <w:t>六、存在的主要问题</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1</w:t>
      </w:r>
      <w:r>
        <w:rPr>
          <w:rFonts w:hint="eastAsia" w:ascii="仿宋" w:hAnsi="仿宋" w:eastAsia="仿宋" w:cs="仿宋"/>
          <w:color w:val="222222"/>
          <w:kern w:val="0"/>
          <w:sz w:val="32"/>
          <w:szCs w:val="32"/>
          <w:lang w:eastAsia="zh-CN"/>
        </w:rPr>
        <w:t>、</w:t>
      </w:r>
      <w:r>
        <w:rPr>
          <w:rFonts w:hint="eastAsia" w:ascii="仿宋" w:hAnsi="仿宋" w:eastAsia="仿宋" w:cs="仿宋"/>
          <w:color w:val="222222"/>
          <w:kern w:val="0"/>
          <w:sz w:val="32"/>
          <w:szCs w:val="32"/>
        </w:rPr>
        <w:t>基本支出中办公费和差旅费预算和决算数相差甚远，是没有控制好费用的支出。预算编制的合理性有待提高。</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w:t>
      </w:r>
      <w:r>
        <w:rPr>
          <w:rFonts w:hint="eastAsia" w:ascii="仿宋" w:hAnsi="仿宋" w:eastAsia="仿宋" w:cs="仿宋"/>
          <w:color w:val="222222"/>
          <w:kern w:val="0"/>
          <w:sz w:val="32"/>
          <w:szCs w:val="32"/>
          <w:lang w:eastAsia="zh-CN"/>
        </w:rPr>
        <w:t>、</w:t>
      </w:r>
      <w:r>
        <w:rPr>
          <w:rFonts w:hint="eastAsia" w:ascii="仿宋" w:hAnsi="仿宋" w:eastAsia="仿宋" w:cs="仿宋"/>
          <w:color w:val="222222"/>
          <w:kern w:val="0"/>
          <w:sz w:val="32"/>
          <w:szCs w:val="32"/>
        </w:rPr>
        <w:t>部分项目支出预算编制中，经济科目设置错误。业务学习有待加强，电脑化管理工作也有待学习和提高。</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lang w:eastAsia="zh-CN"/>
        </w:rPr>
        <w:t>七</w:t>
      </w:r>
      <w:r>
        <w:rPr>
          <w:rFonts w:hint="eastAsia" w:ascii="黑体" w:hAnsi="黑体" w:eastAsia="黑体" w:cs="黑体"/>
          <w:color w:val="222222"/>
          <w:kern w:val="0"/>
          <w:sz w:val="32"/>
          <w:szCs w:val="32"/>
        </w:rPr>
        <w:t>、有关建议</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针对上述存在的问题及我</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整体支出管理工作的需要，拟实施的改进措施如下：</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1</w:t>
      </w:r>
      <w:r>
        <w:rPr>
          <w:rFonts w:hint="eastAsia" w:ascii="仿宋" w:hAnsi="仿宋" w:eastAsia="仿宋" w:cs="仿宋"/>
          <w:color w:val="222222"/>
          <w:kern w:val="0"/>
          <w:sz w:val="32"/>
          <w:szCs w:val="32"/>
          <w:lang w:eastAsia="zh-CN"/>
        </w:rPr>
        <w:t>、</w:t>
      </w:r>
      <w:r>
        <w:rPr>
          <w:rFonts w:hint="eastAsia" w:ascii="仿宋" w:hAnsi="仿宋" w:eastAsia="仿宋" w:cs="仿宋"/>
          <w:color w:val="222222"/>
          <w:kern w:val="0"/>
          <w:sz w:val="32"/>
          <w:szCs w:val="32"/>
        </w:rPr>
        <w:t>细化预算编制工作，认真做好预算的编制。进一步加强</w:t>
      </w:r>
      <w:r>
        <w:rPr>
          <w:rFonts w:hint="eastAsia" w:ascii="仿宋" w:hAnsi="仿宋" w:eastAsia="仿宋" w:cs="仿宋"/>
          <w:color w:val="222222"/>
          <w:kern w:val="0"/>
          <w:sz w:val="32"/>
          <w:szCs w:val="32"/>
          <w:lang w:eastAsia="zh-CN"/>
        </w:rPr>
        <w:t>中心</w:t>
      </w:r>
      <w:r>
        <w:rPr>
          <w:rFonts w:hint="eastAsia" w:ascii="仿宋" w:hAnsi="仿宋" w:eastAsia="仿宋" w:cs="仿宋"/>
          <w:color w:val="222222"/>
          <w:kern w:val="0"/>
          <w:sz w:val="32"/>
          <w:szCs w:val="32"/>
        </w:rPr>
        <w:t>内部机构各部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推行内部各部室预算“二上二下”方式，提高预算的合理性和准确性。</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2</w:t>
      </w:r>
      <w:r>
        <w:rPr>
          <w:rFonts w:hint="eastAsia" w:ascii="仿宋" w:hAnsi="仿宋" w:eastAsia="仿宋" w:cs="仿宋"/>
          <w:color w:val="222222"/>
          <w:kern w:val="0"/>
          <w:sz w:val="32"/>
          <w:szCs w:val="32"/>
          <w:lang w:eastAsia="zh-CN"/>
        </w:rPr>
        <w:t>、</w:t>
      </w:r>
      <w:r>
        <w:rPr>
          <w:rFonts w:hint="eastAsia" w:ascii="仿宋" w:hAnsi="仿宋" w:eastAsia="仿宋" w:cs="仿宋"/>
          <w:color w:val="222222"/>
          <w:kern w:val="0"/>
          <w:sz w:val="32"/>
          <w:szCs w:val="32"/>
        </w:rPr>
        <w:t>加强财务管理，严格财务审核。在费用报账支付时，按照预算规定的费用项目和用途进行资金使用审核、列报支付、财务核算，杜绝超支现象的发生。</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3</w:t>
      </w:r>
      <w:r>
        <w:rPr>
          <w:rFonts w:hint="eastAsia" w:ascii="仿宋" w:hAnsi="仿宋" w:eastAsia="仿宋" w:cs="仿宋"/>
          <w:color w:val="222222"/>
          <w:kern w:val="0"/>
          <w:sz w:val="32"/>
          <w:szCs w:val="32"/>
          <w:lang w:eastAsia="zh-CN"/>
        </w:rPr>
        <w:t>、</w:t>
      </w:r>
      <w:r>
        <w:rPr>
          <w:rFonts w:hint="eastAsia" w:ascii="仿宋" w:hAnsi="仿宋" w:eastAsia="仿宋" w:cs="仿宋"/>
          <w:color w:val="222222"/>
          <w:kern w:val="0"/>
          <w:sz w:val="32"/>
          <w:szCs w:val="32"/>
        </w:rPr>
        <w:t>持续抓好“三公”经费控制管理。严格控制“三公”经费的规模和比例，把关“三公”经费支出的审核、审批，杜绝挪用和挤占其他预算资金行为；进一步细化“三公”经费的管理，合理压缩“三公”经费支出。</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rPr>
      </w:pPr>
      <w:r>
        <w:rPr>
          <w:rFonts w:hint="eastAsia" w:ascii="仿宋" w:hAnsi="仿宋" w:eastAsia="仿宋" w:cs="仿宋"/>
          <w:color w:val="222222"/>
          <w:kern w:val="0"/>
          <w:sz w:val="32"/>
          <w:szCs w:val="32"/>
        </w:rPr>
        <w:t>4</w:t>
      </w:r>
      <w:r>
        <w:rPr>
          <w:rFonts w:hint="eastAsia" w:ascii="仿宋" w:hAnsi="仿宋" w:eastAsia="仿宋" w:cs="仿宋"/>
          <w:color w:val="222222"/>
          <w:kern w:val="0"/>
          <w:sz w:val="32"/>
          <w:szCs w:val="32"/>
          <w:lang w:eastAsia="zh-CN"/>
        </w:rPr>
        <w:t>、</w:t>
      </w:r>
      <w:r>
        <w:rPr>
          <w:rFonts w:hint="eastAsia" w:ascii="仿宋" w:hAnsi="仿宋" w:eastAsia="仿宋" w:cs="仿宋"/>
          <w:color w:val="222222"/>
          <w:kern w:val="0"/>
          <w:sz w:val="32"/>
          <w:szCs w:val="32"/>
        </w:rPr>
        <w:t>加强项目开展进度的跟踪，开展项目绩效评价，确保项目绩效目标的完成。</w:t>
      </w:r>
    </w:p>
    <w:p>
      <w:pPr>
        <w:keepNext w:val="0"/>
        <w:keepLines w:val="0"/>
        <w:pageBreakBefore w:val="0"/>
        <w:widowControl/>
        <w:kinsoku/>
        <w:wordWrap/>
        <w:overflowPunct/>
        <w:topLinePunct w:val="0"/>
        <w:autoSpaceDE/>
        <w:autoSpaceDN/>
        <w:bidi w:val="0"/>
        <w:adjustRightInd/>
        <w:snapToGrid/>
        <w:spacing w:line="540" w:lineRule="exact"/>
        <w:ind w:firstLine="8966" w:firstLineChars="2802"/>
        <w:jc w:val="left"/>
        <w:rPr>
          <w:rFonts w:hint="eastAsia" w:ascii="仿宋" w:hAnsi="仿宋" w:eastAsia="仿宋" w:cs="仿宋"/>
          <w:color w:val="222222"/>
          <w:kern w:val="0"/>
          <w:sz w:val="32"/>
          <w:szCs w:val="32"/>
        </w:rPr>
      </w:pPr>
    </w:p>
    <w:p>
      <w:pPr>
        <w:keepNext w:val="0"/>
        <w:keepLines w:val="0"/>
        <w:pageBreakBefore w:val="0"/>
        <w:widowControl/>
        <w:kinsoku/>
        <w:wordWrap/>
        <w:overflowPunct/>
        <w:topLinePunct w:val="0"/>
        <w:autoSpaceDE/>
        <w:autoSpaceDN/>
        <w:bidi w:val="0"/>
        <w:adjustRightInd/>
        <w:snapToGrid/>
        <w:spacing w:line="540" w:lineRule="exact"/>
        <w:ind w:firstLine="8966" w:firstLineChars="2802"/>
        <w:jc w:val="left"/>
        <w:rPr>
          <w:rFonts w:hint="eastAsia" w:ascii="仿宋" w:hAnsi="仿宋" w:eastAsia="仿宋" w:cs="仿宋"/>
          <w:color w:val="222222"/>
          <w:kern w:val="0"/>
          <w:sz w:val="32"/>
          <w:szCs w:val="32"/>
        </w:rPr>
      </w:pPr>
    </w:p>
    <w:p>
      <w:pPr>
        <w:keepNext w:val="0"/>
        <w:keepLines w:val="0"/>
        <w:pageBreakBefore w:val="0"/>
        <w:widowControl/>
        <w:kinsoku/>
        <w:wordWrap/>
        <w:overflowPunct/>
        <w:topLinePunct w:val="0"/>
        <w:autoSpaceDE/>
        <w:autoSpaceDN/>
        <w:bidi w:val="0"/>
        <w:adjustRightInd/>
        <w:snapToGrid/>
        <w:spacing w:line="540" w:lineRule="exact"/>
        <w:ind w:firstLine="5440" w:firstLineChars="1700"/>
        <w:jc w:val="left"/>
        <w:rPr>
          <w:rFonts w:hint="eastAsia" w:ascii="仿宋" w:hAnsi="仿宋" w:eastAsia="仿宋" w:cs="仿宋"/>
          <w:color w:val="222222"/>
          <w:kern w:val="0"/>
          <w:sz w:val="32"/>
          <w:szCs w:val="32"/>
          <w:lang w:eastAsia="zh-CN"/>
        </w:rPr>
      </w:pPr>
      <w:r>
        <w:rPr>
          <w:rFonts w:hint="eastAsia" w:ascii="仿宋" w:hAnsi="仿宋" w:eastAsia="仿宋" w:cs="仿宋"/>
          <w:color w:val="222222"/>
          <w:kern w:val="0"/>
          <w:sz w:val="32"/>
          <w:szCs w:val="32"/>
        </w:rPr>
        <w:t>武冈市</w:t>
      </w:r>
      <w:r>
        <w:rPr>
          <w:rFonts w:hint="eastAsia" w:ascii="仿宋" w:hAnsi="仿宋" w:eastAsia="仿宋" w:cs="仿宋"/>
          <w:color w:val="222222"/>
          <w:kern w:val="0"/>
          <w:sz w:val="32"/>
          <w:szCs w:val="32"/>
          <w:lang w:eastAsia="zh-CN"/>
        </w:rPr>
        <w:t>融媒体中心</w:t>
      </w:r>
    </w:p>
    <w:p>
      <w:pPr>
        <w:keepNext w:val="0"/>
        <w:keepLines w:val="0"/>
        <w:pageBreakBefore w:val="0"/>
        <w:widowControl/>
        <w:kinsoku/>
        <w:wordWrap/>
        <w:overflowPunct/>
        <w:topLinePunct w:val="0"/>
        <w:autoSpaceDE/>
        <w:autoSpaceDN/>
        <w:bidi w:val="0"/>
        <w:adjustRightInd/>
        <w:snapToGrid/>
        <w:spacing w:line="540" w:lineRule="exact"/>
        <w:ind w:firstLine="5440" w:firstLineChars="1700"/>
        <w:jc w:val="left"/>
        <w:rPr>
          <w:rFonts w:hint="eastAsia" w:ascii="仿宋" w:hAnsi="仿宋" w:eastAsia="仿宋" w:cs="仿宋"/>
          <w:color w:val="222222"/>
          <w:kern w:val="0"/>
          <w:sz w:val="32"/>
          <w:szCs w:val="32"/>
          <w:lang w:eastAsia="zh-CN"/>
        </w:rPr>
      </w:pPr>
      <w:r>
        <w:rPr>
          <w:rFonts w:hint="eastAsia" w:ascii="仿宋" w:hAnsi="仿宋" w:eastAsia="仿宋" w:cs="仿宋"/>
          <w:color w:val="222222"/>
          <w:kern w:val="0"/>
          <w:sz w:val="32"/>
          <w:szCs w:val="32"/>
        </w:rPr>
        <w:t>20</w:t>
      </w:r>
      <w:r>
        <w:rPr>
          <w:rFonts w:hint="eastAsia" w:ascii="仿宋" w:hAnsi="仿宋" w:eastAsia="仿宋" w:cs="仿宋"/>
          <w:color w:val="222222"/>
          <w:kern w:val="0"/>
          <w:sz w:val="32"/>
          <w:szCs w:val="32"/>
          <w:lang w:val="en-US" w:eastAsia="zh-CN"/>
        </w:rPr>
        <w:t>22</w:t>
      </w:r>
      <w:r>
        <w:rPr>
          <w:rFonts w:hint="eastAsia" w:ascii="仿宋" w:hAnsi="仿宋" w:eastAsia="仿宋" w:cs="仿宋"/>
          <w:color w:val="222222"/>
          <w:kern w:val="0"/>
          <w:sz w:val="32"/>
          <w:szCs w:val="32"/>
        </w:rPr>
        <w:t>年</w:t>
      </w:r>
      <w:r>
        <w:rPr>
          <w:rFonts w:hint="eastAsia" w:ascii="仿宋" w:hAnsi="仿宋" w:eastAsia="仿宋" w:cs="仿宋"/>
          <w:color w:val="222222"/>
          <w:kern w:val="0"/>
          <w:sz w:val="32"/>
          <w:szCs w:val="32"/>
          <w:lang w:val="en-US" w:eastAsia="zh-CN"/>
        </w:rPr>
        <w:t>7</w:t>
      </w:r>
      <w:r>
        <w:rPr>
          <w:rFonts w:hint="eastAsia" w:ascii="仿宋" w:hAnsi="仿宋" w:eastAsia="仿宋" w:cs="仿宋"/>
          <w:color w:val="222222"/>
          <w:kern w:val="0"/>
          <w:sz w:val="32"/>
          <w:szCs w:val="32"/>
        </w:rPr>
        <w:t>月</w:t>
      </w:r>
      <w:r>
        <w:rPr>
          <w:rFonts w:hint="eastAsia" w:ascii="仿宋" w:hAnsi="仿宋" w:eastAsia="仿宋" w:cs="仿宋"/>
          <w:color w:val="222222"/>
          <w:kern w:val="0"/>
          <w:sz w:val="32"/>
          <w:szCs w:val="32"/>
          <w:lang w:val="en-US" w:eastAsia="zh-CN"/>
        </w:rPr>
        <w:t>20</w:t>
      </w:r>
      <w:r>
        <w:rPr>
          <w:rFonts w:hint="eastAsia" w:ascii="仿宋" w:hAnsi="仿宋" w:eastAsia="仿宋" w:cs="仿宋"/>
          <w:color w:val="222222"/>
          <w:kern w:val="0"/>
          <w:sz w:val="32"/>
          <w:szCs w:val="32"/>
        </w:rPr>
        <w:t>日</w:t>
      </w:r>
    </w:p>
    <w:p>
      <w:pPr>
        <w:keepNext w:val="0"/>
        <w:keepLines w:val="0"/>
        <w:pageBreakBefore w:val="0"/>
        <w:widowControl/>
        <w:kinsoku/>
        <w:wordWrap/>
        <w:overflowPunct/>
        <w:topLinePunct w:val="0"/>
        <w:autoSpaceDE/>
        <w:autoSpaceDN/>
        <w:bidi w:val="0"/>
        <w:adjustRightInd/>
        <w:snapToGrid/>
        <w:spacing w:line="540" w:lineRule="exact"/>
        <w:ind w:firstLine="640"/>
        <w:jc w:val="left"/>
        <w:rPr>
          <w:rFonts w:hint="eastAsia" w:ascii="仿宋" w:hAnsi="仿宋" w:eastAsia="仿宋" w:cs="仿宋"/>
          <w:color w:val="222222"/>
          <w:kern w:val="0"/>
          <w:sz w:val="32"/>
          <w:szCs w:val="32"/>
          <w:lang w:eastAsia="zh-CN"/>
        </w:rPr>
      </w:pPr>
    </w:p>
    <w:p>
      <w:pPr>
        <w:keepNext w:val="0"/>
        <w:keepLines w:val="0"/>
        <w:pageBreakBefore w:val="0"/>
        <w:kinsoku/>
        <w:wordWrap/>
        <w:overflowPunct/>
        <w:topLinePunct w:val="0"/>
        <w:autoSpaceDE/>
        <w:autoSpaceDN/>
        <w:bidi w:val="0"/>
        <w:adjustRightInd/>
        <w:snapToGrid/>
        <w:spacing w:line="540" w:lineRule="exact"/>
        <w:rPr>
          <w:rFonts w:hint="eastAsia" w:ascii="仿宋" w:hAnsi="仿宋" w:eastAsia="仿宋" w:cs="仿宋"/>
          <w:color w:val="222222"/>
          <w:kern w:val="0"/>
          <w:sz w:val="32"/>
          <w:szCs w:val="32"/>
        </w:rPr>
      </w:pPr>
    </w:p>
    <w:p>
      <w:pPr>
        <w:keepNext w:val="0"/>
        <w:keepLines w:val="0"/>
        <w:pageBreakBefore w:val="0"/>
        <w:kinsoku/>
        <w:wordWrap/>
        <w:overflowPunct/>
        <w:topLinePunct w:val="0"/>
        <w:autoSpaceDE/>
        <w:autoSpaceDN/>
        <w:bidi w:val="0"/>
        <w:adjustRightInd/>
        <w:snapToGrid/>
        <w:spacing w:line="540" w:lineRule="exact"/>
        <w:rPr>
          <w:rFonts w:hint="eastAsia" w:ascii="仿宋" w:hAnsi="仿宋" w:eastAsia="仿宋" w:cs="仿宋"/>
          <w:color w:val="222222"/>
          <w:kern w:val="0"/>
          <w:sz w:val="32"/>
          <w:szCs w:val="32"/>
        </w:rPr>
      </w:pPr>
    </w:p>
    <w:sectPr>
      <w:footerReference r:id="rId3" w:type="default"/>
      <w:pgSz w:w="11906" w:h="16838"/>
      <w:pgMar w:top="1984" w:right="1701" w:bottom="170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GB2312">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5E9EA4"/>
    <w:multiLevelType w:val="singleLevel"/>
    <w:tmpl w:val="965E9EA4"/>
    <w:lvl w:ilvl="0" w:tentative="0">
      <w:start w:val="1"/>
      <w:numFmt w:val="decimal"/>
      <w:suff w:val="nothing"/>
      <w:lvlText w:val="%1、"/>
      <w:lvlJc w:val="left"/>
    </w:lvl>
  </w:abstractNum>
  <w:abstractNum w:abstractNumId="1">
    <w:nsid w:val="A613F8A2"/>
    <w:multiLevelType w:val="singleLevel"/>
    <w:tmpl w:val="A613F8A2"/>
    <w:lvl w:ilvl="0" w:tentative="0">
      <w:start w:val="1"/>
      <w:numFmt w:val="decimal"/>
      <w:suff w:val="nothing"/>
      <w:lvlText w:val="（%1）"/>
      <w:lvlJc w:val="left"/>
      <w:pPr>
        <w:ind w:left="-10"/>
      </w:pPr>
    </w:lvl>
  </w:abstractNum>
  <w:abstractNum w:abstractNumId="2">
    <w:nsid w:val="05A0029C"/>
    <w:multiLevelType w:val="singleLevel"/>
    <w:tmpl w:val="05A0029C"/>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TcxN2FmOTUwYjczNGQ3MmFmN2Q3ZDE2M2ViYjUifQ=="/>
  </w:docVars>
  <w:rsids>
    <w:rsidRoot w:val="561C410B"/>
    <w:rsid w:val="004A493A"/>
    <w:rsid w:val="00C16B0D"/>
    <w:rsid w:val="02983BA0"/>
    <w:rsid w:val="038D0D2A"/>
    <w:rsid w:val="039D7B38"/>
    <w:rsid w:val="040B4B98"/>
    <w:rsid w:val="04166B3C"/>
    <w:rsid w:val="04357D70"/>
    <w:rsid w:val="04896E5D"/>
    <w:rsid w:val="04BF0C1C"/>
    <w:rsid w:val="06B20878"/>
    <w:rsid w:val="073101B4"/>
    <w:rsid w:val="07DD5A6C"/>
    <w:rsid w:val="07EF46DA"/>
    <w:rsid w:val="0842603D"/>
    <w:rsid w:val="086C4BCC"/>
    <w:rsid w:val="086D02FC"/>
    <w:rsid w:val="086F75C9"/>
    <w:rsid w:val="0982373C"/>
    <w:rsid w:val="0ABF6C22"/>
    <w:rsid w:val="0B8B64C8"/>
    <w:rsid w:val="0BDC4F75"/>
    <w:rsid w:val="0C0868B5"/>
    <w:rsid w:val="0C1E5EC8"/>
    <w:rsid w:val="0D5A5442"/>
    <w:rsid w:val="0DF2282E"/>
    <w:rsid w:val="0E210EC3"/>
    <w:rsid w:val="0E5F51FD"/>
    <w:rsid w:val="0ECE243E"/>
    <w:rsid w:val="0ED87BB1"/>
    <w:rsid w:val="0EF82546"/>
    <w:rsid w:val="0F243E72"/>
    <w:rsid w:val="10402D76"/>
    <w:rsid w:val="11335637"/>
    <w:rsid w:val="116272CE"/>
    <w:rsid w:val="11C44690"/>
    <w:rsid w:val="12CA5B28"/>
    <w:rsid w:val="1306517C"/>
    <w:rsid w:val="13A24CF6"/>
    <w:rsid w:val="13E7095B"/>
    <w:rsid w:val="14BA7E1E"/>
    <w:rsid w:val="153E27FD"/>
    <w:rsid w:val="154A18A9"/>
    <w:rsid w:val="15C21508"/>
    <w:rsid w:val="16A55E92"/>
    <w:rsid w:val="16B054A9"/>
    <w:rsid w:val="17255A08"/>
    <w:rsid w:val="179200CA"/>
    <w:rsid w:val="17A55451"/>
    <w:rsid w:val="183B3024"/>
    <w:rsid w:val="189E05DF"/>
    <w:rsid w:val="198C7285"/>
    <w:rsid w:val="19956E96"/>
    <w:rsid w:val="19B46DCA"/>
    <w:rsid w:val="1AF75228"/>
    <w:rsid w:val="1BDB0DA5"/>
    <w:rsid w:val="1C752A5C"/>
    <w:rsid w:val="1C9C2A77"/>
    <w:rsid w:val="1CDD3A55"/>
    <w:rsid w:val="1D0F4191"/>
    <w:rsid w:val="1F576099"/>
    <w:rsid w:val="216E446A"/>
    <w:rsid w:val="25B604C0"/>
    <w:rsid w:val="2765310E"/>
    <w:rsid w:val="27932534"/>
    <w:rsid w:val="281A59D9"/>
    <w:rsid w:val="283E0CA8"/>
    <w:rsid w:val="296B43F5"/>
    <w:rsid w:val="29F80A48"/>
    <w:rsid w:val="2ADD1656"/>
    <w:rsid w:val="2BAE3DE1"/>
    <w:rsid w:val="2BEE242F"/>
    <w:rsid w:val="2C3A5674"/>
    <w:rsid w:val="2C6721E1"/>
    <w:rsid w:val="2CD51841"/>
    <w:rsid w:val="2CF35338"/>
    <w:rsid w:val="2D5B7DC7"/>
    <w:rsid w:val="2DB6620C"/>
    <w:rsid w:val="309319DA"/>
    <w:rsid w:val="30D93A05"/>
    <w:rsid w:val="3103697D"/>
    <w:rsid w:val="314C440E"/>
    <w:rsid w:val="316D3DF6"/>
    <w:rsid w:val="31B6166E"/>
    <w:rsid w:val="33295803"/>
    <w:rsid w:val="34E27CCB"/>
    <w:rsid w:val="356C4B17"/>
    <w:rsid w:val="36D32D22"/>
    <w:rsid w:val="38045615"/>
    <w:rsid w:val="387072B1"/>
    <w:rsid w:val="389A3401"/>
    <w:rsid w:val="38A467DA"/>
    <w:rsid w:val="38F250DB"/>
    <w:rsid w:val="3ACA22B9"/>
    <w:rsid w:val="3C441BBF"/>
    <w:rsid w:val="3D167151"/>
    <w:rsid w:val="3D3C240B"/>
    <w:rsid w:val="3EC62D97"/>
    <w:rsid w:val="3F19736B"/>
    <w:rsid w:val="3F4C2E78"/>
    <w:rsid w:val="3F77596E"/>
    <w:rsid w:val="405D772B"/>
    <w:rsid w:val="41F71DD8"/>
    <w:rsid w:val="42282731"/>
    <w:rsid w:val="426478A4"/>
    <w:rsid w:val="429944E7"/>
    <w:rsid w:val="442347E8"/>
    <w:rsid w:val="44DD6447"/>
    <w:rsid w:val="4687265B"/>
    <w:rsid w:val="46DF533E"/>
    <w:rsid w:val="46F02765"/>
    <w:rsid w:val="47C54D69"/>
    <w:rsid w:val="47D827AB"/>
    <w:rsid w:val="49060960"/>
    <w:rsid w:val="49C049B9"/>
    <w:rsid w:val="49EB5DA8"/>
    <w:rsid w:val="4B55797D"/>
    <w:rsid w:val="4C3C51CA"/>
    <w:rsid w:val="4C8449BE"/>
    <w:rsid w:val="4D315407"/>
    <w:rsid w:val="4D3D691B"/>
    <w:rsid w:val="4E2A3343"/>
    <w:rsid w:val="4E870795"/>
    <w:rsid w:val="54067384"/>
    <w:rsid w:val="54ED11B6"/>
    <w:rsid w:val="561C410B"/>
    <w:rsid w:val="569C2D46"/>
    <w:rsid w:val="56E322E1"/>
    <w:rsid w:val="5850122C"/>
    <w:rsid w:val="5A592E00"/>
    <w:rsid w:val="5AB279F5"/>
    <w:rsid w:val="5B6A4390"/>
    <w:rsid w:val="5B8B2DCD"/>
    <w:rsid w:val="5D465377"/>
    <w:rsid w:val="5E531E63"/>
    <w:rsid w:val="5E866707"/>
    <w:rsid w:val="5ED54C05"/>
    <w:rsid w:val="634B7B8C"/>
    <w:rsid w:val="63CD67F3"/>
    <w:rsid w:val="64813139"/>
    <w:rsid w:val="66914D54"/>
    <w:rsid w:val="67393BE9"/>
    <w:rsid w:val="686A1B8B"/>
    <w:rsid w:val="69216C99"/>
    <w:rsid w:val="69331A2A"/>
    <w:rsid w:val="69697544"/>
    <w:rsid w:val="6A5B215F"/>
    <w:rsid w:val="6A617C95"/>
    <w:rsid w:val="6AE54422"/>
    <w:rsid w:val="6BC27085"/>
    <w:rsid w:val="6C1425FA"/>
    <w:rsid w:val="6C2B437A"/>
    <w:rsid w:val="6C445178"/>
    <w:rsid w:val="6CC738EB"/>
    <w:rsid w:val="6D682314"/>
    <w:rsid w:val="6DBB76BC"/>
    <w:rsid w:val="7016437A"/>
    <w:rsid w:val="721254ED"/>
    <w:rsid w:val="725E4ABA"/>
    <w:rsid w:val="737C5B3F"/>
    <w:rsid w:val="73F61CC3"/>
    <w:rsid w:val="73FA1602"/>
    <w:rsid w:val="7418207D"/>
    <w:rsid w:val="75EF60D1"/>
    <w:rsid w:val="76393282"/>
    <w:rsid w:val="768E48B5"/>
    <w:rsid w:val="771A5453"/>
    <w:rsid w:val="772C79CC"/>
    <w:rsid w:val="776542ED"/>
    <w:rsid w:val="77BC650A"/>
    <w:rsid w:val="77E10AD4"/>
    <w:rsid w:val="783C28A7"/>
    <w:rsid w:val="78482494"/>
    <w:rsid w:val="79404F19"/>
    <w:rsid w:val="79984D55"/>
    <w:rsid w:val="7AF338F2"/>
    <w:rsid w:val="7B86620A"/>
    <w:rsid w:val="7BA55FE8"/>
    <w:rsid w:val="7D080A8E"/>
    <w:rsid w:val="7DAD5833"/>
    <w:rsid w:val="7DBA34EC"/>
    <w:rsid w:val="7DBB54B6"/>
    <w:rsid w:val="7ED625A7"/>
    <w:rsid w:val="7F5F1C70"/>
    <w:rsid w:val="7FAA57E2"/>
    <w:rsid w:val="7FD15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snapToGrid w:val="0"/>
      <w:spacing w:after="0" w:line="660" w:lineRule="exact"/>
      <w:ind w:left="0" w:leftChars="0" w:firstLine="420" w:firstLineChars="200"/>
    </w:pPr>
    <w:rPr>
      <w:rFonts w:ascii="??_GB2312" w:eastAsia="Times New Roman"/>
      <w:kern w:val="0"/>
      <w:sz w:val="32"/>
      <w:szCs w:val="32"/>
    </w:rPr>
  </w:style>
  <w:style w:type="paragraph" w:customStyle="1" w:styleId="3">
    <w:name w:val="BodyTextIndent"/>
    <w:basedOn w:val="1"/>
    <w:qFormat/>
    <w:uiPriority w:val="0"/>
    <w:pPr>
      <w:spacing w:after="120"/>
      <w:ind w:left="420" w:leftChars="200"/>
      <w:textAlignment w:val="baseline"/>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6497</Words>
  <Characters>7290</Characters>
  <Lines>0</Lines>
  <Paragraphs>0</Paragraphs>
  <TotalTime>54</TotalTime>
  <ScaleCrop>false</ScaleCrop>
  <LinksUpToDate>false</LinksUpToDate>
  <CharactersWithSpaces>7374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2022-07-04T08:57:00Z</dcterms:created>
  <dc:creator>张</dc:creator>
  <cp:lastModifiedBy>飘雪</cp:lastModifiedBy>
  <dcterms:modified xsi:type="dcterms:W3CDTF">2022-07-20T01:05:59Z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1165417720AE48A9BC9A0A0AB5367103</vt:lpwstr>
  </property>
</Properties>
</file>