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F5" w:rsidRDefault="00C21752">
      <w:pPr>
        <w:pStyle w:val="a3"/>
        <w:widowControl/>
        <w:spacing w:beforeAutospacing="0" w:afterAutospacing="0"/>
        <w:rPr>
          <w:rFonts w:ascii="Calibri" w:hAnsi="Calibri" w:cs="Calibri" w:hint="default"/>
          <w:sz w:val="52"/>
          <w:szCs w:val="52"/>
        </w:rPr>
      </w:pPr>
      <w:r>
        <w:rPr>
          <w:rFonts w:ascii="宋体" w:eastAsia="宋体" w:hAnsi="宋体" w:cs="宋体"/>
          <w:bCs/>
          <w:sz w:val="52"/>
          <w:szCs w:val="52"/>
        </w:rPr>
        <w:t>附件</w:t>
      </w:r>
    </w:p>
    <w:p w:rsidR="00E326F5" w:rsidRDefault="00E326F5">
      <w:pPr>
        <w:pStyle w:val="a3"/>
        <w:widowControl/>
        <w:spacing w:beforeAutospacing="0" w:afterAutospacing="0" w:line="600" w:lineRule="atLeast"/>
        <w:jc w:val="center"/>
        <w:rPr>
          <w:rFonts w:ascii="宋体" w:eastAsia="宋体" w:hAnsi="宋体" w:cs="宋体" w:hint="default"/>
          <w:szCs w:val="24"/>
        </w:rPr>
      </w:pPr>
    </w:p>
    <w:p w:rsidR="00E326F5" w:rsidRDefault="00C21752">
      <w:pPr>
        <w:pStyle w:val="a3"/>
        <w:spacing w:beforeAutospacing="0" w:afterAutospacing="0" w:line="600" w:lineRule="exact"/>
        <w:jc w:val="center"/>
        <w:rPr>
          <w:rFonts w:ascii="黑体" w:eastAsia="黑体" w:hAnsi="Calibri" w:hint="default"/>
          <w:color w:val="333333"/>
          <w:sz w:val="21"/>
          <w:szCs w:val="21"/>
        </w:rPr>
      </w:pPr>
      <w:r>
        <w:rPr>
          <w:rFonts w:ascii="黑体" w:eastAsia="黑体"/>
          <w:color w:val="333333"/>
          <w:sz w:val="44"/>
          <w:szCs w:val="44"/>
        </w:rPr>
        <w:t>武冈市财政</w:t>
      </w:r>
      <w:r w:rsidR="004D335C">
        <w:rPr>
          <w:rFonts w:ascii="黑体" w:eastAsia="黑体"/>
          <w:color w:val="333333"/>
          <w:sz w:val="44"/>
          <w:szCs w:val="44"/>
        </w:rPr>
        <w:t>国库集中支付中心</w:t>
      </w:r>
    </w:p>
    <w:p w:rsidR="00E326F5" w:rsidRDefault="00C21752">
      <w:pPr>
        <w:pStyle w:val="a3"/>
        <w:spacing w:beforeAutospacing="0" w:afterAutospacing="0" w:line="600" w:lineRule="exact"/>
        <w:jc w:val="center"/>
        <w:rPr>
          <w:rFonts w:ascii="黑体" w:eastAsia="黑体" w:hAnsi="Calibri" w:hint="default"/>
          <w:color w:val="333333"/>
          <w:sz w:val="21"/>
          <w:szCs w:val="21"/>
        </w:rPr>
      </w:pPr>
      <w:r>
        <w:rPr>
          <w:rFonts w:ascii="黑体" w:eastAsia="黑体"/>
          <w:color w:val="333333"/>
          <w:sz w:val="44"/>
          <w:szCs w:val="44"/>
        </w:rPr>
        <w:t>2021年度部门整体支出绩效自评报告</w:t>
      </w:r>
    </w:p>
    <w:p w:rsidR="00E326F5" w:rsidRDefault="00E326F5">
      <w:pPr>
        <w:widowControl/>
        <w:shd w:val="clear" w:color="auto" w:fill="FFFFFF"/>
        <w:spacing w:line="580" w:lineRule="atLeast"/>
        <w:rPr>
          <w:rFonts w:ascii="Calibri" w:hAnsi="Calibri" w:hint="default"/>
          <w:color w:val="333333"/>
          <w:szCs w:val="21"/>
        </w:rPr>
      </w:pPr>
    </w:p>
    <w:p w:rsidR="00E326F5" w:rsidRDefault="00C21752">
      <w:pPr>
        <w:widowControl/>
        <w:shd w:val="clear" w:color="auto" w:fill="FFFFFF"/>
        <w:spacing w:line="640" w:lineRule="exact"/>
        <w:ind w:firstLineChars="200" w:firstLine="640"/>
        <w:rPr>
          <w:rFonts w:asciiTheme="minorEastAsia" w:eastAsiaTheme="minorEastAsia" w:hAnsiTheme="minorEastAsia" w:cs="仿宋_GB2312" w:hint="default"/>
          <w:color w:val="545454"/>
          <w:szCs w:val="32"/>
        </w:rPr>
      </w:pPr>
      <w:r>
        <w:rPr>
          <w:rFonts w:asciiTheme="minorEastAsia" w:eastAsiaTheme="minorEastAsia" w:hAnsiTheme="minorEastAsia" w:cs="仿宋_GB2312"/>
          <w:color w:val="222222"/>
          <w:szCs w:val="32"/>
        </w:rPr>
        <w:t>根据《武冈市</w:t>
      </w:r>
      <w:r w:rsidR="004D335C" w:rsidRPr="004D335C">
        <w:rPr>
          <w:rFonts w:ascii="黑体" w:eastAsia="黑体"/>
          <w:color w:val="333333"/>
          <w:szCs w:val="32"/>
        </w:rPr>
        <w:t>财政国库集中支付中心</w:t>
      </w:r>
      <w:r>
        <w:rPr>
          <w:rFonts w:asciiTheme="minorEastAsia" w:eastAsiaTheme="minorEastAsia" w:hAnsiTheme="minorEastAsia" w:cs="仿宋_GB2312"/>
          <w:color w:val="222222"/>
          <w:szCs w:val="32"/>
        </w:rPr>
        <w:t>关于开展202</w:t>
      </w:r>
      <w:r>
        <w:rPr>
          <w:rFonts w:asciiTheme="minorEastAsia" w:eastAsiaTheme="minorEastAsia" w:hAnsiTheme="minorEastAsia" w:cs="仿宋_GB2312"/>
          <w:color w:val="222222"/>
          <w:szCs w:val="32"/>
          <w:lang w:val="en-US" w:eastAsia="zh-CN"/>
        </w:rPr>
        <w:t>1</w:t>
      </w:r>
      <w:r>
        <w:rPr>
          <w:rFonts w:asciiTheme="minorEastAsia" w:eastAsiaTheme="minorEastAsia" w:hAnsiTheme="minorEastAsia" w:cs="仿宋_GB2312"/>
          <w:color w:val="222222"/>
          <w:szCs w:val="32"/>
        </w:rPr>
        <w:t>年度项目和整体支出绩效自评的通知》和财政部门关于预算绩效评价的有关要求，现将我单位部门整体支出绩效评价情况报告如下：</w:t>
      </w:r>
    </w:p>
    <w:p w:rsidR="00E326F5" w:rsidRDefault="00C21752">
      <w:pPr>
        <w:widowControl/>
        <w:spacing w:line="640" w:lineRule="exact"/>
        <w:ind w:firstLine="640"/>
        <w:rPr>
          <w:rFonts w:asciiTheme="minorEastAsia" w:eastAsiaTheme="minorEastAsia" w:hAnsiTheme="minorEastAsia" w:cs="仿宋_GB2312" w:hint="default"/>
          <w:b/>
          <w:bCs/>
          <w:color w:val="333333"/>
          <w:szCs w:val="32"/>
        </w:rPr>
      </w:pPr>
      <w:r>
        <w:rPr>
          <w:rFonts w:asciiTheme="minorEastAsia" w:eastAsiaTheme="minorEastAsia" w:hAnsiTheme="minorEastAsia" w:cs="仿宋_GB2312"/>
          <w:b/>
          <w:bCs/>
          <w:color w:val="333333"/>
          <w:szCs w:val="32"/>
        </w:rPr>
        <w:t>一、基本情况及其职能</w:t>
      </w:r>
    </w:p>
    <w:p w:rsidR="003D1884" w:rsidRDefault="00C21752" w:rsidP="003D1884">
      <w:pPr>
        <w:rPr>
          <w:rFonts w:hint="default"/>
        </w:rPr>
      </w:pPr>
      <w:r>
        <w:rPr>
          <w:rFonts w:asciiTheme="minorEastAsia" w:eastAsiaTheme="minorEastAsia" w:hAnsiTheme="minorEastAsia" w:cs="仿宋_GB2312"/>
          <w:b/>
          <w:bCs/>
          <w:color w:val="333333"/>
          <w:szCs w:val="32"/>
        </w:rPr>
        <w:t>（</w:t>
      </w:r>
      <w:r w:rsidR="003D1884">
        <w:t>一）内设机构设置。武武冈市财政国库集中支付中心事业编制</w:t>
      </w:r>
      <w:r w:rsidR="003D1884">
        <w:t>34</w:t>
      </w:r>
      <w:r w:rsidR="003D1884">
        <w:t>名</w:t>
      </w:r>
      <w:r w:rsidR="003D1884">
        <w:t>,</w:t>
      </w:r>
      <w:r w:rsidR="003D1884">
        <w:t>在职在岗</w:t>
      </w:r>
      <w:r w:rsidR="003D1884">
        <w:t>23</w:t>
      </w:r>
      <w:r w:rsidR="003D1884">
        <w:t>人，设综合股、支付一股、支付二股、工资统发股、审核稽查股、财政投融资平台管理股共</w:t>
      </w:r>
      <w:r w:rsidR="003D1884">
        <w:t>6</w:t>
      </w:r>
      <w:r w:rsidR="003D1884">
        <w:t>个内设机构。</w:t>
      </w:r>
    </w:p>
    <w:p w:rsidR="003D1884" w:rsidRDefault="003D1884" w:rsidP="003D1884">
      <w:pPr>
        <w:rPr>
          <w:rFonts w:hint="default"/>
        </w:rPr>
      </w:pPr>
    </w:p>
    <w:p w:rsidR="003D1884" w:rsidRDefault="003D1884" w:rsidP="003D1884">
      <w:pPr>
        <w:rPr>
          <w:rFonts w:hint="default"/>
        </w:rPr>
      </w:pPr>
      <w:r>
        <w:t> </w:t>
      </w:r>
    </w:p>
    <w:p w:rsidR="003D1884" w:rsidRDefault="003D1884" w:rsidP="003D1884">
      <w:pPr>
        <w:rPr>
          <w:rFonts w:hint="default"/>
        </w:rPr>
      </w:pPr>
    </w:p>
    <w:p w:rsidR="003D1884" w:rsidRDefault="003D1884" w:rsidP="003D1884">
      <w:pPr>
        <w:rPr>
          <w:rFonts w:hint="default"/>
        </w:rPr>
      </w:pPr>
      <w:r>
        <w:t>（二）决算单位构成。武冈市财政国库集中支付中心单位</w:t>
      </w:r>
      <w:r>
        <w:t>2021</w:t>
      </w:r>
      <w:r>
        <w:t>年部门决算汇总公开单位构成包括：武冈市财政国库集中支付中心单位本级。</w:t>
      </w:r>
    </w:p>
    <w:p w:rsidR="00E326F5" w:rsidRDefault="00E326F5" w:rsidP="003D1884">
      <w:pPr>
        <w:widowControl/>
        <w:spacing w:line="640" w:lineRule="exact"/>
        <w:ind w:firstLine="643"/>
        <w:rPr>
          <w:rFonts w:asciiTheme="minorEastAsia" w:eastAsiaTheme="minorEastAsia" w:hAnsiTheme="minorEastAsia" w:cs="仿宋_GB2312" w:hint="default"/>
          <w:szCs w:val="32"/>
        </w:rPr>
      </w:pPr>
    </w:p>
    <w:p w:rsidR="00E326F5" w:rsidRDefault="00C21752">
      <w:pPr>
        <w:spacing w:line="640" w:lineRule="exact"/>
        <w:ind w:firstLineChars="221" w:firstLine="710"/>
        <w:rPr>
          <w:rFonts w:asciiTheme="minorEastAsia" w:eastAsiaTheme="minorEastAsia" w:hAnsiTheme="minorEastAsia" w:cs="仿宋_GB2312" w:hint="default"/>
          <w:b/>
          <w:bCs/>
          <w:color w:val="333333"/>
          <w:szCs w:val="32"/>
        </w:rPr>
      </w:pPr>
      <w:r>
        <w:rPr>
          <w:rFonts w:asciiTheme="minorEastAsia" w:eastAsiaTheme="minorEastAsia" w:hAnsiTheme="minorEastAsia" w:cs="仿宋_GB2312"/>
          <w:b/>
          <w:bCs/>
          <w:color w:val="333333"/>
          <w:szCs w:val="32"/>
        </w:rPr>
        <w:t>（二）、单位主要职责</w:t>
      </w:r>
    </w:p>
    <w:p w:rsidR="00BB362C" w:rsidRDefault="00C21752" w:rsidP="00BB362C">
      <w:pPr>
        <w:rPr>
          <w:rFonts w:hint="default"/>
        </w:rPr>
      </w:pPr>
      <w:r>
        <w:rPr>
          <w:rFonts w:asciiTheme="minorEastAsia" w:eastAsiaTheme="minorEastAsia" w:hAnsiTheme="minorEastAsia" w:cs="仿宋_GB2312"/>
          <w:szCs w:val="32"/>
        </w:rPr>
        <w:t>（一</w:t>
      </w:r>
      <w:r w:rsidR="00BB362C">
        <w:t>预算指标及用款计划管理。审核国库股核批的部门用款计划，复核部门预算指标、用款计划，监控部门预算指标用款计划余额。</w:t>
      </w:r>
    </w:p>
    <w:p w:rsidR="00BB362C" w:rsidRDefault="00BB362C" w:rsidP="00BB362C">
      <w:pPr>
        <w:rPr>
          <w:rFonts w:hint="default"/>
        </w:rPr>
      </w:pPr>
    </w:p>
    <w:p w:rsidR="00BB362C" w:rsidRDefault="00BB362C" w:rsidP="00BB362C">
      <w:pPr>
        <w:rPr>
          <w:rFonts w:hint="default"/>
        </w:rPr>
      </w:pPr>
      <w:r>
        <w:t>2</w:t>
      </w:r>
      <w:r>
        <w:t>、办理财政资金支付。接受并审核部门报送的财政直接支付申请，核定财政直接支付金额，开具财政直接支付指令；按计划下达财政授权支付额度通知，监督市级预算单位授权支付业务；登记国库集中支付收支总账、分类账和明细账；按期与国库股、预算单位和代理银行对账；确定国库集中支付代理银行，监督代理银行办理财政资金直接支付与财政资金授权支付业务。</w:t>
      </w:r>
    </w:p>
    <w:p w:rsidR="00BB362C" w:rsidRDefault="00BB362C" w:rsidP="00BB362C">
      <w:pPr>
        <w:rPr>
          <w:rFonts w:hint="default"/>
        </w:rPr>
      </w:pPr>
    </w:p>
    <w:p w:rsidR="00BB362C" w:rsidRDefault="00BB362C" w:rsidP="00BB362C">
      <w:pPr>
        <w:rPr>
          <w:rFonts w:hint="default"/>
        </w:rPr>
      </w:pPr>
      <w:r>
        <w:t>3</w:t>
      </w:r>
      <w:r>
        <w:t>、办理工资财政统发。会同有关部门建设和完善工资财政统发信息系统；办理全市预算单位工资财政统发业务。</w:t>
      </w:r>
    </w:p>
    <w:p w:rsidR="00BB362C" w:rsidRDefault="00BB362C" w:rsidP="00BB362C">
      <w:pPr>
        <w:rPr>
          <w:rFonts w:hint="default"/>
        </w:rPr>
      </w:pPr>
    </w:p>
    <w:p w:rsidR="00BB362C" w:rsidRDefault="00BB362C" w:rsidP="00BB362C">
      <w:pPr>
        <w:rPr>
          <w:rFonts w:hint="default"/>
        </w:rPr>
      </w:pPr>
      <w:r>
        <w:t>4</w:t>
      </w:r>
      <w:r>
        <w:t>、办理财政专户记账核算业务。办理全市财政专户资金收付款业务，登记财政专户收支总账、分类账和明细账。</w:t>
      </w:r>
    </w:p>
    <w:p w:rsidR="00BB362C" w:rsidRDefault="00BB362C" w:rsidP="00BB362C">
      <w:pPr>
        <w:rPr>
          <w:rFonts w:hint="default"/>
        </w:rPr>
      </w:pPr>
    </w:p>
    <w:p w:rsidR="00BB362C" w:rsidRDefault="00BB362C" w:rsidP="00BB362C">
      <w:pPr>
        <w:rPr>
          <w:rFonts w:hint="default"/>
        </w:rPr>
      </w:pPr>
      <w:r>
        <w:lastRenderedPageBreak/>
        <w:t>5</w:t>
      </w:r>
      <w:r>
        <w:t>、建设并维护支付管理信息系统。会同有关部门建设和完善国库集中支付管理信息系统；负责系统管理；办理市级国库集中支付动态监控工作。</w:t>
      </w:r>
    </w:p>
    <w:p w:rsidR="00BB362C" w:rsidRDefault="00BB362C" w:rsidP="00BB362C">
      <w:pPr>
        <w:rPr>
          <w:rFonts w:hint="default"/>
        </w:rPr>
      </w:pPr>
    </w:p>
    <w:p w:rsidR="00BB362C" w:rsidRDefault="00BB362C" w:rsidP="00BB362C">
      <w:pPr>
        <w:rPr>
          <w:rFonts w:hint="default"/>
        </w:rPr>
      </w:pPr>
      <w:r>
        <w:t>6</w:t>
      </w:r>
      <w:r>
        <w:t>、内部监督检查。推进财政国库管理制度改革，制定内部监督制度，对财政支付机构和支付系统内部进行监督检查；受理预算单位及收款人投诉；对资金收付过程进行监测并对疑点问题进行核查。</w:t>
      </w:r>
    </w:p>
    <w:p w:rsidR="00BB362C" w:rsidRDefault="00BB362C" w:rsidP="00BB362C">
      <w:pPr>
        <w:rPr>
          <w:rFonts w:hint="default"/>
        </w:rPr>
      </w:pPr>
    </w:p>
    <w:p w:rsidR="00BB362C" w:rsidRDefault="00BB362C" w:rsidP="00BB362C">
      <w:pPr>
        <w:rPr>
          <w:rFonts w:hint="default"/>
        </w:rPr>
      </w:pPr>
      <w:r>
        <w:t>7</w:t>
      </w:r>
      <w:r>
        <w:t>、会计集中核算管理。负责市政府委托的全市财政投融资资金及全市临时机构会计集中核算工作。</w:t>
      </w:r>
    </w:p>
    <w:p w:rsidR="00BB362C" w:rsidRDefault="00BB362C" w:rsidP="00BB362C">
      <w:pPr>
        <w:rPr>
          <w:rFonts w:hint="default"/>
        </w:rPr>
      </w:pPr>
    </w:p>
    <w:p w:rsidR="00BB362C" w:rsidRDefault="00BB362C" w:rsidP="00BB362C">
      <w:pPr>
        <w:rPr>
          <w:rFonts w:hint="default"/>
        </w:rPr>
      </w:pPr>
      <w:r>
        <w:t>8</w:t>
      </w:r>
      <w:r>
        <w:t>、负责对市政府安排的财政拨款人数较少、收支规模较小、不具备独立会计核算条件的预算单位实行代理记账，并负责对各预算单位财务人员进行业务培训和指导；负责对市政府安排的全市行政事业单位工资统发社会保险费、财政投融资项目税收等相关税费实施代扣代缴工作。</w:t>
      </w:r>
    </w:p>
    <w:p w:rsidR="00BB362C" w:rsidRDefault="00BB362C" w:rsidP="00BB362C">
      <w:pPr>
        <w:rPr>
          <w:rFonts w:hint="default"/>
        </w:rPr>
      </w:pPr>
    </w:p>
    <w:p w:rsidR="00BB362C" w:rsidRDefault="00BB362C" w:rsidP="00BB362C">
      <w:pPr>
        <w:rPr>
          <w:rFonts w:hint="default"/>
        </w:rPr>
      </w:pPr>
      <w:r>
        <w:t>9</w:t>
      </w:r>
      <w:r>
        <w:t>、承担市财政局交办的其他工作。</w:t>
      </w:r>
    </w:p>
    <w:p w:rsidR="00BB362C" w:rsidRDefault="00BB362C" w:rsidP="00BB362C">
      <w:pPr>
        <w:rPr>
          <w:rFonts w:hint="default"/>
        </w:rPr>
      </w:pPr>
    </w:p>
    <w:p w:rsidR="00E326F5" w:rsidRDefault="00C21752" w:rsidP="00BB362C">
      <w:pPr>
        <w:widowControl/>
        <w:shd w:val="clear" w:color="auto" w:fill="FFFFFF"/>
        <w:spacing w:line="640" w:lineRule="exact"/>
        <w:ind w:firstLineChars="150" w:firstLine="482"/>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rPr>
        <w:lastRenderedPageBreak/>
        <w:t>二、202</w:t>
      </w:r>
      <w:r>
        <w:rPr>
          <w:rFonts w:asciiTheme="minorEastAsia" w:eastAsiaTheme="minorEastAsia" w:hAnsiTheme="minorEastAsia" w:cs="仿宋_GB2312"/>
          <w:b/>
          <w:bCs/>
          <w:szCs w:val="32"/>
          <w:lang w:val="en-US" w:eastAsia="zh-CN"/>
        </w:rPr>
        <w:t>1</w:t>
      </w:r>
      <w:r>
        <w:rPr>
          <w:rFonts w:asciiTheme="minorEastAsia" w:eastAsiaTheme="minorEastAsia" w:hAnsiTheme="minorEastAsia" w:cs="仿宋_GB2312"/>
          <w:b/>
          <w:bCs/>
          <w:szCs w:val="32"/>
        </w:rPr>
        <w:t>年整体收支情况</w:t>
      </w:r>
    </w:p>
    <w:p w:rsidR="00E326F5" w:rsidRDefault="00C21752">
      <w:pPr>
        <w:spacing w:line="640" w:lineRule="exact"/>
        <w:ind w:firstLineChars="200" w:firstLine="640"/>
        <w:rPr>
          <w:rFonts w:asciiTheme="minorEastAsia" w:eastAsiaTheme="minorEastAsia" w:hAnsiTheme="minorEastAsia" w:cs="仿宋_GB2312" w:hint="default"/>
          <w:szCs w:val="32"/>
        </w:rPr>
      </w:pPr>
      <w:r>
        <w:rPr>
          <w:rFonts w:asciiTheme="minorEastAsia" w:eastAsiaTheme="minorEastAsia" w:hAnsiTheme="minorEastAsia" w:cs="仿宋_GB2312"/>
          <w:szCs w:val="32"/>
        </w:rPr>
        <w:t>202</w:t>
      </w:r>
      <w:r>
        <w:rPr>
          <w:rFonts w:asciiTheme="minorEastAsia" w:eastAsiaTheme="minorEastAsia" w:hAnsiTheme="minorEastAsia" w:cs="仿宋_GB2312"/>
          <w:szCs w:val="32"/>
          <w:lang w:val="en-US" w:eastAsia="zh-CN"/>
        </w:rPr>
        <w:t>1</w:t>
      </w:r>
      <w:r>
        <w:rPr>
          <w:rFonts w:asciiTheme="minorEastAsia" w:eastAsiaTheme="minorEastAsia" w:hAnsiTheme="minorEastAsia" w:cs="仿宋_GB2312"/>
          <w:szCs w:val="32"/>
        </w:rPr>
        <w:t>年度一般公共预算财政拨款</w:t>
      </w:r>
      <w:r>
        <w:rPr>
          <w:rFonts w:asciiTheme="minorEastAsia" w:eastAsiaTheme="minorEastAsia" w:hAnsiTheme="minorEastAsia" w:cs="仿宋_GB2312"/>
          <w:szCs w:val="32"/>
          <w:lang w:eastAsia="zh-CN"/>
        </w:rPr>
        <w:t>收入</w:t>
      </w:r>
      <w:r w:rsidR="00BC0685">
        <w:rPr>
          <w:rFonts w:asciiTheme="minorEastAsia" w:eastAsiaTheme="minorEastAsia" w:hAnsiTheme="minorEastAsia" w:cs="仿宋_GB2312"/>
          <w:szCs w:val="32"/>
          <w:lang w:val="en-US" w:eastAsia="zh-CN"/>
        </w:rPr>
        <w:t>530.10</w:t>
      </w:r>
      <w:r>
        <w:rPr>
          <w:rFonts w:asciiTheme="minorEastAsia" w:eastAsiaTheme="minorEastAsia" w:hAnsiTheme="minorEastAsia" w:cs="仿宋_GB2312"/>
          <w:szCs w:val="32"/>
        </w:rPr>
        <w:t>万元，</w:t>
      </w:r>
      <w:r>
        <w:rPr>
          <w:rFonts w:asciiTheme="minorEastAsia" w:eastAsiaTheme="minorEastAsia" w:hAnsiTheme="minorEastAsia" w:cs="仿宋_GB2312"/>
          <w:szCs w:val="32"/>
          <w:lang w:eastAsia="zh-CN"/>
        </w:rPr>
        <w:t>其他收入</w:t>
      </w:r>
      <w:r w:rsidR="00BC0685">
        <w:rPr>
          <w:rFonts w:asciiTheme="minorEastAsia" w:eastAsiaTheme="minorEastAsia" w:hAnsiTheme="minorEastAsia" w:cs="仿宋_GB2312"/>
          <w:szCs w:val="32"/>
          <w:lang w:val="en-US" w:eastAsia="zh-CN"/>
        </w:rPr>
        <w:t>59.5</w:t>
      </w:r>
      <w:r>
        <w:rPr>
          <w:rFonts w:asciiTheme="minorEastAsia" w:eastAsiaTheme="minorEastAsia" w:hAnsiTheme="minorEastAsia" w:cs="仿宋_GB2312"/>
          <w:szCs w:val="32"/>
          <w:lang w:val="en-US" w:eastAsia="zh-CN"/>
        </w:rPr>
        <w:t>万元，</w:t>
      </w:r>
      <w:r>
        <w:rPr>
          <w:rFonts w:asciiTheme="minorEastAsia" w:eastAsiaTheme="minorEastAsia" w:hAnsiTheme="minorEastAsia" w:cs="仿宋_GB2312"/>
          <w:szCs w:val="32"/>
        </w:rPr>
        <w:t>本年支出合计</w:t>
      </w:r>
      <w:r w:rsidR="00BC0685">
        <w:rPr>
          <w:rFonts w:asciiTheme="minorEastAsia" w:eastAsiaTheme="minorEastAsia" w:hAnsiTheme="minorEastAsia" w:cs="仿宋_GB2312"/>
          <w:szCs w:val="32"/>
          <w:lang w:val="en-US" w:eastAsia="zh-CN"/>
        </w:rPr>
        <w:t>589.15</w:t>
      </w:r>
      <w:r>
        <w:rPr>
          <w:rFonts w:asciiTheme="minorEastAsia" w:eastAsiaTheme="minorEastAsia" w:hAnsiTheme="minorEastAsia" w:cs="仿宋_GB2312"/>
          <w:szCs w:val="32"/>
        </w:rPr>
        <w:t>万元，年末结转和结余0元。</w:t>
      </w:r>
    </w:p>
    <w:p w:rsidR="00E326F5" w:rsidRDefault="00C21752">
      <w:pPr>
        <w:spacing w:line="640" w:lineRule="exact"/>
        <w:ind w:firstLineChars="200" w:firstLine="640"/>
        <w:rPr>
          <w:rFonts w:asciiTheme="minorEastAsia" w:eastAsiaTheme="minorEastAsia" w:hAnsiTheme="minorEastAsia" w:cs="仿宋_GB2312" w:hint="default"/>
          <w:szCs w:val="32"/>
        </w:rPr>
      </w:pPr>
      <w:r>
        <w:rPr>
          <w:rFonts w:asciiTheme="minorEastAsia" w:eastAsiaTheme="minorEastAsia" w:hAnsiTheme="minorEastAsia" w:cs="仿宋_GB2312"/>
          <w:szCs w:val="32"/>
        </w:rPr>
        <w:t>202</w:t>
      </w:r>
      <w:r>
        <w:rPr>
          <w:rFonts w:asciiTheme="minorEastAsia" w:eastAsiaTheme="minorEastAsia" w:hAnsiTheme="minorEastAsia" w:cs="仿宋_GB2312"/>
          <w:szCs w:val="32"/>
          <w:lang w:val="en-US" w:eastAsia="zh-CN"/>
        </w:rPr>
        <w:t>1</w:t>
      </w:r>
      <w:r>
        <w:rPr>
          <w:rFonts w:asciiTheme="minorEastAsia" w:eastAsiaTheme="minorEastAsia" w:hAnsiTheme="minorEastAsia" w:cs="仿宋_GB2312"/>
          <w:szCs w:val="32"/>
        </w:rPr>
        <w:t>年度基本支出总计</w:t>
      </w:r>
      <w:r w:rsidR="00BC0685">
        <w:rPr>
          <w:rFonts w:asciiTheme="minorEastAsia" w:eastAsiaTheme="minorEastAsia" w:hAnsiTheme="minorEastAsia" w:cs="仿宋_GB2312"/>
          <w:szCs w:val="32"/>
          <w:lang w:val="en-US" w:eastAsia="zh-CN"/>
        </w:rPr>
        <w:t>589.15</w:t>
      </w:r>
      <w:r>
        <w:rPr>
          <w:rFonts w:asciiTheme="minorEastAsia" w:eastAsiaTheme="minorEastAsia" w:hAnsiTheme="minorEastAsia" w:cs="仿宋_GB2312"/>
          <w:szCs w:val="32"/>
        </w:rPr>
        <w:t>万元。其中一般公共预算财政拨款收入支出</w:t>
      </w:r>
      <w:r w:rsidR="00BC0685">
        <w:rPr>
          <w:rFonts w:asciiTheme="minorEastAsia" w:eastAsiaTheme="minorEastAsia" w:hAnsiTheme="minorEastAsia" w:cs="仿宋_GB2312"/>
          <w:szCs w:val="32"/>
          <w:lang w:val="en-US" w:eastAsia="zh-CN"/>
        </w:rPr>
        <w:t>530.10</w:t>
      </w:r>
      <w:r>
        <w:rPr>
          <w:rFonts w:asciiTheme="minorEastAsia" w:eastAsiaTheme="minorEastAsia" w:hAnsiTheme="minorEastAsia" w:cs="仿宋_GB2312"/>
          <w:szCs w:val="32"/>
        </w:rPr>
        <w:t>万元，具体为</w:t>
      </w:r>
      <w:r>
        <w:rPr>
          <w:rFonts w:asciiTheme="minorEastAsia" w:eastAsiaTheme="minorEastAsia" w:hAnsiTheme="minorEastAsia" w:cs="仿宋_GB2312"/>
          <w:b/>
          <w:bCs/>
          <w:szCs w:val="32"/>
        </w:rPr>
        <w:t>人员经费</w:t>
      </w:r>
      <w:r w:rsidR="00BC0685">
        <w:rPr>
          <w:rFonts w:asciiTheme="minorEastAsia" w:eastAsiaTheme="minorEastAsia" w:hAnsiTheme="minorEastAsia" w:cs="仿宋_GB2312"/>
          <w:b/>
          <w:bCs/>
          <w:szCs w:val="32"/>
          <w:lang w:eastAsia="zh-CN"/>
        </w:rPr>
        <w:t>293.72</w:t>
      </w:r>
      <w:r>
        <w:rPr>
          <w:rFonts w:asciiTheme="minorEastAsia" w:eastAsiaTheme="minorEastAsia" w:hAnsiTheme="minorEastAsia" w:cs="仿宋_GB2312"/>
          <w:b/>
          <w:bCs/>
          <w:szCs w:val="32"/>
        </w:rPr>
        <w:t>万元，</w:t>
      </w:r>
      <w:r>
        <w:rPr>
          <w:rFonts w:asciiTheme="minorEastAsia" w:eastAsiaTheme="minorEastAsia" w:hAnsiTheme="minorEastAsia" w:cs="仿宋_GB2312"/>
          <w:szCs w:val="32"/>
        </w:rPr>
        <w:t>包括在职和离退休人员基本工资、津贴补贴、奖金、伙食补助费、社保缴费、公积金、其他工资福利、对个人和家庭的补助等经费，其中基本工资</w:t>
      </w:r>
      <w:r w:rsidR="00BC0685">
        <w:rPr>
          <w:rFonts w:asciiTheme="minorEastAsia" w:eastAsiaTheme="minorEastAsia" w:hAnsiTheme="minorEastAsia" w:cs="仿宋_GB2312"/>
          <w:szCs w:val="32"/>
          <w:lang w:val="en-US" w:eastAsia="zh-CN"/>
        </w:rPr>
        <w:t>92.98</w:t>
      </w:r>
      <w:r>
        <w:rPr>
          <w:rFonts w:asciiTheme="minorEastAsia" w:eastAsiaTheme="minorEastAsia" w:hAnsiTheme="minorEastAsia" w:cs="仿宋_GB2312"/>
          <w:szCs w:val="32"/>
        </w:rPr>
        <w:t>万元、津贴补贴</w:t>
      </w:r>
      <w:bookmarkStart w:id="0" w:name="_GoBack"/>
      <w:bookmarkEnd w:id="0"/>
      <w:r w:rsidR="00BC0685">
        <w:rPr>
          <w:rFonts w:asciiTheme="minorEastAsia" w:eastAsiaTheme="minorEastAsia" w:hAnsiTheme="minorEastAsia" w:cs="仿宋_GB2312"/>
          <w:szCs w:val="32"/>
          <w:lang w:val="en-US" w:eastAsia="zh-CN"/>
        </w:rPr>
        <w:t>50.81</w:t>
      </w:r>
      <w:r w:rsidR="00BC0685">
        <w:rPr>
          <w:rFonts w:asciiTheme="minorEastAsia" w:eastAsiaTheme="minorEastAsia" w:hAnsiTheme="minorEastAsia" w:cs="仿宋_GB2312"/>
          <w:szCs w:val="32"/>
        </w:rPr>
        <w:t>万</w:t>
      </w:r>
      <w:r>
        <w:rPr>
          <w:rFonts w:asciiTheme="minorEastAsia" w:eastAsiaTheme="minorEastAsia" w:hAnsiTheme="minorEastAsia" w:cs="仿宋_GB2312"/>
          <w:szCs w:val="32"/>
        </w:rPr>
        <w:t>元、奖金</w:t>
      </w:r>
      <w:r w:rsidR="00BC0685">
        <w:rPr>
          <w:rFonts w:asciiTheme="minorEastAsia" w:eastAsiaTheme="minorEastAsia" w:hAnsiTheme="minorEastAsia" w:cs="仿宋_GB2312"/>
          <w:szCs w:val="32"/>
          <w:lang w:val="en-US" w:eastAsia="zh-CN"/>
        </w:rPr>
        <w:t>89.09</w:t>
      </w:r>
      <w:r>
        <w:rPr>
          <w:rFonts w:asciiTheme="minorEastAsia" w:eastAsiaTheme="minorEastAsia" w:hAnsiTheme="minorEastAsia" w:cs="仿宋_GB2312"/>
          <w:szCs w:val="32"/>
        </w:rPr>
        <w:t>万元、伙食补助费</w:t>
      </w:r>
      <w:r w:rsidR="00BC0685">
        <w:rPr>
          <w:rFonts w:asciiTheme="minorEastAsia" w:eastAsiaTheme="minorEastAsia" w:hAnsiTheme="minorEastAsia" w:cs="仿宋_GB2312"/>
          <w:szCs w:val="32"/>
          <w:lang w:val="en-US" w:eastAsia="zh-CN"/>
        </w:rPr>
        <w:t>11.73</w:t>
      </w:r>
      <w:r>
        <w:rPr>
          <w:rFonts w:asciiTheme="minorEastAsia" w:eastAsiaTheme="minorEastAsia" w:hAnsiTheme="minorEastAsia" w:cs="仿宋_GB2312"/>
          <w:szCs w:val="32"/>
        </w:rPr>
        <w:t>万元、社保缴费</w:t>
      </w:r>
      <w:r w:rsidR="00AC1072">
        <w:rPr>
          <w:rFonts w:asciiTheme="minorEastAsia" w:eastAsiaTheme="minorEastAsia" w:hAnsiTheme="minorEastAsia" w:cs="仿宋_GB2312"/>
          <w:szCs w:val="32"/>
          <w:lang w:val="en-US" w:eastAsia="zh-CN"/>
        </w:rPr>
        <w:t>38.32</w:t>
      </w:r>
      <w:r>
        <w:rPr>
          <w:rFonts w:asciiTheme="minorEastAsia" w:eastAsiaTheme="minorEastAsia" w:hAnsiTheme="minorEastAsia" w:cs="仿宋_GB2312"/>
          <w:szCs w:val="32"/>
        </w:rPr>
        <w:t>万元、其他工资福利支出</w:t>
      </w:r>
      <w:r w:rsidR="00BC0685">
        <w:rPr>
          <w:rFonts w:asciiTheme="minorEastAsia" w:eastAsiaTheme="minorEastAsia" w:hAnsiTheme="minorEastAsia" w:cs="仿宋_GB2312"/>
          <w:szCs w:val="32"/>
          <w:lang w:val="en-US" w:eastAsia="zh-CN"/>
        </w:rPr>
        <w:t>8.56</w:t>
      </w:r>
      <w:r>
        <w:rPr>
          <w:rFonts w:asciiTheme="minorEastAsia" w:eastAsiaTheme="minorEastAsia" w:hAnsiTheme="minorEastAsia" w:cs="仿宋_GB2312"/>
          <w:szCs w:val="32"/>
        </w:rPr>
        <w:t>万元、对个人和家庭的补助</w:t>
      </w:r>
      <w:r w:rsidR="00BC0685">
        <w:rPr>
          <w:rFonts w:asciiTheme="minorEastAsia" w:eastAsiaTheme="minorEastAsia" w:hAnsiTheme="minorEastAsia" w:cs="仿宋_GB2312"/>
          <w:szCs w:val="32"/>
          <w:lang w:val="en-US" w:eastAsia="zh-CN"/>
        </w:rPr>
        <w:t>2.23</w:t>
      </w:r>
      <w:r>
        <w:rPr>
          <w:rFonts w:asciiTheme="minorEastAsia" w:eastAsiaTheme="minorEastAsia" w:hAnsiTheme="minorEastAsia" w:cs="仿宋_GB2312"/>
          <w:szCs w:val="32"/>
        </w:rPr>
        <w:t>万元；</w:t>
      </w:r>
      <w:r>
        <w:rPr>
          <w:rFonts w:asciiTheme="minorEastAsia" w:eastAsiaTheme="minorEastAsia" w:hAnsiTheme="minorEastAsia" w:cs="仿宋_GB2312"/>
          <w:b/>
          <w:bCs/>
          <w:szCs w:val="32"/>
        </w:rPr>
        <w:t>公用经费</w:t>
      </w:r>
      <w:r w:rsidR="00BC0685">
        <w:rPr>
          <w:rFonts w:asciiTheme="minorEastAsia" w:eastAsiaTheme="minorEastAsia" w:hAnsiTheme="minorEastAsia" w:cs="仿宋_GB2312"/>
          <w:b/>
          <w:bCs/>
          <w:szCs w:val="32"/>
          <w:lang w:val="en-US" w:eastAsia="zh-CN"/>
        </w:rPr>
        <w:t>236.38</w:t>
      </w:r>
      <w:r>
        <w:rPr>
          <w:rFonts w:asciiTheme="minorEastAsia" w:eastAsiaTheme="minorEastAsia" w:hAnsiTheme="minorEastAsia" w:cs="仿宋_GB2312"/>
          <w:b/>
          <w:bCs/>
          <w:szCs w:val="32"/>
        </w:rPr>
        <w:t>万元</w:t>
      </w:r>
      <w:r>
        <w:rPr>
          <w:rFonts w:asciiTheme="minorEastAsia" w:eastAsiaTheme="minorEastAsia" w:hAnsiTheme="minorEastAsia" w:cs="仿宋_GB2312"/>
          <w:szCs w:val="32"/>
        </w:rPr>
        <w:t>，包括办公费</w:t>
      </w:r>
      <w:r w:rsidR="00BC0685">
        <w:rPr>
          <w:rFonts w:asciiTheme="minorEastAsia" w:eastAsiaTheme="minorEastAsia" w:hAnsiTheme="minorEastAsia" w:cs="仿宋_GB2312"/>
          <w:szCs w:val="32"/>
          <w:lang w:val="en-US" w:eastAsia="zh-CN"/>
        </w:rPr>
        <w:t>22.37</w:t>
      </w:r>
      <w:r>
        <w:rPr>
          <w:rFonts w:asciiTheme="minorEastAsia" w:eastAsiaTheme="minorEastAsia" w:hAnsiTheme="minorEastAsia" w:cs="仿宋_GB2312"/>
          <w:szCs w:val="32"/>
        </w:rPr>
        <w:t>万元、印刷费</w:t>
      </w:r>
      <w:r w:rsidR="00BC0685">
        <w:rPr>
          <w:rFonts w:asciiTheme="minorEastAsia" w:eastAsiaTheme="minorEastAsia" w:hAnsiTheme="minorEastAsia" w:cs="仿宋_GB2312"/>
          <w:szCs w:val="32"/>
          <w:lang w:val="en-US" w:eastAsia="zh-CN"/>
        </w:rPr>
        <w:t>2.27</w:t>
      </w:r>
      <w:r w:rsidR="00AC1072">
        <w:rPr>
          <w:rFonts w:asciiTheme="minorEastAsia" w:eastAsiaTheme="minorEastAsia" w:hAnsiTheme="minorEastAsia" w:cs="仿宋_GB2312"/>
          <w:szCs w:val="32"/>
        </w:rPr>
        <w:t>万元、</w:t>
      </w:r>
      <w:r w:rsidR="00AC1072">
        <w:rPr>
          <w:rFonts w:asciiTheme="minorEastAsia" w:eastAsiaTheme="minorEastAsia" w:hAnsiTheme="minorEastAsia" w:cs="仿宋_GB2312"/>
          <w:szCs w:val="32"/>
          <w:lang w:eastAsia="zh-CN"/>
        </w:rPr>
        <w:t>公务接待</w:t>
      </w:r>
      <w:r>
        <w:rPr>
          <w:rFonts w:asciiTheme="minorEastAsia" w:eastAsiaTheme="minorEastAsia" w:hAnsiTheme="minorEastAsia" w:cs="仿宋_GB2312"/>
          <w:szCs w:val="32"/>
        </w:rPr>
        <w:t>费</w:t>
      </w:r>
      <w:r w:rsidR="00AC1072">
        <w:rPr>
          <w:rFonts w:asciiTheme="minorEastAsia" w:eastAsiaTheme="minorEastAsia" w:hAnsiTheme="minorEastAsia" w:cs="仿宋_GB2312"/>
          <w:szCs w:val="32"/>
          <w:lang w:val="en-US" w:eastAsia="zh-CN"/>
        </w:rPr>
        <w:t>0.52</w:t>
      </w:r>
      <w:r>
        <w:rPr>
          <w:rFonts w:asciiTheme="minorEastAsia" w:eastAsiaTheme="minorEastAsia" w:hAnsiTheme="minorEastAsia" w:cs="仿宋_GB2312"/>
          <w:szCs w:val="32"/>
        </w:rPr>
        <w:t>万元、差旅费</w:t>
      </w:r>
      <w:r w:rsidR="00BC0685">
        <w:rPr>
          <w:rFonts w:asciiTheme="minorEastAsia" w:eastAsiaTheme="minorEastAsia" w:hAnsiTheme="minorEastAsia" w:cs="仿宋_GB2312"/>
          <w:szCs w:val="32"/>
          <w:lang w:val="en-US" w:eastAsia="zh-CN"/>
        </w:rPr>
        <w:t>38.8</w:t>
      </w:r>
      <w:r w:rsidR="00AC1072">
        <w:rPr>
          <w:rFonts w:asciiTheme="minorEastAsia" w:eastAsiaTheme="minorEastAsia" w:hAnsiTheme="minorEastAsia" w:cs="仿宋_GB2312"/>
          <w:szCs w:val="32"/>
          <w:lang w:val="en-US" w:eastAsia="zh-CN"/>
        </w:rPr>
        <w:t>1</w:t>
      </w:r>
      <w:r>
        <w:rPr>
          <w:rFonts w:asciiTheme="minorEastAsia" w:eastAsiaTheme="minorEastAsia" w:hAnsiTheme="minorEastAsia" w:cs="仿宋_GB2312"/>
          <w:szCs w:val="32"/>
        </w:rPr>
        <w:t>万元、租赁费</w:t>
      </w:r>
      <w:r w:rsidR="00BC0685">
        <w:rPr>
          <w:rFonts w:asciiTheme="minorEastAsia" w:eastAsiaTheme="minorEastAsia" w:hAnsiTheme="minorEastAsia" w:cs="仿宋_GB2312"/>
          <w:szCs w:val="32"/>
          <w:lang w:val="en-US" w:eastAsia="zh-CN"/>
        </w:rPr>
        <w:t>0</w:t>
      </w:r>
      <w:r>
        <w:rPr>
          <w:rFonts w:asciiTheme="minorEastAsia" w:eastAsiaTheme="minorEastAsia" w:hAnsiTheme="minorEastAsia" w:cs="仿宋_GB2312"/>
          <w:szCs w:val="32"/>
        </w:rPr>
        <w:t>万元、会议费</w:t>
      </w:r>
      <w:r w:rsidR="00BC0685">
        <w:rPr>
          <w:rFonts w:asciiTheme="minorEastAsia" w:eastAsiaTheme="minorEastAsia" w:hAnsiTheme="minorEastAsia" w:cs="仿宋_GB2312"/>
          <w:szCs w:val="32"/>
          <w:lang w:val="en-US" w:eastAsia="zh-CN"/>
        </w:rPr>
        <w:t>1.18</w:t>
      </w:r>
      <w:r>
        <w:rPr>
          <w:rFonts w:asciiTheme="minorEastAsia" w:eastAsiaTheme="minorEastAsia" w:hAnsiTheme="minorEastAsia" w:cs="仿宋_GB2312"/>
          <w:szCs w:val="32"/>
        </w:rPr>
        <w:t>万元、培训费</w:t>
      </w:r>
      <w:r w:rsidR="00BC0685">
        <w:rPr>
          <w:rFonts w:asciiTheme="minorEastAsia" w:eastAsiaTheme="minorEastAsia" w:hAnsiTheme="minorEastAsia" w:cs="仿宋_GB2312"/>
          <w:szCs w:val="32"/>
          <w:lang w:val="en-US" w:eastAsia="zh-CN"/>
        </w:rPr>
        <w:t>0.24</w:t>
      </w:r>
      <w:r>
        <w:rPr>
          <w:rFonts w:asciiTheme="minorEastAsia" w:eastAsiaTheme="minorEastAsia" w:hAnsiTheme="minorEastAsia" w:cs="仿宋_GB2312"/>
          <w:szCs w:val="32"/>
        </w:rPr>
        <w:t>万元、劳务费</w:t>
      </w:r>
      <w:r w:rsidR="00BC0685">
        <w:rPr>
          <w:rFonts w:asciiTheme="minorEastAsia" w:eastAsiaTheme="minorEastAsia" w:hAnsiTheme="minorEastAsia" w:cs="仿宋_GB2312"/>
          <w:szCs w:val="32"/>
          <w:lang w:val="en-US" w:eastAsia="zh-CN"/>
        </w:rPr>
        <w:t>3.34</w:t>
      </w:r>
      <w:r w:rsidR="00AC1072">
        <w:rPr>
          <w:rFonts w:asciiTheme="minorEastAsia" w:eastAsiaTheme="minorEastAsia" w:hAnsiTheme="minorEastAsia" w:cs="仿宋_GB2312"/>
          <w:szCs w:val="32"/>
        </w:rPr>
        <w:t>万元、</w:t>
      </w:r>
      <w:r w:rsidR="00AC1072">
        <w:rPr>
          <w:rFonts w:asciiTheme="minorEastAsia" w:eastAsiaTheme="minorEastAsia" w:hAnsiTheme="minorEastAsia" w:cs="仿宋_GB2312"/>
          <w:szCs w:val="32"/>
          <w:lang w:eastAsia="zh-CN"/>
        </w:rPr>
        <w:t>维修</w:t>
      </w:r>
      <w:r>
        <w:rPr>
          <w:rFonts w:asciiTheme="minorEastAsia" w:eastAsiaTheme="minorEastAsia" w:hAnsiTheme="minorEastAsia" w:cs="仿宋_GB2312"/>
          <w:szCs w:val="32"/>
        </w:rPr>
        <w:t>费</w:t>
      </w:r>
      <w:r w:rsidR="00AC1072">
        <w:rPr>
          <w:rFonts w:asciiTheme="minorEastAsia" w:eastAsiaTheme="minorEastAsia" w:hAnsiTheme="minorEastAsia" w:cs="仿宋_GB2312"/>
          <w:szCs w:val="32"/>
          <w:lang w:eastAsia="zh-CN"/>
        </w:rPr>
        <w:t>21.36</w:t>
      </w:r>
      <w:r>
        <w:rPr>
          <w:rFonts w:asciiTheme="minorEastAsia" w:eastAsiaTheme="minorEastAsia" w:hAnsiTheme="minorEastAsia" w:cs="仿宋_GB2312"/>
          <w:szCs w:val="32"/>
        </w:rPr>
        <w:t>万元、工会经费</w:t>
      </w:r>
      <w:r w:rsidR="00BC0685">
        <w:rPr>
          <w:rFonts w:asciiTheme="minorEastAsia" w:eastAsiaTheme="minorEastAsia" w:hAnsiTheme="minorEastAsia" w:cs="仿宋_GB2312"/>
          <w:szCs w:val="32"/>
          <w:lang w:val="en-US" w:eastAsia="zh-CN"/>
        </w:rPr>
        <w:t>24.3</w:t>
      </w:r>
      <w:r>
        <w:rPr>
          <w:rFonts w:asciiTheme="minorEastAsia" w:eastAsiaTheme="minorEastAsia" w:hAnsiTheme="minorEastAsia" w:cs="仿宋_GB2312"/>
          <w:szCs w:val="32"/>
        </w:rPr>
        <w:t>万元、</w:t>
      </w:r>
      <w:r>
        <w:rPr>
          <w:rFonts w:asciiTheme="minorEastAsia" w:eastAsiaTheme="minorEastAsia" w:hAnsiTheme="minorEastAsia" w:cs="仿宋_GB2312"/>
          <w:szCs w:val="32"/>
          <w:lang w:eastAsia="zh-CN"/>
        </w:rPr>
        <w:t>其他交通费</w:t>
      </w:r>
      <w:r w:rsidR="00BC0685">
        <w:rPr>
          <w:rFonts w:asciiTheme="minorEastAsia" w:eastAsiaTheme="minorEastAsia" w:hAnsiTheme="minorEastAsia" w:cs="仿宋_GB2312"/>
          <w:szCs w:val="32"/>
          <w:lang w:val="en-US" w:eastAsia="zh-CN"/>
        </w:rPr>
        <w:t>16.18</w:t>
      </w:r>
      <w:r>
        <w:rPr>
          <w:rFonts w:asciiTheme="minorEastAsia" w:eastAsiaTheme="minorEastAsia" w:hAnsiTheme="minorEastAsia" w:cs="仿宋_GB2312"/>
          <w:szCs w:val="32"/>
          <w:lang w:val="en-US" w:eastAsia="zh-CN"/>
        </w:rPr>
        <w:t>万元、</w:t>
      </w:r>
      <w:r>
        <w:rPr>
          <w:rFonts w:asciiTheme="minorEastAsia" w:eastAsiaTheme="minorEastAsia" w:hAnsiTheme="minorEastAsia" w:cs="仿宋_GB2312"/>
          <w:szCs w:val="32"/>
        </w:rPr>
        <w:t>其他商品和服务费</w:t>
      </w:r>
      <w:r w:rsidR="00AC1072">
        <w:rPr>
          <w:rFonts w:asciiTheme="minorEastAsia" w:eastAsiaTheme="minorEastAsia" w:hAnsiTheme="minorEastAsia" w:cs="仿宋_GB2312"/>
          <w:szCs w:val="32"/>
          <w:lang w:val="en-US" w:eastAsia="zh-CN"/>
        </w:rPr>
        <w:t>90.71</w:t>
      </w:r>
      <w:r>
        <w:rPr>
          <w:rFonts w:asciiTheme="minorEastAsia" w:eastAsiaTheme="minorEastAsia" w:hAnsiTheme="minorEastAsia" w:cs="仿宋_GB2312"/>
          <w:szCs w:val="32"/>
        </w:rPr>
        <w:t>万元；办公设备购置</w:t>
      </w:r>
      <w:r w:rsidR="00AC1072">
        <w:rPr>
          <w:rFonts w:asciiTheme="minorEastAsia" w:eastAsiaTheme="minorEastAsia" w:hAnsiTheme="minorEastAsia" w:cs="仿宋_GB2312"/>
          <w:szCs w:val="32"/>
          <w:lang w:val="en-US" w:eastAsia="zh-CN"/>
        </w:rPr>
        <w:t>1.11</w:t>
      </w:r>
      <w:r>
        <w:rPr>
          <w:rFonts w:asciiTheme="minorEastAsia" w:eastAsiaTheme="minorEastAsia" w:hAnsiTheme="minorEastAsia" w:cs="仿宋_GB2312"/>
          <w:szCs w:val="32"/>
        </w:rPr>
        <w:t>万元，保证了局机关的正常运转。</w:t>
      </w:r>
    </w:p>
    <w:p w:rsidR="00E326F5" w:rsidRDefault="00C21752">
      <w:pPr>
        <w:spacing w:line="640" w:lineRule="exact"/>
        <w:ind w:firstLineChars="221" w:firstLine="710"/>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rPr>
        <w:t>三、资金使用及管理情况</w:t>
      </w:r>
    </w:p>
    <w:p w:rsidR="00E326F5" w:rsidRDefault="00C21752">
      <w:pPr>
        <w:spacing w:line="640" w:lineRule="exact"/>
        <w:ind w:firstLineChars="221" w:firstLine="707"/>
        <w:rPr>
          <w:rFonts w:asciiTheme="minorEastAsia" w:eastAsiaTheme="minorEastAsia" w:hAnsiTheme="minorEastAsia" w:cs="仿宋_GB2312" w:hint="default"/>
          <w:color w:val="333333"/>
          <w:szCs w:val="32"/>
        </w:rPr>
      </w:pPr>
      <w:r>
        <w:rPr>
          <w:rFonts w:asciiTheme="minorEastAsia" w:eastAsiaTheme="minorEastAsia" w:hAnsiTheme="minorEastAsia" w:cs="仿宋_GB2312"/>
          <w:szCs w:val="32"/>
        </w:rPr>
        <w:t>坚持依法理财、厉行节约、均衡使用、科学管理的原则，严格执行国家相关法律法规和财政纪律，确保招待费、会议费、</w:t>
      </w:r>
      <w:r>
        <w:rPr>
          <w:rFonts w:asciiTheme="minorEastAsia" w:eastAsiaTheme="minorEastAsia" w:hAnsiTheme="minorEastAsia" w:cs="仿宋_GB2312"/>
          <w:szCs w:val="32"/>
        </w:rPr>
        <w:lastRenderedPageBreak/>
        <w:t>培训费、交通运行费压减比例低于纪委、审计局确定的</w:t>
      </w:r>
      <w:r>
        <w:rPr>
          <w:rFonts w:asciiTheme="minorEastAsia" w:eastAsiaTheme="minorEastAsia" w:hAnsiTheme="minorEastAsia" w:cs="仿宋_GB2312"/>
          <w:color w:val="333333"/>
          <w:szCs w:val="32"/>
        </w:rPr>
        <w:t>管控目标和要求。严格控制“三公经费”的开支，使各项资金得到合理使用，全局工作得到积极有效的开展。</w:t>
      </w:r>
    </w:p>
    <w:p w:rsidR="00E326F5" w:rsidRDefault="00C21752">
      <w:pPr>
        <w:spacing w:line="640" w:lineRule="exact"/>
        <w:ind w:firstLineChars="221" w:firstLine="710"/>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rPr>
        <w:t>四、组织实施情况</w:t>
      </w:r>
    </w:p>
    <w:p w:rsidR="00E326F5" w:rsidRDefault="004D335C">
      <w:pPr>
        <w:widowControl/>
        <w:spacing w:line="640" w:lineRule="exact"/>
        <w:ind w:firstLine="640"/>
        <w:rPr>
          <w:rFonts w:asciiTheme="minorEastAsia" w:eastAsiaTheme="minorEastAsia" w:hAnsiTheme="minorEastAsia" w:cs="仿宋_GB2312" w:hint="default"/>
          <w:color w:val="333333"/>
          <w:szCs w:val="32"/>
        </w:rPr>
      </w:pPr>
      <w:r>
        <w:rPr>
          <w:rFonts w:asciiTheme="minorEastAsia" w:eastAsiaTheme="minorEastAsia" w:hAnsiTheme="minorEastAsia" w:cs="仿宋_GB2312"/>
          <w:color w:val="333333"/>
          <w:szCs w:val="32"/>
        </w:rPr>
        <w:t>为加强财政资金管理，突出资金绩效，我</w:t>
      </w:r>
      <w:r>
        <w:rPr>
          <w:rFonts w:asciiTheme="minorEastAsia" w:eastAsiaTheme="minorEastAsia" w:hAnsiTheme="minorEastAsia" w:cs="仿宋_GB2312"/>
          <w:color w:val="333333"/>
          <w:szCs w:val="32"/>
          <w:lang w:eastAsia="zh-CN"/>
        </w:rPr>
        <w:t>支付中心</w:t>
      </w:r>
      <w:r w:rsidR="00C21752">
        <w:rPr>
          <w:rFonts w:asciiTheme="minorEastAsia" w:eastAsiaTheme="minorEastAsia" w:hAnsiTheme="minorEastAsia" w:cs="仿宋_GB2312"/>
          <w:color w:val="333333"/>
          <w:szCs w:val="32"/>
        </w:rPr>
        <w:t>高度重视预算支出绩效评价工作，成立了以</w:t>
      </w:r>
      <w:r>
        <w:rPr>
          <w:rFonts w:asciiTheme="minorEastAsia" w:eastAsiaTheme="minorEastAsia" w:hAnsiTheme="minorEastAsia" w:cs="仿宋_GB2312"/>
          <w:color w:val="333333"/>
          <w:szCs w:val="32"/>
          <w:lang w:eastAsia="zh-CN"/>
        </w:rPr>
        <w:t>马行空</w:t>
      </w:r>
      <w:r>
        <w:rPr>
          <w:rFonts w:asciiTheme="minorEastAsia" w:eastAsiaTheme="minorEastAsia" w:hAnsiTheme="minorEastAsia" w:cs="仿宋_GB2312"/>
          <w:color w:val="333333"/>
          <w:szCs w:val="32"/>
        </w:rPr>
        <w:t>为组长，其他</w:t>
      </w:r>
      <w:r w:rsidR="00C21752">
        <w:rPr>
          <w:rFonts w:asciiTheme="minorEastAsia" w:eastAsiaTheme="minorEastAsia" w:hAnsiTheme="minorEastAsia" w:cs="仿宋_GB2312"/>
          <w:color w:val="333333"/>
          <w:szCs w:val="32"/>
        </w:rPr>
        <w:t>领导为副组</w:t>
      </w:r>
      <w:r>
        <w:rPr>
          <w:rFonts w:asciiTheme="minorEastAsia" w:eastAsiaTheme="minorEastAsia" w:hAnsiTheme="minorEastAsia" w:cs="仿宋_GB2312"/>
          <w:color w:val="333333"/>
          <w:szCs w:val="32"/>
        </w:rPr>
        <w:t>长，股室主要负责人为成员的预算支出绩效评价领导小组，年初召开了党组会议，研讨</w:t>
      </w:r>
      <w:r w:rsidR="00C21752">
        <w:rPr>
          <w:rFonts w:asciiTheme="minorEastAsia" w:eastAsiaTheme="minorEastAsia" w:hAnsiTheme="minorEastAsia" w:cs="仿宋_GB2312"/>
          <w:color w:val="333333"/>
          <w:szCs w:val="32"/>
        </w:rPr>
        <w:t>工作职能及资金需求。同时对日常支出，严格执行财务会审制度。</w:t>
      </w:r>
    </w:p>
    <w:p w:rsidR="00E326F5" w:rsidRDefault="00C21752">
      <w:pPr>
        <w:spacing w:line="640" w:lineRule="exact"/>
        <w:ind w:firstLineChars="221" w:firstLine="710"/>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rPr>
        <w:t>五、资金绩效情况</w:t>
      </w:r>
    </w:p>
    <w:p w:rsidR="00E326F5" w:rsidRDefault="00C21752">
      <w:pPr>
        <w:widowControl/>
        <w:shd w:val="clear" w:color="auto" w:fill="FFFFFF"/>
        <w:spacing w:line="640" w:lineRule="exact"/>
        <w:ind w:firstLine="640"/>
        <w:rPr>
          <w:rFonts w:asciiTheme="minorEastAsia" w:eastAsiaTheme="minorEastAsia" w:hAnsiTheme="minorEastAsia" w:cs="仿宋_GB2312" w:hint="default"/>
          <w:szCs w:val="32"/>
        </w:rPr>
      </w:pPr>
      <w:r>
        <w:rPr>
          <w:rFonts w:asciiTheme="minorEastAsia" w:eastAsiaTheme="minorEastAsia" w:hAnsiTheme="minorEastAsia" w:cs="仿宋_GB2312"/>
          <w:color w:val="222222"/>
          <w:szCs w:val="32"/>
        </w:rPr>
        <w:t>202</w:t>
      </w:r>
      <w:r>
        <w:rPr>
          <w:rFonts w:asciiTheme="minorEastAsia" w:eastAsiaTheme="minorEastAsia" w:hAnsiTheme="minorEastAsia" w:cs="仿宋_GB2312"/>
          <w:color w:val="222222"/>
          <w:szCs w:val="32"/>
          <w:lang w:val="en-US" w:eastAsia="zh-CN"/>
        </w:rPr>
        <w:t>1</w:t>
      </w:r>
      <w:r>
        <w:rPr>
          <w:rFonts w:asciiTheme="minorEastAsia" w:eastAsiaTheme="minorEastAsia" w:hAnsiTheme="minorEastAsia" w:cs="仿宋_GB2312"/>
          <w:color w:val="222222"/>
          <w:szCs w:val="32"/>
        </w:rPr>
        <w:t>年，根据我</w:t>
      </w:r>
      <w:r w:rsidR="004D335C">
        <w:rPr>
          <w:rFonts w:asciiTheme="minorEastAsia" w:eastAsiaTheme="minorEastAsia" w:hAnsiTheme="minorEastAsia" w:cs="仿宋_GB2312"/>
          <w:color w:val="222222"/>
          <w:szCs w:val="32"/>
          <w:lang w:eastAsia="zh-CN"/>
        </w:rPr>
        <w:t>支付中心</w:t>
      </w:r>
      <w:r>
        <w:rPr>
          <w:rFonts w:asciiTheme="minorEastAsia" w:eastAsiaTheme="minorEastAsia" w:hAnsiTheme="minorEastAsia" w:cs="仿宋_GB2312"/>
          <w:color w:val="222222"/>
          <w:szCs w:val="32"/>
        </w:rPr>
        <w:t>年初工作规划，围绕市委、市政府全面建成小康社会的发展蓝图，积极履职，强化管理，通过加强预算收支管理，不断建立健全内部管理制度，梳理内部管理流程，部门整体支出管理情况得到提升</w:t>
      </w:r>
      <w:r>
        <w:rPr>
          <w:rFonts w:asciiTheme="minorEastAsia" w:eastAsiaTheme="minorEastAsia" w:hAnsiTheme="minorEastAsia" w:cs="仿宋_GB2312"/>
          <w:szCs w:val="32"/>
        </w:rPr>
        <w:t>，全</w:t>
      </w:r>
      <w:r>
        <w:rPr>
          <w:rFonts w:asciiTheme="minorEastAsia" w:eastAsiaTheme="minorEastAsia" w:hAnsiTheme="minorEastAsia" w:cs="仿宋_GB2312"/>
          <w:color w:val="222222"/>
          <w:szCs w:val="32"/>
        </w:rPr>
        <w:t>年均能及时完成工作任务，保证常年性业务正常开展。实际完成率以及完成质量达标率均超出原有预期值，履职效益高，社会公众满意度评</w:t>
      </w:r>
      <w:r w:rsidR="004D335C">
        <w:rPr>
          <w:rFonts w:asciiTheme="minorEastAsia" w:eastAsiaTheme="minorEastAsia" w:hAnsiTheme="minorEastAsia" w:cs="仿宋_GB2312"/>
          <w:color w:val="222222"/>
          <w:szCs w:val="32"/>
        </w:rPr>
        <w:t>价高。根据部门整体支出绩效评价指标体系，本</w:t>
      </w:r>
      <w:r w:rsidR="004D335C">
        <w:rPr>
          <w:rFonts w:asciiTheme="minorEastAsia" w:eastAsiaTheme="minorEastAsia" w:hAnsiTheme="minorEastAsia" w:cs="仿宋_GB2312"/>
          <w:color w:val="222222"/>
          <w:szCs w:val="32"/>
          <w:lang w:eastAsia="zh-CN"/>
        </w:rPr>
        <w:t>支付中心</w:t>
      </w:r>
      <w:r>
        <w:rPr>
          <w:rFonts w:asciiTheme="minorEastAsia" w:eastAsiaTheme="minorEastAsia" w:hAnsiTheme="minorEastAsia" w:cs="仿宋_GB2312"/>
          <w:color w:val="222222"/>
          <w:szCs w:val="32"/>
        </w:rPr>
        <w:t>202</w:t>
      </w:r>
      <w:r>
        <w:rPr>
          <w:rFonts w:asciiTheme="minorEastAsia" w:eastAsiaTheme="minorEastAsia" w:hAnsiTheme="minorEastAsia" w:cs="仿宋_GB2312"/>
          <w:color w:val="222222"/>
          <w:szCs w:val="32"/>
          <w:lang w:val="en-US" w:eastAsia="zh-CN"/>
        </w:rPr>
        <w:t>1</w:t>
      </w:r>
      <w:r>
        <w:rPr>
          <w:rFonts w:asciiTheme="minorEastAsia" w:eastAsiaTheme="minorEastAsia" w:hAnsiTheme="minorEastAsia" w:cs="仿宋_GB2312"/>
          <w:color w:val="222222"/>
          <w:szCs w:val="32"/>
        </w:rPr>
        <w:t>年度评价得分为</w:t>
      </w:r>
      <w:r w:rsidR="009B54E6">
        <w:rPr>
          <w:rFonts w:asciiTheme="minorEastAsia" w:eastAsiaTheme="minorEastAsia" w:hAnsiTheme="minorEastAsia" w:cs="仿宋_GB2312"/>
          <w:color w:val="222222"/>
          <w:szCs w:val="32"/>
          <w:lang w:val="en-US" w:eastAsia="zh-CN"/>
        </w:rPr>
        <w:t>98</w:t>
      </w:r>
      <w:r>
        <w:rPr>
          <w:rFonts w:asciiTheme="minorEastAsia" w:eastAsiaTheme="minorEastAsia" w:hAnsiTheme="minorEastAsia" w:cs="仿宋_GB2312"/>
          <w:color w:val="222222"/>
          <w:szCs w:val="32"/>
        </w:rPr>
        <w:t>分。</w:t>
      </w:r>
    </w:p>
    <w:p w:rsidR="00E326F5" w:rsidRDefault="00C21752">
      <w:pPr>
        <w:widowControl/>
        <w:shd w:val="clear" w:color="auto" w:fill="FFFFFF"/>
        <w:spacing w:line="640" w:lineRule="exact"/>
        <w:ind w:firstLine="645"/>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shd w:val="clear" w:color="auto" w:fill="FFFFFF"/>
        </w:rPr>
        <w:t>六、存在的主要问题</w:t>
      </w:r>
    </w:p>
    <w:p w:rsidR="00E326F5" w:rsidRDefault="00C21752">
      <w:pPr>
        <w:widowControl/>
        <w:shd w:val="clear" w:color="auto" w:fill="FFFFFF"/>
        <w:spacing w:line="640" w:lineRule="exact"/>
        <w:ind w:firstLine="645"/>
        <w:rPr>
          <w:rFonts w:asciiTheme="minorEastAsia" w:eastAsiaTheme="minorEastAsia" w:hAnsiTheme="minorEastAsia" w:cs="仿宋_GB2312" w:hint="default"/>
          <w:szCs w:val="32"/>
        </w:rPr>
      </w:pPr>
      <w:r>
        <w:rPr>
          <w:rFonts w:asciiTheme="minorEastAsia" w:eastAsiaTheme="minorEastAsia" w:hAnsiTheme="minorEastAsia" w:cs="仿宋_GB2312"/>
          <w:szCs w:val="32"/>
          <w:shd w:val="clear" w:color="auto" w:fill="FFFFFF"/>
        </w:rPr>
        <w:lastRenderedPageBreak/>
        <w:t>1、基本支出中需进一步提高预算编制，继续精细化、合理化。</w:t>
      </w:r>
    </w:p>
    <w:p w:rsidR="00E326F5" w:rsidRDefault="00C21752">
      <w:pPr>
        <w:widowControl/>
        <w:shd w:val="clear" w:color="auto" w:fill="FFFFFF"/>
        <w:spacing w:line="640" w:lineRule="exact"/>
        <w:ind w:firstLine="646"/>
        <w:rPr>
          <w:rFonts w:asciiTheme="minorEastAsia" w:eastAsiaTheme="minorEastAsia" w:hAnsiTheme="minorEastAsia" w:cs="仿宋_GB2312" w:hint="default"/>
          <w:szCs w:val="32"/>
          <w:shd w:val="clear" w:color="auto" w:fill="FFFFFF"/>
        </w:rPr>
      </w:pPr>
      <w:r>
        <w:rPr>
          <w:rFonts w:asciiTheme="minorEastAsia" w:eastAsiaTheme="minorEastAsia" w:hAnsiTheme="minorEastAsia" w:cs="仿宋_GB2312"/>
          <w:szCs w:val="32"/>
          <w:shd w:val="clear" w:color="auto" w:fill="FFFFFF"/>
        </w:rPr>
        <w:t>2、内部机构各股室对部门预算认知不足，基础资料搜集整理渠道不清晰。虽然预算最终表现为财务预算，但需采集大量的基础数据做支撑，集全体之力方可做好。</w:t>
      </w:r>
    </w:p>
    <w:p w:rsidR="00E326F5" w:rsidRDefault="00C21752">
      <w:pPr>
        <w:widowControl/>
        <w:shd w:val="clear" w:color="auto" w:fill="FFFFFF"/>
        <w:spacing w:line="640" w:lineRule="exact"/>
        <w:ind w:firstLine="646"/>
        <w:rPr>
          <w:rFonts w:asciiTheme="minorEastAsia" w:eastAsiaTheme="minorEastAsia" w:hAnsiTheme="minorEastAsia" w:cs="仿宋_GB2312" w:hint="default"/>
          <w:b/>
          <w:bCs/>
          <w:szCs w:val="32"/>
        </w:rPr>
      </w:pPr>
      <w:r>
        <w:rPr>
          <w:rFonts w:asciiTheme="minorEastAsia" w:eastAsiaTheme="minorEastAsia" w:hAnsiTheme="minorEastAsia" w:cs="仿宋_GB2312"/>
          <w:b/>
          <w:bCs/>
          <w:szCs w:val="32"/>
          <w:shd w:val="clear" w:color="auto" w:fill="FFFFFF"/>
        </w:rPr>
        <w:t>七、整改措施</w:t>
      </w:r>
    </w:p>
    <w:p w:rsidR="004D335C" w:rsidRDefault="004D335C" w:rsidP="004D335C">
      <w:pPr>
        <w:widowControl/>
        <w:shd w:val="clear" w:color="auto" w:fill="FFFFFF"/>
        <w:spacing w:line="640" w:lineRule="exact"/>
        <w:ind w:firstLine="646"/>
        <w:rPr>
          <w:rFonts w:asciiTheme="minorEastAsia" w:eastAsiaTheme="minorEastAsia" w:hAnsiTheme="minorEastAsia" w:cs="仿宋_GB2312" w:hint="default"/>
          <w:szCs w:val="32"/>
          <w:lang w:eastAsia="zh-CN"/>
        </w:rPr>
      </w:pPr>
      <w:r>
        <w:rPr>
          <w:rFonts w:asciiTheme="minorEastAsia" w:eastAsiaTheme="minorEastAsia" w:hAnsiTheme="minorEastAsia" w:cs="仿宋_GB2312"/>
          <w:szCs w:val="32"/>
          <w:shd w:val="clear" w:color="auto" w:fill="FFFFFF"/>
        </w:rPr>
        <w:t>针对上述存在的问题及我</w:t>
      </w:r>
      <w:r>
        <w:rPr>
          <w:rFonts w:asciiTheme="minorEastAsia" w:eastAsiaTheme="minorEastAsia" w:hAnsiTheme="minorEastAsia" w:cs="仿宋_GB2312"/>
          <w:szCs w:val="32"/>
          <w:shd w:val="clear" w:color="auto" w:fill="FFFFFF"/>
          <w:lang w:eastAsia="zh-CN"/>
        </w:rPr>
        <w:t>支付中心</w:t>
      </w:r>
      <w:r w:rsidR="00C21752">
        <w:rPr>
          <w:rFonts w:asciiTheme="minorEastAsia" w:eastAsiaTheme="minorEastAsia" w:hAnsiTheme="minorEastAsia" w:cs="仿宋_GB2312"/>
          <w:szCs w:val="32"/>
          <w:shd w:val="clear" w:color="auto" w:fill="FFFFFF"/>
        </w:rPr>
        <w:t>整体支出管理工作的需要，拟实施的改</w:t>
      </w:r>
      <w:r>
        <w:rPr>
          <w:rFonts w:asciiTheme="minorEastAsia" w:eastAsiaTheme="minorEastAsia" w:hAnsiTheme="minorEastAsia" w:cs="仿宋_GB2312"/>
          <w:szCs w:val="32"/>
          <w:shd w:val="clear" w:color="auto" w:fill="FFFFFF"/>
          <w:lang w:eastAsia="zh-CN"/>
        </w:rPr>
        <w:t>进</w:t>
      </w:r>
      <w:r>
        <w:rPr>
          <w:rFonts w:asciiTheme="minorEastAsia" w:eastAsiaTheme="minorEastAsia" w:hAnsiTheme="minorEastAsia" w:cs="仿宋_GB2312"/>
          <w:szCs w:val="32"/>
          <w:lang w:eastAsia="zh-CN"/>
        </w:rPr>
        <w:t xml:space="preserve"> .</w:t>
      </w:r>
    </w:p>
    <w:p w:rsidR="00E326F5" w:rsidRDefault="004D335C" w:rsidP="004D335C">
      <w:pPr>
        <w:widowControl/>
        <w:shd w:val="clear" w:color="auto" w:fill="FFFFFF"/>
        <w:spacing w:line="640" w:lineRule="exact"/>
        <w:ind w:firstLine="646"/>
        <w:rPr>
          <w:rFonts w:asciiTheme="minorEastAsia" w:eastAsiaTheme="minorEastAsia" w:hAnsiTheme="minorEastAsia" w:cs="仿宋_GB2312" w:hint="default"/>
          <w:szCs w:val="32"/>
          <w:lang w:eastAsia="zh-CN"/>
        </w:rPr>
      </w:pPr>
      <w:r>
        <w:rPr>
          <w:rFonts w:asciiTheme="minorEastAsia" w:eastAsiaTheme="minorEastAsia" w:hAnsiTheme="minorEastAsia" w:cs="仿宋_GB2312"/>
          <w:bCs/>
          <w:szCs w:val="32"/>
          <w:shd w:val="clear" w:color="auto" w:fill="FFFFFF"/>
          <w:lang w:eastAsia="zh-CN"/>
        </w:rPr>
        <w:t>1</w:t>
      </w:r>
      <w:r w:rsidR="00C21752">
        <w:rPr>
          <w:rFonts w:asciiTheme="minorEastAsia" w:eastAsiaTheme="minorEastAsia" w:hAnsiTheme="minorEastAsia" w:cs="仿宋_GB2312"/>
          <w:bCs/>
          <w:szCs w:val="32"/>
          <w:shd w:val="clear" w:color="auto" w:fill="FFFFFF"/>
        </w:rPr>
        <w:t>、加强财务管理，严格财务审核。</w:t>
      </w:r>
      <w:r w:rsidR="00C21752">
        <w:rPr>
          <w:rFonts w:asciiTheme="minorEastAsia" w:eastAsiaTheme="minorEastAsia" w:hAnsiTheme="minorEastAsia" w:cs="仿宋_GB2312"/>
          <w:szCs w:val="32"/>
          <w:shd w:val="clear" w:color="auto" w:fill="FFFFFF"/>
        </w:rPr>
        <w:t>在费用报账支付时，按照预算规定的费用项目和用途进行资金使用审核、列报支付、财务核算，杜绝超支现象的发生。</w:t>
      </w:r>
    </w:p>
    <w:p w:rsidR="00E326F5" w:rsidRDefault="004D335C">
      <w:pPr>
        <w:widowControl/>
        <w:shd w:val="clear" w:color="auto" w:fill="FFFFFF"/>
        <w:spacing w:line="640" w:lineRule="exact"/>
        <w:ind w:firstLine="642"/>
        <w:rPr>
          <w:rFonts w:asciiTheme="minorEastAsia" w:eastAsiaTheme="minorEastAsia" w:hAnsiTheme="minorEastAsia" w:cs="仿宋_GB2312" w:hint="default"/>
          <w:szCs w:val="32"/>
        </w:rPr>
      </w:pPr>
      <w:r>
        <w:rPr>
          <w:rFonts w:asciiTheme="minorEastAsia" w:eastAsiaTheme="minorEastAsia" w:hAnsiTheme="minorEastAsia" w:cs="仿宋_GB2312"/>
          <w:bCs/>
          <w:szCs w:val="32"/>
          <w:shd w:val="clear" w:color="auto" w:fill="FFFFFF"/>
          <w:lang w:eastAsia="zh-CN"/>
        </w:rPr>
        <w:t>2</w:t>
      </w:r>
      <w:r w:rsidR="00C21752">
        <w:rPr>
          <w:rFonts w:asciiTheme="minorEastAsia" w:eastAsiaTheme="minorEastAsia" w:hAnsiTheme="minorEastAsia" w:cs="仿宋_GB2312"/>
          <w:bCs/>
          <w:szCs w:val="32"/>
          <w:shd w:val="clear" w:color="auto" w:fill="FFFFFF"/>
        </w:rPr>
        <w:t>、持续抓好“三公”经费控制管理。</w:t>
      </w:r>
      <w:r w:rsidR="00C21752">
        <w:rPr>
          <w:rFonts w:asciiTheme="minorEastAsia" w:eastAsiaTheme="minorEastAsia" w:hAnsiTheme="minorEastAsia" w:cs="仿宋_GB2312"/>
          <w:szCs w:val="32"/>
          <w:shd w:val="clear" w:color="auto" w:fill="FFFFFF"/>
        </w:rPr>
        <w:t>严格控制“三公”经费的规模和比例，把关“三公”经费支出的审核、审批，杜绝挪用和挤占其他预算资金行为；进一步细化“三公”经费的管理，合理压缩“三公”经费支出。</w:t>
      </w:r>
    </w:p>
    <w:p w:rsidR="00E326F5" w:rsidRDefault="00E326F5">
      <w:pPr>
        <w:widowControl/>
        <w:shd w:val="clear" w:color="auto" w:fill="FFFFFF"/>
        <w:spacing w:line="640" w:lineRule="exact"/>
        <w:ind w:firstLine="642"/>
        <w:rPr>
          <w:rFonts w:asciiTheme="minorEastAsia" w:eastAsiaTheme="minorEastAsia" w:hAnsiTheme="minorEastAsia" w:cs="仿宋_GB2312" w:hint="default"/>
          <w:szCs w:val="32"/>
          <w:lang w:eastAsia="zh-CN"/>
        </w:rPr>
      </w:pPr>
    </w:p>
    <w:sectPr w:rsidR="00E326F5" w:rsidSect="00E326F5">
      <w:pgSz w:w="11906" w:h="16838"/>
      <w:pgMar w:top="1984" w:right="1701" w:bottom="198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2C" w:rsidRDefault="00BB362C" w:rsidP="00BB362C">
      <w:pPr>
        <w:rPr>
          <w:rFonts w:hint="default"/>
        </w:rPr>
      </w:pPr>
      <w:r>
        <w:separator/>
      </w:r>
    </w:p>
  </w:endnote>
  <w:endnote w:type="continuationSeparator" w:id="1">
    <w:p w:rsidR="00BB362C" w:rsidRDefault="00BB362C" w:rsidP="00BB362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2C" w:rsidRDefault="00BB362C" w:rsidP="00BB362C">
      <w:pPr>
        <w:rPr>
          <w:rFonts w:hint="default"/>
        </w:rPr>
      </w:pPr>
      <w:r>
        <w:separator/>
      </w:r>
    </w:p>
  </w:footnote>
  <w:footnote w:type="continuationSeparator" w:id="1">
    <w:p w:rsidR="00BB362C" w:rsidRDefault="00BB362C" w:rsidP="00BB362C">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NjYjU1YTNjODQyNmRkNmNkMjk2YTJkZWJmNjg0N2EifQ=="/>
  </w:docVars>
  <w:rsids>
    <w:rsidRoot w:val="53664E95"/>
    <w:rsid w:val="003412AF"/>
    <w:rsid w:val="003D1884"/>
    <w:rsid w:val="004D335C"/>
    <w:rsid w:val="006F355B"/>
    <w:rsid w:val="008C01D6"/>
    <w:rsid w:val="009B54E6"/>
    <w:rsid w:val="00A12A16"/>
    <w:rsid w:val="00AC1072"/>
    <w:rsid w:val="00BB362C"/>
    <w:rsid w:val="00BC0685"/>
    <w:rsid w:val="00C21752"/>
    <w:rsid w:val="00E326F5"/>
    <w:rsid w:val="08BF00DA"/>
    <w:rsid w:val="09970B85"/>
    <w:rsid w:val="14F16DBE"/>
    <w:rsid w:val="15117849"/>
    <w:rsid w:val="1B62732A"/>
    <w:rsid w:val="1C361372"/>
    <w:rsid w:val="2B851647"/>
    <w:rsid w:val="43E86ECE"/>
    <w:rsid w:val="45676743"/>
    <w:rsid w:val="48310DFB"/>
    <w:rsid w:val="53664E95"/>
    <w:rsid w:val="553228D9"/>
    <w:rsid w:val="57452F9B"/>
    <w:rsid w:val="7B225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6F5"/>
    <w:pPr>
      <w:widowControl w:val="0"/>
    </w:pPr>
    <w:rPr>
      <w:rFonts w:ascii="Courier New" w:eastAsia="仿宋_GB2312" w:hAnsi="Courier New" w:hint="eastAsia"/>
      <w:color w:val="000000"/>
      <w:sz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326F5"/>
    <w:pPr>
      <w:spacing w:beforeAutospacing="1" w:afterAutospacing="1"/>
    </w:pPr>
    <w:rPr>
      <w:rFonts w:cs="Times New Roman"/>
      <w:sz w:val="24"/>
      <w:lang w:val="en-US" w:eastAsia="zh-CN"/>
    </w:rPr>
  </w:style>
  <w:style w:type="paragraph" w:styleId="a4">
    <w:name w:val="header"/>
    <w:basedOn w:val="a"/>
    <w:link w:val="Char"/>
    <w:rsid w:val="00BB3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B362C"/>
    <w:rPr>
      <w:rFonts w:ascii="Courier New" w:eastAsia="仿宋_GB2312" w:hAnsi="Courier New"/>
      <w:color w:val="000000"/>
      <w:sz w:val="18"/>
      <w:szCs w:val="18"/>
      <w:lang w:val="zh-TW" w:eastAsia="zh-TW"/>
    </w:rPr>
  </w:style>
  <w:style w:type="paragraph" w:styleId="a5">
    <w:name w:val="footer"/>
    <w:basedOn w:val="a"/>
    <w:link w:val="Char0"/>
    <w:rsid w:val="00BB362C"/>
    <w:pPr>
      <w:tabs>
        <w:tab w:val="center" w:pos="4153"/>
        <w:tab w:val="right" w:pos="8306"/>
      </w:tabs>
      <w:snapToGrid w:val="0"/>
    </w:pPr>
    <w:rPr>
      <w:sz w:val="18"/>
      <w:szCs w:val="18"/>
    </w:rPr>
  </w:style>
  <w:style w:type="character" w:customStyle="1" w:styleId="Char0">
    <w:name w:val="页脚 Char"/>
    <w:basedOn w:val="a0"/>
    <w:link w:val="a5"/>
    <w:rsid w:val="00BB362C"/>
    <w:rPr>
      <w:rFonts w:ascii="Courier New" w:eastAsia="仿宋_GB2312" w:hAnsi="Courier New"/>
      <w:color w:val="000000"/>
      <w:sz w:val="18"/>
      <w:szCs w:val="18"/>
      <w:lang w:val="zh-TW" w:eastAsia="zh-TW"/>
    </w:rPr>
  </w:style>
</w:styles>
</file>

<file path=word/webSettings.xml><?xml version="1.0" encoding="utf-8"?>
<w:webSettings xmlns:r="http://schemas.openxmlformats.org/officeDocument/2006/relationships" xmlns:w="http://schemas.openxmlformats.org/wordprocessingml/2006/main">
  <w:divs>
    <w:div w:id="156175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2061</Words>
  <Characters>177</Characters>
  <Application>Microsoft Office Word</Application>
  <DocSecurity>0</DocSecurity>
  <Lines>1</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执念</dc:creator>
  <cp:lastModifiedBy>PC</cp:lastModifiedBy>
  <cp:revision>10</cp:revision>
  <dcterms:created xsi:type="dcterms:W3CDTF">2021-09-23T02:49:00Z</dcterms:created>
  <dcterms:modified xsi:type="dcterms:W3CDTF">2023-09-07T08:57:00Z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856A45702A064593892940343C61C06E</vt:lpwstr>
  </property>
</Properties>
</file>