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40" w:lineRule="exact"/>
        <w:ind w:firstLine="361" w:firstLineChars="100"/>
        <w:rPr>
          <w:rFonts w:hint="eastAsia" w:ascii="宋体" w:hAnsi="宋体" w:eastAsia="宋体" w:cs="宋体"/>
          <w:b/>
          <w:bCs/>
          <w:color w:val="222222"/>
          <w:w w:val="82"/>
          <w:kern w:val="0"/>
          <w:sz w:val="44"/>
          <w:szCs w:val="44"/>
        </w:rPr>
      </w:pPr>
      <w:r>
        <w:rPr>
          <w:rFonts w:hint="eastAsia" w:ascii="宋体" w:hAnsi="宋体" w:eastAsia="宋体" w:cs="宋体"/>
          <w:b/>
          <w:bCs/>
          <w:color w:val="222222"/>
          <w:w w:val="82"/>
          <w:kern w:val="0"/>
          <w:sz w:val="44"/>
          <w:szCs w:val="44"/>
          <w:lang w:val="en-US" w:eastAsia="zh-CN"/>
        </w:rPr>
        <w:t>202</w:t>
      </w:r>
      <w:r>
        <w:rPr>
          <w:rFonts w:hint="eastAsia" w:ascii="宋体" w:hAnsi="宋体" w:cs="宋体"/>
          <w:b/>
          <w:bCs/>
          <w:color w:val="222222"/>
          <w:w w:val="82"/>
          <w:kern w:val="0"/>
          <w:sz w:val="44"/>
          <w:szCs w:val="44"/>
          <w:lang w:val="en-US" w:eastAsia="zh-CN"/>
        </w:rPr>
        <w:t>2</w:t>
      </w:r>
      <w:r>
        <w:rPr>
          <w:rFonts w:hint="eastAsia" w:ascii="宋体" w:hAnsi="宋体" w:eastAsia="宋体" w:cs="宋体"/>
          <w:b/>
          <w:bCs/>
          <w:color w:val="222222"/>
          <w:w w:val="82"/>
          <w:kern w:val="0"/>
          <w:sz w:val="44"/>
          <w:szCs w:val="44"/>
          <w:lang w:val="en-US" w:eastAsia="zh-CN"/>
        </w:rPr>
        <w:t>年度武冈市</w:t>
      </w:r>
      <w:r>
        <w:rPr>
          <w:rFonts w:hint="eastAsia" w:ascii="宋体" w:hAnsi="宋体" w:cs="宋体"/>
          <w:b/>
          <w:bCs/>
          <w:color w:val="222222"/>
          <w:w w:val="82"/>
          <w:kern w:val="0"/>
          <w:sz w:val="44"/>
          <w:szCs w:val="44"/>
          <w:lang w:val="en-US" w:eastAsia="zh-CN"/>
        </w:rPr>
        <w:t>融媒体中心</w:t>
      </w:r>
      <w:r>
        <w:rPr>
          <w:rFonts w:hint="eastAsia" w:ascii="宋体" w:hAnsi="宋体" w:eastAsia="宋体" w:cs="宋体"/>
          <w:b/>
          <w:bCs/>
          <w:color w:val="222222"/>
          <w:w w:val="82"/>
          <w:kern w:val="0"/>
          <w:sz w:val="44"/>
          <w:szCs w:val="44"/>
        </w:rPr>
        <w:t>整体支出绩效评价</w:t>
      </w:r>
    </w:p>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宋体" w:cs="宋体"/>
          <w:b/>
          <w:bCs/>
          <w:color w:val="222222"/>
          <w:w w:val="82"/>
          <w:kern w:val="0"/>
          <w:sz w:val="44"/>
          <w:szCs w:val="44"/>
        </w:rPr>
      </w:pPr>
      <w:r>
        <w:rPr>
          <w:rFonts w:hint="eastAsia" w:ascii="宋体" w:hAnsi="宋体" w:eastAsia="宋体" w:cs="宋体"/>
          <w:b/>
          <w:bCs/>
          <w:color w:val="222222"/>
          <w:w w:val="82"/>
          <w:kern w:val="0"/>
          <w:sz w:val="44"/>
          <w:szCs w:val="44"/>
        </w:rPr>
        <w:t>报</w:t>
      </w:r>
      <w:r>
        <w:rPr>
          <w:rFonts w:hint="eastAsia" w:ascii="宋体" w:hAnsi="宋体" w:eastAsia="宋体" w:cs="宋体"/>
          <w:b/>
          <w:bCs/>
          <w:color w:val="222222"/>
          <w:w w:val="82"/>
          <w:kern w:val="0"/>
          <w:sz w:val="44"/>
          <w:szCs w:val="44"/>
          <w:lang w:val="en-US" w:eastAsia="zh-CN"/>
        </w:rPr>
        <w:t xml:space="preserve">      </w:t>
      </w:r>
      <w:r>
        <w:rPr>
          <w:rFonts w:hint="eastAsia" w:ascii="宋体" w:hAnsi="宋体" w:eastAsia="宋体" w:cs="宋体"/>
          <w:b/>
          <w:bCs/>
          <w:color w:val="222222"/>
          <w:w w:val="82"/>
          <w:kern w:val="0"/>
          <w:sz w:val="44"/>
          <w:szCs w:val="44"/>
        </w:rPr>
        <w:t>告</w:t>
      </w:r>
    </w:p>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宋体" w:cs="宋体"/>
          <w:b/>
          <w:bCs/>
          <w:color w:val="222222"/>
          <w:w w:val="82"/>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市财政局：</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按照市财政局关于绩效评价文件要求，现将我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部门整体支出绩效评价情况报告如下：</w:t>
      </w:r>
    </w:p>
    <w:p>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222222"/>
          <w:kern w:val="0"/>
          <w:sz w:val="32"/>
          <w:szCs w:val="32"/>
        </w:rPr>
      </w:pPr>
      <w:r>
        <w:rPr>
          <w:rFonts w:hint="eastAsia" w:ascii="黑体" w:hAnsi="黑体" w:eastAsia="黑体" w:cs="黑体"/>
          <w:color w:val="222222"/>
          <w:kern w:val="0"/>
          <w:sz w:val="32"/>
          <w:szCs w:val="32"/>
        </w:rPr>
        <w:t>一、</w:t>
      </w:r>
      <w:r>
        <w:rPr>
          <w:rFonts w:hint="eastAsia" w:ascii="黑体" w:hAnsi="黑体" w:eastAsia="黑体" w:cs="黑体"/>
          <w:color w:val="222222"/>
          <w:kern w:val="0"/>
          <w:sz w:val="32"/>
          <w:szCs w:val="32"/>
          <w:lang w:eastAsia="zh-CN"/>
        </w:rPr>
        <w:t>单位</w:t>
      </w:r>
      <w:r>
        <w:rPr>
          <w:rFonts w:hint="eastAsia" w:ascii="黑体" w:hAnsi="黑体" w:eastAsia="黑体" w:cs="黑体"/>
          <w:color w:val="222222"/>
          <w:kern w:val="0"/>
          <w:sz w:val="32"/>
          <w:szCs w:val="32"/>
        </w:rPr>
        <w:t>基本情况</w:t>
      </w:r>
    </w:p>
    <w:p>
      <w:pPr>
        <w:keepNext w:val="0"/>
        <w:keepLines w:val="0"/>
        <w:pageBreakBefore w:val="0"/>
        <w:widowControl/>
        <w:kinsoku/>
        <w:wordWrap/>
        <w:overflowPunct/>
        <w:topLinePunct w:val="0"/>
        <w:autoSpaceDE/>
        <w:autoSpaceDN/>
        <w:bidi w:val="0"/>
        <w:adjustRightInd/>
        <w:snapToGrid/>
        <w:spacing w:line="540" w:lineRule="exact"/>
        <w:ind w:firstLine="321" w:firstLineChars="100"/>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（一） 机构、人员构成</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2020年10月</w:t>
      </w:r>
      <w:r>
        <w:rPr>
          <w:rFonts w:hint="eastAsia" w:ascii="仿宋" w:hAnsi="仿宋" w:eastAsia="仿宋" w:cs="仿宋"/>
          <w:sz w:val="32"/>
          <w:szCs w:val="32"/>
          <w:lang w:eastAsia="zh-CN"/>
        </w:rPr>
        <w:t>武编办发〔</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80号文件精神并报邵阳市委编办批准（邵阳编办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104号），同意将武冈市广播电视台、武冈市新闻中心的有关职责整合，组建武冈市融媒体中心，为市委直属正科级财政全额拨款公益一类事业单位。内设有</w:t>
      </w:r>
      <w:r>
        <w:rPr>
          <w:rFonts w:hint="eastAsia" w:ascii="仿宋" w:hAnsi="仿宋" w:eastAsia="仿宋" w:cs="仿宋"/>
          <w:sz w:val="32"/>
          <w:szCs w:val="32"/>
        </w:rPr>
        <w:t>办公室、总编室、人</w:t>
      </w:r>
      <w:r>
        <w:rPr>
          <w:rFonts w:hint="eastAsia" w:ascii="仿宋" w:hAnsi="仿宋" w:eastAsia="仿宋" w:cs="仿宋"/>
          <w:sz w:val="32"/>
          <w:szCs w:val="32"/>
          <w:lang w:eastAsia="zh-CN"/>
        </w:rPr>
        <w:t>力资源部、</w:t>
      </w:r>
      <w:r>
        <w:rPr>
          <w:rFonts w:hint="eastAsia" w:ascii="仿宋" w:hAnsi="仿宋" w:eastAsia="仿宋" w:cs="仿宋"/>
          <w:sz w:val="32"/>
          <w:szCs w:val="32"/>
        </w:rPr>
        <w:t>财务</w:t>
      </w:r>
      <w:r>
        <w:rPr>
          <w:rFonts w:hint="eastAsia" w:ascii="仿宋" w:hAnsi="仿宋" w:eastAsia="仿宋" w:cs="仿宋"/>
          <w:sz w:val="32"/>
          <w:szCs w:val="32"/>
          <w:lang w:eastAsia="zh-CN"/>
        </w:rPr>
        <w:t>部、</w:t>
      </w:r>
      <w:r>
        <w:rPr>
          <w:rFonts w:hint="eastAsia" w:ascii="仿宋" w:hAnsi="仿宋" w:eastAsia="仿宋" w:cs="仿宋"/>
          <w:sz w:val="32"/>
          <w:szCs w:val="32"/>
        </w:rPr>
        <w:t>新闻</w:t>
      </w:r>
      <w:r>
        <w:rPr>
          <w:rFonts w:hint="eastAsia" w:ascii="仿宋" w:hAnsi="仿宋" w:eastAsia="仿宋" w:cs="仿宋"/>
          <w:sz w:val="32"/>
          <w:szCs w:val="32"/>
          <w:lang w:eastAsia="zh-CN"/>
        </w:rPr>
        <w:t>采访</w:t>
      </w:r>
      <w:r>
        <w:rPr>
          <w:rFonts w:hint="eastAsia" w:ascii="仿宋" w:hAnsi="仿宋" w:eastAsia="仿宋" w:cs="仿宋"/>
          <w:sz w:val="32"/>
          <w:szCs w:val="32"/>
        </w:rPr>
        <w:t>部、</w:t>
      </w:r>
      <w:r>
        <w:rPr>
          <w:rFonts w:hint="eastAsia" w:ascii="仿宋" w:hAnsi="仿宋" w:eastAsia="仿宋" w:cs="仿宋"/>
          <w:sz w:val="32"/>
          <w:szCs w:val="32"/>
          <w:lang w:eastAsia="zh-CN"/>
        </w:rPr>
        <w:t>全媒体编辑制作部、新媒体发展部、</w:t>
      </w:r>
      <w:r>
        <w:rPr>
          <w:rFonts w:hint="eastAsia" w:ascii="仿宋" w:hAnsi="仿宋" w:eastAsia="仿宋" w:cs="仿宋"/>
          <w:sz w:val="32"/>
          <w:szCs w:val="32"/>
        </w:rPr>
        <w:t>技术</w:t>
      </w:r>
      <w:r>
        <w:rPr>
          <w:rFonts w:hint="eastAsia" w:ascii="仿宋" w:hAnsi="仿宋" w:eastAsia="仿宋" w:cs="仿宋"/>
          <w:sz w:val="32"/>
          <w:szCs w:val="32"/>
          <w:lang w:eastAsia="zh-CN"/>
        </w:rPr>
        <w:t>安全保障</w:t>
      </w:r>
      <w:r>
        <w:rPr>
          <w:rFonts w:hint="eastAsia" w:ascii="仿宋" w:hAnsi="仿宋" w:eastAsia="仿宋" w:cs="仿宋"/>
          <w:sz w:val="32"/>
          <w:szCs w:val="32"/>
        </w:rPr>
        <w:t>部、</w:t>
      </w:r>
      <w:r>
        <w:rPr>
          <w:rFonts w:hint="eastAsia" w:ascii="仿宋" w:hAnsi="仿宋" w:eastAsia="仿宋" w:cs="仿宋"/>
          <w:sz w:val="32"/>
          <w:szCs w:val="32"/>
          <w:lang w:eastAsia="zh-CN"/>
        </w:rPr>
        <w:t>产业发展部</w:t>
      </w:r>
      <w:r>
        <w:rPr>
          <w:rFonts w:hint="eastAsia" w:ascii="仿宋" w:hAnsi="仿宋" w:eastAsia="仿宋" w:cs="仿宋"/>
          <w:sz w:val="32"/>
          <w:szCs w:val="32"/>
          <w:lang w:val="en-US" w:eastAsia="zh-CN"/>
        </w:rPr>
        <w:t>9</w:t>
      </w:r>
      <w:r>
        <w:rPr>
          <w:rFonts w:hint="eastAsia" w:ascii="仿宋" w:hAnsi="仿宋" w:eastAsia="仿宋" w:cs="仿宋"/>
          <w:sz w:val="32"/>
          <w:szCs w:val="32"/>
        </w:rPr>
        <w:t>个股</w:t>
      </w:r>
      <w:r>
        <w:rPr>
          <w:rFonts w:hint="eastAsia" w:ascii="仿宋" w:hAnsi="仿宋" w:eastAsia="仿宋" w:cs="仿宋"/>
          <w:sz w:val="32"/>
          <w:szCs w:val="32"/>
          <w:lang w:eastAsia="zh-CN"/>
        </w:rPr>
        <w:t>（部）</w:t>
      </w:r>
      <w:r>
        <w:rPr>
          <w:rFonts w:hint="eastAsia" w:ascii="仿宋" w:hAnsi="仿宋" w:eastAsia="仿宋" w:cs="仿宋"/>
          <w:sz w:val="32"/>
          <w:szCs w:val="32"/>
        </w:rPr>
        <w:t>室</w:t>
      </w:r>
      <w:r>
        <w:rPr>
          <w:rFonts w:hint="eastAsia" w:ascii="仿宋" w:hAnsi="仿宋" w:eastAsia="仿宋" w:cs="仿宋"/>
          <w:sz w:val="32"/>
          <w:szCs w:val="32"/>
          <w:lang w:eastAsia="zh-CN"/>
        </w:rPr>
        <w:t>及云山转播台、人民广播电台、融媒体事务中心</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个二级机构</w:t>
      </w:r>
      <w:r>
        <w:rPr>
          <w:rFonts w:hint="eastAsia" w:ascii="仿宋" w:hAnsi="仿宋" w:eastAsia="仿宋" w:cs="仿宋"/>
          <w:sz w:val="32"/>
          <w:szCs w:val="32"/>
        </w:rPr>
        <w:t>。全</w:t>
      </w:r>
      <w:r>
        <w:rPr>
          <w:rFonts w:hint="eastAsia" w:ascii="仿宋" w:hAnsi="仿宋" w:eastAsia="仿宋" w:cs="仿宋"/>
          <w:sz w:val="32"/>
          <w:szCs w:val="32"/>
          <w:lang w:eastAsia="zh-CN"/>
        </w:rPr>
        <w:t>中心（包括二级机构）共有</w:t>
      </w:r>
      <w:r>
        <w:rPr>
          <w:rFonts w:hint="eastAsia" w:ascii="仿宋" w:hAnsi="仿宋" w:eastAsia="仿宋" w:cs="仿宋"/>
          <w:sz w:val="32"/>
          <w:szCs w:val="32"/>
        </w:rPr>
        <w:t>干部职工</w:t>
      </w:r>
      <w:r>
        <w:rPr>
          <w:rFonts w:hint="eastAsia" w:ascii="仿宋" w:hAnsi="仿宋" w:eastAsia="仿宋" w:cs="仿宋"/>
          <w:sz w:val="32"/>
          <w:szCs w:val="32"/>
          <w:lang w:val="en-US" w:eastAsia="zh-CN"/>
        </w:rPr>
        <w:t>123</w:t>
      </w:r>
      <w:r>
        <w:rPr>
          <w:rFonts w:hint="eastAsia" w:ascii="仿宋" w:hAnsi="仿宋" w:eastAsia="仿宋" w:cs="仿宋"/>
          <w:sz w:val="32"/>
          <w:szCs w:val="32"/>
        </w:rPr>
        <w:t>人</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本级</w:t>
      </w:r>
      <w:r>
        <w:rPr>
          <w:rFonts w:hint="eastAsia" w:ascii="仿宋" w:hAnsi="仿宋" w:eastAsia="仿宋" w:cs="仿宋"/>
          <w:color w:val="222222"/>
          <w:kern w:val="0"/>
          <w:sz w:val="32"/>
          <w:szCs w:val="32"/>
          <w:lang w:eastAsia="zh-CN"/>
        </w:rPr>
        <w:t>和所属二级机构及</w:t>
      </w:r>
      <w:r>
        <w:rPr>
          <w:rFonts w:hint="eastAsia" w:ascii="仿宋" w:hAnsi="仿宋" w:eastAsia="仿宋" w:cs="仿宋"/>
          <w:color w:val="222222"/>
          <w:kern w:val="0"/>
          <w:sz w:val="32"/>
          <w:szCs w:val="32"/>
          <w:lang w:val="en-US" w:eastAsia="zh-CN"/>
        </w:rPr>
        <w:t>特岗人员</w:t>
      </w:r>
      <w:r>
        <w:rPr>
          <w:rFonts w:hint="eastAsia" w:ascii="仿宋" w:hAnsi="仿宋" w:eastAsia="仿宋" w:cs="仿宋"/>
          <w:color w:val="222222"/>
          <w:kern w:val="0"/>
          <w:sz w:val="32"/>
          <w:szCs w:val="32"/>
          <w:lang w:eastAsia="zh-CN"/>
        </w:rPr>
        <w:t>全部</w:t>
      </w:r>
      <w:r>
        <w:rPr>
          <w:rFonts w:hint="eastAsia" w:ascii="仿宋" w:hAnsi="仿宋" w:eastAsia="仿宋" w:cs="仿宋"/>
          <w:color w:val="222222"/>
          <w:kern w:val="0"/>
          <w:sz w:val="32"/>
          <w:szCs w:val="32"/>
        </w:rPr>
        <w:t>纳入了财政预算</w:t>
      </w:r>
      <w:r>
        <w:rPr>
          <w:rFonts w:hint="eastAsia" w:ascii="仿宋" w:hAnsi="仿宋" w:eastAsia="仿宋" w:cs="仿宋"/>
          <w:color w:val="222222"/>
          <w:kern w:val="0"/>
          <w:sz w:val="32"/>
          <w:szCs w:val="32"/>
          <w:lang w:eastAsia="zh-CN"/>
        </w:rPr>
        <w:t>。二级机构融媒体事务中心为正股级差额拨款公益二类事业单位</w:t>
      </w: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22</w:t>
      </w:r>
      <w:r>
        <w:rPr>
          <w:rFonts w:hint="eastAsia" w:ascii="仿宋" w:hAnsi="仿宋" w:eastAsia="仿宋" w:cs="仿宋"/>
          <w:color w:val="222222"/>
          <w:kern w:val="0"/>
          <w:sz w:val="32"/>
          <w:szCs w:val="32"/>
        </w:rPr>
        <w:t>年末，</w:t>
      </w:r>
      <w:r>
        <w:rPr>
          <w:rFonts w:hint="eastAsia" w:ascii="仿宋" w:hAnsi="仿宋" w:eastAsia="仿宋" w:cs="仿宋"/>
          <w:color w:val="222222"/>
          <w:kern w:val="0"/>
          <w:sz w:val="32"/>
          <w:szCs w:val="32"/>
          <w:lang w:eastAsia="zh-CN"/>
        </w:rPr>
        <w:t>中心本级</w:t>
      </w:r>
      <w:r>
        <w:rPr>
          <w:rFonts w:hint="eastAsia" w:ascii="仿宋" w:hAnsi="仿宋" w:eastAsia="仿宋" w:cs="仿宋"/>
          <w:color w:val="222222"/>
          <w:kern w:val="0"/>
          <w:sz w:val="32"/>
          <w:szCs w:val="32"/>
        </w:rPr>
        <w:t>编制人数为</w:t>
      </w:r>
      <w:r>
        <w:rPr>
          <w:rFonts w:hint="eastAsia" w:ascii="仿宋" w:hAnsi="仿宋" w:eastAsia="仿宋" w:cs="仿宋"/>
          <w:color w:val="222222"/>
          <w:kern w:val="0"/>
          <w:sz w:val="32"/>
          <w:szCs w:val="32"/>
          <w:lang w:val="en-US" w:eastAsia="zh-CN"/>
        </w:rPr>
        <w:t>70</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val="en-US" w:eastAsia="zh-CN"/>
        </w:rPr>
        <w:t>,</w:t>
      </w:r>
      <w:r>
        <w:rPr>
          <w:rFonts w:hint="eastAsia" w:ascii="仿宋" w:hAnsi="仿宋" w:eastAsia="仿宋" w:cs="仿宋"/>
          <w:color w:val="222222"/>
          <w:kern w:val="0"/>
          <w:sz w:val="32"/>
          <w:szCs w:val="32"/>
        </w:rPr>
        <w:t>实有在职人员</w:t>
      </w:r>
      <w:r>
        <w:rPr>
          <w:rFonts w:hint="eastAsia" w:ascii="仿宋" w:hAnsi="仿宋" w:eastAsia="仿宋" w:cs="仿宋"/>
          <w:color w:val="222222"/>
          <w:kern w:val="0"/>
          <w:sz w:val="32"/>
          <w:szCs w:val="32"/>
          <w:lang w:val="en-US" w:eastAsia="zh-CN"/>
        </w:rPr>
        <w:t>65</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二级机构</w:t>
      </w:r>
      <w:r>
        <w:rPr>
          <w:rFonts w:hint="eastAsia" w:ascii="仿宋" w:hAnsi="仿宋" w:eastAsia="仿宋" w:cs="仿宋"/>
          <w:color w:val="222222"/>
          <w:kern w:val="0"/>
          <w:sz w:val="32"/>
          <w:szCs w:val="32"/>
          <w:lang w:eastAsia="zh-CN"/>
        </w:rPr>
        <w:t>融媒体事务</w:t>
      </w:r>
      <w:r>
        <w:rPr>
          <w:rFonts w:hint="eastAsia" w:ascii="仿宋" w:hAnsi="仿宋" w:eastAsia="仿宋" w:cs="仿宋"/>
          <w:color w:val="222222"/>
          <w:kern w:val="0"/>
          <w:sz w:val="32"/>
          <w:szCs w:val="32"/>
          <w:lang w:val="en-US" w:eastAsia="zh-CN"/>
        </w:rPr>
        <w:t>中心编制人数为65人，年末</w:t>
      </w:r>
      <w:r>
        <w:rPr>
          <w:rFonts w:hint="eastAsia" w:ascii="仿宋" w:hAnsi="仿宋" w:eastAsia="仿宋" w:cs="仿宋"/>
          <w:color w:val="222222"/>
          <w:kern w:val="0"/>
          <w:sz w:val="32"/>
          <w:szCs w:val="32"/>
          <w:lang w:eastAsia="zh-CN"/>
        </w:rPr>
        <w:t>实有人数</w:t>
      </w:r>
      <w:r>
        <w:rPr>
          <w:rFonts w:hint="eastAsia" w:ascii="仿宋" w:hAnsi="仿宋" w:eastAsia="仿宋" w:cs="仿宋"/>
          <w:color w:val="222222"/>
          <w:kern w:val="0"/>
          <w:sz w:val="32"/>
          <w:szCs w:val="32"/>
          <w:lang w:val="en-US" w:eastAsia="zh-CN"/>
        </w:rPr>
        <w:t>58人；</w:t>
      </w:r>
      <w:r>
        <w:rPr>
          <w:rFonts w:hint="eastAsia" w:ascii="仿宋" w:hAnsi="仿宋" w:eastAsia="仿宋" w:cs="仿宋"/>
          <w:color w:val="222222"/>
          <w:kern w:val="0"/>
          <w:sz w:val="32"/>
          <w:szCs w:val="32"/>
        </w:rPr>
        <w:t>退休人员</w:t>
      </w:r>
      <w:r>
        <w:rPr>
          <w:rFonts w:hint="eastAsia" w:ascii="仿宋" w:hAnsi="仿宋" w:eastAsia="仿宋" w:cs="仿宋"/>
          <w:color w:val="222222"/>
          <w:kern w:val="0"/>
          <w:sz w:val="32"/>
          <w:szCs w:val="32"/>
          <w:lang w:val="en-US" w:eastAsia="zh-CN"/>
        </w:rPr>
        <w:t>49</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特岗人员8人。</w:t>
      </w:r>
    </w:p>
    <w:p>
      <w:pPr>
        <w:keepNext w:val="0"/>
        <w:keepLines w:val="0"/>
        <w:pageBreakBefore w:val="0"/>
        <w:widowControl/>
        <w:kinsoku/>
        <w:wordWrap/>
        <w:overflowPunct/>
        <w:topLinePunct w:val="0"/>
        <w:autoSpaceDE/>
        <w:autoSpaceDN/>
        <w:bidi w:val="0"/>
        <w:adjustRightInd/>
        <w:snapToGrid/>
        <w:spacing w:line="540" w:lineRule="exact"/>
        <w:ind w:firstLine="643"/>
        <w:jc w:val="left"/>
        <w:rPr>
          <w:rFonts w:hint="eastAsia" w:ascii="楷体" w:hAnsi="楷体" w:eastAsia="楷体" w:cs="楷体"/>
          <w:color w:val="222222"/>
          <w:kern w:val="0"/>
          <w:sz w:val="32"/>
          <w:szCs w:val="32"/>
        </w:rPr>
      </w:pPr>
      <w:r>
        <w:rPr>
          <w:rFonts w:hint="eastAsia" w:ascii="楷体" w:hAnsi="楷体" w:eastAsia="楷体" w:cs="楷体"/>
          <w:b/>
          <w:bCs/>
          <w:color w:val="222222"/>
          <w:kern w:val="0"/>
          <w:sz w:val="32"/>
          <w:szCs w:val="32"/>
        </w:rPr>
        <w:t>（二） 单位主要职责</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根据国家、省、邵阳及本市的总体规划和要求，推动传统媒体与新兴媒体融全发展。</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全面、准确、及时宣传党的路线、方针、政策，充分发挥党和政府的喉舌作用，承担传统媒体、新媒体的对内对外宣传工作，充分利用广播、电视、村村响、手机报、新闻网站、手机客户端、微博、微信、内部刊物等媒体平台，不断提高宣传质量，增强服务群众能力，正确引导舆论导向。</w:t>
      </w:r>
    </w:p>
    <w:p>
      <w:pPr>
        <w:keepNext w:val="0"/>
        <w:keepLines w:val="0"/>
        <w:pageBreakBefore w:val="0"/>
        <w:kinsoku/>
        <w:wordWrap/>
        <w:overflowPunct/>
        <w:topLinePunct w:val="0"/>
        <w:autoSpaceDE/>
        <w:autoSpaceDN/>
        <w:bidi w:val="0"/>
        <w:adjustRightInd/>
        <w:snapToGrid/>
        <w:spacing w:line="54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3、</w:t>
      </w:r>
      <w:r>
        <w:rPr>
          <w:rFonts w:hint="eastAsia" w:ascii="仿宋" w:hAnsi="仿宋" w:eastAsia="仿宋" w:cs="仿宋"/>
          <w:color w:val="000000"/>
          <w:sz w:val="32"/>
          <w:szCs w:val="32"/>
        </w:rPr>
        <w:t>贯彻执行国家广播电视技术政策标准，传播中央、省、市广播电视节目；负责本级广播电视、网站、新媒体平台内容的采编、制作、审核、播控和传输、发射、管理等工作，推动广播影视新媒本的发展。</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负责广播电视、互联网络重要技术设备监管，加强安全防范，保障各个平台安全播出；承担广播、电视等频率频道及网站域名、媒体平台账号等资源的报批、使用和管理工作。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负责武冈广播电视台、全市村村响、武冈手机报、武冈新闻网（红网武冈站）、新武冈微信公众号、武冈时刻新闻客户端、新武冈抖音等媒体平台的运行维护。承担新兴媒体的开发、更新、推广和管理事务性工作，加强内容生产管理，扩大受众覆盖范围，依法开展广告经营。</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指导协调市直单位、乡镇和园区的新闻宣传等有关业务工作。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承担政务新媒体服务工作，协助推进政务信息发布、便民服务、网络咨询服务和网上智慧城市服务等相关工作。</w:t>
      </w:r>
    </w:p>
    <w:p>
      <w:pPr>
        <w:keepNext w:val="0"/>
        <w:keepLines w:val="0"/>
        <w:pageBreakBefore w:val="0"/>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rPr>
        <w:t>市委、市人民政府</w:t>
      </w:r>
      <w:r>
        <w:rPr>
          <w:rFonts w:hint="eastAsia" w:ascii="仿宋" w:hAnsi="仿宋" w:eastAsia="仿宋" w:cs="仿宋"/>
          <w:color w:val="000000"/>
          <w:sz w:val="32"/>
          <w:szCs w:val="32"/>
          <w:lang w:eastAsia="zh-CN"/>
        </w:rPr>
        <w:t>和市委宣传部</w:t>
      </w:r>
      <w:r>
        <w:rPr>
          <w:rFonts w:hint="eastAsia" w:ascii="仿宋" w:hAnsi="仿宋" w:eastAsia="仿宋" w:cs="仿宋"/>
          <w:color w:val="000000"/>
          <w:sz w:val="32"/>
          <w:szCs w:val="32"/>
        </w:rPr>
        <w:t>交办的其他</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sz w:val="32"/>
          <w:szCs w:val="32"/>
        </w:rPr>
      </w:pPr>
      <w:r>
        <w:rPr>
          <w:rFonts w:hint="eastAsia" w:ascii="黑体" w:hAnsi="黑体" w:eastAsia="黑体" w:cs="黑体"/>
          <w:b/>
          <w:bCs/>
          <w:color w:val="222222"/>
          <w:kern w:val="0"/>
          <w:sz w:val="32"/>
          <w:szCs w:val="32"/>
        </w:rPr>
        <w:t>二、</w:t>
      </w:r>
      <w:r>
        <w:rPr>
          <w:rFonts w:ascii="Times New Roman" w:hAnsi="Times New Roman" w:eastAsia="黑体" w:cs="Times New Roman"/>
          <w:sz w:val="32"/>
          <w:szCs w:val="32"/>
        </w:rPr>
        <w:t>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武冈市融媒本中心本级及二级</w:t>
      </w:r>
      <w:r>
        <w:rPr>
          <w:rFonts w:hint="eastAsia" w:eastAsia="仿宋_GB2312" w:cs="Times New Roman"/>
          <w:color w:val="auto"/>
          <w:kern w:val="0"/>
          <w:sz w:val="32"/>
          <w:szCs w:val="32"/>
          <w:lang w:val="en-US" w:eastAsia="zh-CN"/>
        </w:rPr>
        <w:t>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年度一般公共预算财政拨款年初结转和结余20.46万元，本年收入</w:t>
      </w:r>
      <w:r>
        <w:rPr>
          <w:rFonts w:hint="eastAsia" w:eastAsia="仿宋_GB2312" w:cs="Times New Roman"/>
          <w:color w:val="auto"/>
          <w:kern w:val="0"/>
          <w:sz w:val="32"/>
          <w:szCs w:val="32"/>
          <w:lang w:val="en-US" w:eastAsia="zh-CN"/>
        </w:rPr>
        <w:t>1943.57</w:t>
      </w:r>
      <w:r>
        <w:rPr>
          <w:rFonts w:hint="eastAsia" w:ascii="Times New Roman" w:hAnsi="Times New Roman" w:eastAsia="仿宋_GB2312" w:cs="Times New Roman"/>
          <w:color w:val="auto"/>
          <w:kern w:val="0"/>
          <w:sz w:val="32"/>
          <w:szCs w:val="32"/>
          <w:lang w:val="en-US" w:eastAsia="zh-CN"/>
        </w:rPr>
        <w:t>万元，本年支出</w:t>
      </w:r>
      <w:r>
        <w:rPr>
          <w:rFonts w:hint="eastAsia" w:eastAsia="仿宋_GB2312" w:cs="Times New Roman"/>
          <w:color w:val="auto"/>
          <w:kern w:val="0"/>
          <w:sz w:val="32"/>
          <w:szCs w:val="32"/>
          <w:lang w:val="en-US" w:eastAsia="zh-CN"/>
        </w:rPr>
        <w:t>1964.03</w:t>
      </w:r>
      <w:r>
        <w:rPr>
          <w:rFonts w:hint="eastAsia" w:ascii="Times New Roman" w:hAnsi="Times New Roman" w:eastAsia="仿宋_GB2312" w:cs="Times New Roman"/>
          <w:color w:val="auto"/>
          <w:kern w:val="0"/>
          <w:sz w:val="32"/>
          <w:szCs w:val="32"/>
          <w:lang w:val="en-US" w:eastAsia="zh-CN"/>
        </w:rPr>
        <w:t>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武冈市融媒本中心本级及二级单位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年度一般公共预算财政拨款基本支出年初结转和结余</w:t>
      </w:r>
      <w:r>
        <w:rPr>
          <w:rFonts w:hint="eastAsia" w:eastAsia="仿宋_GB2312" w:cs="Times New Roman"/>
          <w:color w:val="auto"/>
          <w:kern w:val="0"/>
          <w:sz w:val="32"/>
          <w:szCs w:val="32"/>
          <w:lang w:val="en-US" w:eastAsia="zh-CN"/>
        </w:rPr>
        <w:t>20.46</w:t>
      </w:r>
      <w:r>
        <w:rPr>
          <w:rFonts w:hint="eastAsia" w:ascii="Times New Roman" w:hAnsi="Times New Roman" w:eastAsia="仿宋_GB2312" w:cs="Times New Roman"/>
          <w:color w:val="auto"/>
          <w:kern w:val="0"/>
          <w:sz w:val="32"/>
          <w:szCs w:val="32"/>
          <w:lang w:val="en-US" w:eastAsia="zh-CN"/>
        </w:rPr>
        <w:t>万元，本年收入</w:t>
      </w:r>
      <w:r>
        <w:rPr>
          <w:rFonts w:hint="eastAsia" w:eastAsia="仿宋_GB2312" w:cs="Times New Roman"/>
          <w:color w:val="auto"/>
          <w:kern w:val="0"/>
          <w:sz w:val="32"/>
          <w:szCs w:val="32"/>
          <w:lang w:val="en-US" w:eastAsia="zh-CN"/>
        </w:rPr>
        <w:t>1943.57</w:t>
      </w:r>
      <w:r>
        <w:rPr>
          <w:rFonts w:hint="eastAsia" w:ascii="Times New Roman" w:hAnsi="Times New Roman" w:eastAsia="仿宋_GB2312" w:cs="Times New Roman"/>
          <w:color w:val="auto"/>
          <w:kern w:val="0"/>
          <w:sz w:val="32"/>
          <w:szCs w:val="32"/>
          <w:lang w:val="en-US" w:eastAsia="zh-CN"/>
        </w:rPr>
        <w:t>万元，本年支出</w:t>
      </w:r>
      <w:r>
        <w:rPr>
          <w:rFonts w:hint="eastAsia" w:eastAsia="仿宋_GB2312" w:cs="Times New Roman"/>
          <w:color w:val="auto"/>
          <w:kern w:val="0"/>
          <w:sz w:val="32"/>
          <w:szCs w:val="32"/>
          <w:lang w:val="en-US" w:eastAsia="zh-CN"/>
        </w:rPr>
        <w:t>1964.03</w:t>
      </w:r>
      <w:r>
        <w:rPr>
          <w:rFonts w:hint="eastAsia" w:ascii="Times New Roman" w:hAnsi="Times New Roman" w:eastAsia="仿宋_GB2312" w:cs="Times New Roman"/>
          <w:color w:val="auto"/>
          <w:kern w:val="0"/>
          <w:sz w:val="32"/>
          <w:szCs w:val="32"/>
          <w:lang w:val="en-US" w:eastAsia="zh-CN"/>
        </w:rPr>
        <w:t>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武冈市融媒本中心本级及二级单位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年度一般公共预算财政拨款项目支出年初结转和结余</w:t>
      </w:r>
      <w:r>
        <w:rPr>
          <w:rFonts w:hint="eastAsia"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万元，本年支出</w:t>
      </w:r>
      <w:r>
        <w:rPr>
          <w:rFonts w:hint="eastAsia" w:eastAsia="仿宋_GB2312" w:cs="Times New Roman"/>
          <w:color w:val="auto"/>
          <w:kern w:val="0"/>
          <w:sz w:val="32"/>
          <w:szCs w:val="32"/>
          <w:lang w:val="en-US" w:eastAsia="zh-CN"/>
        </w:rPr>
        <w:t xml:space="preserve"> 0 </w:t>
      </w:r>
      <w:r>
        <w:rPr>
          <w:rFonts w:hint="eastAsia" w:ascii="Times New Roman" w:hAnsi="Times New Roman" w:eastAsia="仿宋_GB2312" w:cs="Times New Roman"/>
          <w:color w:val="auto"/>
          <w:kern w:val="0"/>
          <w:sz w:val="32"/>
          <w:szCs w:val="32"/>
          <w:lang w:val="en-US" w:eastAsia="zh-CN"/>
        </w:rPr>
        <w:t>万元，年末结转和结余</w:t>
      </w:r>
      <w:r>
        <w:rPr>
          <w:rFonts w:hint="eastAsia"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宋体" w:hAnsi="宋体" w:eastAsia="宋体" w:cs="宋体"/>
          <w:color w:val="000000"/>
          <w:kern w:val="2"/>
          <w:sz w:val="32"/>
          <w:szCs w:val="32"/>
          <w:lang w:val="en-US" w:eastAsia="zh-CN" w:bidi="ar-SA"/>
        </w:rPr>
      </w:pPr>
      <w:r>
        <w:rPr>
          <w:rFonts w:hint="eastAsia" w:ascii="仿宋" w:hAnsi="仿宋" w:eastAsia="仿宋" w:cs="仿宋"/>
          <w:color w:val="auto"/>
          <w:kern w:val="0"/>
          <w:sz w:val="32"/>
          <w:szCs w:val="32"/>
          <w:lang w:val="en-US" w:eastAsia="zh-CN" w:bidi="ar-SA"/>
        </w:rPr>
        <w:t>本单位及所属二级机构无资金性质为政府性基金的资金</w:t>
      </w:r>
      <w:r>
        <w:rPr>
          <w:rFonts w:hint="eastAsia" w:ascii="宋体" w:hAnsi="宋体" w:eastAsia="宋体" w:cs="宋体"/>
          <w:color w:val="auto"/>
          <w:kern w:val="0"/>
          <w:sz w:val="32"/>
          <w:szCs w:val="32"/>
          <w:lang w:val="en-US" w:eastAsia="zh-CN" w:bidi="ar-SA"/>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国有资本经营预算支出情况</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auto"/>
          <w:kern w:val="0"/>
          <w:sz w:val="32"/>
          <w:szCs w:val="32"/>
          <w:lang w:val="en-US" w:eastAsia="zh-CN" w:bidi="ar-SA"/>
        </w:rPr>
        <w:t>本单位及所属二级机构无资金性质为国有资本经营的资金。</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社会保险基金预算支出情况</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auto"/>
          <w:kern w:val="0"/>
          <w:sz w:val="32"/>
          <w:szCs w:val="32"/>
          <w:lang w:val="en-US" w:eastAsia="zh-CN" w:bidi="ar-SA"/>
        </w:rPr>
        <w:t>本单位及所属二级机构无资金性质为社会保险基金的资金。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2022年，</w:t>
      </w:r>
      <w:r>
        <w:rPr>
          <w:rFonts w:hint="eastAsia" w:ascii="仿宋" w:hAnsi="仿宋" w:eastAsia="仿宋" w:cs="仿宋"/>
          <w:sz w:val="32"/>
          <w:szCs w:val="32"/>
          <w:lang w:val="en-US" w:eastAsia="zh-CN"/>
        </w:rPr>
        <w:t>市融媒体</w:t>
      </w:r>
      <w:r>
        <w:rPr>
          <w:rFonts w:hint="eastAsia" w:ascii="仿宋" w:hAnsi="仿宋" w:eastAsia="仿宋" w:cs="仿宋"/>
          <w:sz w:val="32"/>
          <w:szCs w:val="32"/>
          <w:lang w:eastAsia="zh-CN"/>
        </w:rPr>
        <w:t>中心</w:t>
      </w:r>
      <w:r>
        <w:rPr>
          <w:rFonts w:hint="eastAsia" w:ascii="仿宋" w:hAnsi="仿宋" w:eastAsia="仿宋" w:cs="仿宋"/>
          <w:b w:val="0"/>
          <w:bCs w:val="0"/>
          <w:color w:val="000000"/>
          <w:sz w:val="32"/>
          <w:szCs w:val="32"/>
          <w:lang w:val="en-US" w:eastAsia="zh-CN"/>
        </w:rPr>
        <w:t>在人民日报、新华网、中国网、学习强国，湖南日报、湖南卫视、湖南红网，邵阳日报、邵阳广播电视台、邵阳新闻网等主流媒体上稿862篇。其中，人民网发表《2022年二季度湖南好人榜发布仪式暨中国好人与湖南好人现场交流活动在武冈举行》《武冈市：展现新作为，推动商务和开放型经济高质量发展》等优质稿件；新华网发表《湖南武冈举办首届云山啤酒卤菜节》《湖南武冈：“门前十小”助力乡村综合治理》等新闻稿件；7月11日新华社《高管信息》刊发武冈市委书记唐克俭同志署名文章《以“网格”之力助武冈基层治理》，社会反响良好；4月12日湖南日报头版头条刊发《武冈高标准推进农田建设》，湖南日报刊发了《武冈7000余名“单车干部”服务农家》《武冈以“赛”促“干”春意盎然》等稿件；</w:t>
      </w:r>
      <w:r>
        <w:rPr>
          <w:rFonts w:hint="eastAsia" w:ascii="仿宋" w:hAnsi="仿宋" w:eastAsia="仿宋" w:cs="仿宋"/>
          <w:color w:val="0C0C0C"/>
          <w:sz w:val="32"/>
          <w:szCs w:val="32"/>
          <w:lang w:val="en-US" w:eastAsia="zh-CN"/>
        </w:rPr>
        <w:t>参与湖南卫视“当好行动派”地市县（区)委书记访谈录、芒果TV“我的家乡最美”等大型节目的策划和采编工作，</w:t>
      </w:r>
      <w:r>
        <w:rPr>
          <w:rFonts w:hint="eastAsia" w:ascii="仿宋" w:hAnsi="仿宋" w:eastAsia="仿宋" w:cs="仿宋"/>
          <w:b w:val="0"/>
          <w:bCs w:val="0"/>
          <w:color w:val="000000"/>
          <w:sz w:val="32"/>
          <w:szCs w:val="32"/>
          <w:lang w:val="en-US" w:eastAsia="zh-CN"/>
        </w:rPr>
        <w:t>大力宣传和推介武冈的典型经验。</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（一）突出主体责任，</w:t>
      </w:r>
      <w:r>
        <w:rPr>
          <w:rFonts w:hint="eastAsia" w:ascii="楷体" w:hAnsi="楷体" w:eastAsia="楷体" w:cs="楷体"/>
          <w:b/>
          <w:bCs/>
          <w:sz w:val="32"/>
          <w:szCs w:val="32"/>
          <w:lang w:eastAsia="zh-CN"/>
        </w:rPr>
        <w:t>政治站位</w:t>
      </w:r>
      <w:r>
        <w:rPr>
          <w:rFonts w:hint="eastAsia" w:ascii="楷体" w:hAnsi="楷体" w:eastAsia="楷体" w:cs="楷体"/>
          <w:b/>
          <w:bCs/>
          <w:sz w:val="32"/>
          <w:szCs w:val="32"/>
          <w:lang w:val="en-US" w:eastAsia="zh-CN"/>
        </w:rPr>
        <w:t>更加稳固</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sz w:val="32"/>
          <w:szCs w:val="32"/>
          <w:lang w:val="en-US" w:eastAsia="zh-CN"/>
        </w:rPr>
        <w:t>市融媒体</w:t>
      </w:r>
      <w:r>
        <w:rPr>
          <w:rFonts w:hint="eastAsia" w:ascii="仿宋" w:hAnsi="仿宋" w:eastAsia="仿宋" w:cs="仿宋"/>
          <w:sz w:val="32"/>
          <w:szCs w:val="32"/>
          <w:lang w:eastAsia="zh-CN"/>
        </w:rPr>
        <w:t>中心</w:t>
      </w:r>
      <w:r>
        <w:rPr>
          <w:rFonts w:hint="eastAsia" w:ascii="仿宋" w:hAnsi="仿宋" w:eastAsia="仿宋" w:cs="仿宋"/>
          <w:b w:val="0"/>
          <w:bCs w:val="0"/>
          <w:sz w:val="32"/>
          <w:szCs w:val="32"/>
          <w:lang w:val="en-US" w:eastAsia="zh-CN"/>
        </w:rPr>
        <w:t>坚持</w:t>
      </w:r>
      <w:r>
        <w:rPr>
          <w:rFonts w:hint="eastAsia" w:ascii="仿宋" w:hAnsi="仿宋" w:eastAsia="仿宋" w:cs="仿宋"/>
          <w:b w:val="0"/>
          <w:bCs w:val="0"/>
          <w:sz w:val="32"/>
          <w:szCs w:val="32"/>
        </w:rPr>
        <w:t>党建引领发展</w:t>
      </w:r>
      <w:r>
        <w:rPr>
          <w:rFonts w:hint="eastAsia" w:ascii="仿宋" w:hAnsi="仿宋" w:eastAsia="仿宋" w:cs="仿宋"/>
          <w:b w:val="0"/>
          <w:bCs w:val="0"/>
          <w:sz w:val="32"/>
          <w:szCs w:val="32"/>
          <w:lang w:eastAsia="zh-CN"/>
        </w:rPr>
        <w:t>，强化宣传阵地意识，</w:t>
      </w:r>
      <w:r>
        <w:rPr>
          <w:rFonts w:hint="eastAsia" w:ascii="仿宋" w:hAnsi="仿宋" w:eastAsia="仿宋" w:cs="仿宋"/>
          <w:b w:val="0"/>
          <w:bCs w:val="0"/>
          <w:sz w:val="32"/>
          <w:szCs w:val="32"/>
        </w:rPr>
        <w:t>把牢舆论导向，落实意识形态工作责任制，</w:t>
      </w:r>
      <w:r>
        <w:rPr>
          <w:rFonts w:hint="eastAsia" w:ascii="仿宋" w:hAnsi="仿宋" w:eastAsia="仿宋" w:cs="仿宋"/>
          <w:sz w:val="32"/>
          <w:szCs w:val="32"/>
        </w:rPr>
        <w:t>始终把讲政治、把方向、管大局作为首要任务，</w:t>
      </w:r>
      <w:r>
        <w:rPr>
          <w:rFonts w:hint="eastAsia" w:ascii="仿宋" w:hAnsi="仿宋" w:eastAsia="仿宋" w:cs="仿宋"/>
          <w:b w:val="0"/>
          <w:bCs w:val="0"/>
          <w:sz w:val="32"/>
          <w:szCs w:val="32"/>
        </w:rPr>
        <w:t>为党员干部补足精神之“钙”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筑牢思想之“魂”。</w:t>
      </w:r>
      <w:r>
        <w:rPr>
          <w:rFonts w:hint="eastAsia" w:ascii="仿宋" w:hAnsi="仿宋" w:eastAsia="仿宋" w:cs="仿宋"/>
          <w:b w:val="0"/>
          <w:bCs w:val="0"/>
          <w:sz w:val="32"/>
          <w:szCs w:val="32"/>
          <w:lang w:val="en-US" w:eastAsia="zh-CN"/>
        </w:rPr>
        <w:t>同时，</w:t>
      </w:r>
      <w:r>
        <w:rPr>
          <w:rFonts w:hint="eastAsia" w:ascii="仿宋" w:hAnsi="仿宋" w:eastAsia="仿宋" w:cs="仿宋"/>
          <w:b w:val="0"/>
          <w:bCs w:val="0"/>
          <w:sz w:val="32"/>
          <w:szCs w:val="32"/>
        </w:rPr>
        <w:t>积极推进传统媒体和新媒体</w:t>
      </w:r>
      <w:r>
        <w:rPr>
          <w:rFonts w:hint="eastAsia" w:ascii="仿宋" w:hAnsi="仿宋" w:eastAsia="仿宋" w:cs="仿宋"/>
          <w:b w:val="0"/>
          <w:bCs w:val="0"/>
          <w:sz w:val="32"/>
          <w:szCs w:val="32"/>
          <w:lang w:val="en-US" w:eastAsia="zh-CN"/>
        </w:rPr>
        <w:t>深度</w:t>
      </w:r>
      <w:r>
        <w:rPr>
          <w:rFonts w:hint="eastAsia" w:ascii="仿宋" w:hAnsi="仿宋" w:eastAsia="仿宋" w:cs="仿宋"/>
          <w:b w:val="0"/>
          <w:bCs w:val="0"/>
          <w:sz w:val="32"/>
          <w:szCs w:val="32"/>
        </w:rPr>
        <w:t>融合，全面加强网上网下阵地管理，努力营造风清气正的网络空间</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清朗</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舆论空间</w:t>
      </w:r>
      <w:r>
        <w:rPr>
          <w:rFonts w:hint="eastAsia" w:ascii="仿宋" w:hAnsi="仿宋" w:eastAsia="仿宋" w:cs="仿宋"/>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（二）突出主业发展，正面宣传更加强劲</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2"/>
          <w:rFonts w:hint="eastAsia" w:ascii="仿宋" w:hAnsi="仿宋" w:eastAsia="仿宋" w:cs="仿宋"/>
          <w:b w:val="0"/>
          <w:i w:val="0"/>
          <w:caps w:val="0"/>
          <w:spacing w:val="0"/>
          <w:w w:val="100"/>
          <w:kern w:val="2"/>
          <w:sz w:val="32"/>
          <w:szCs w:val="32"/>
          <w:lang w:val="en-US" w:eastAsia="zh-CN" w:bidi="ar-SA"/>
        </w:rPr>
      </w:pPr>
      <w:r>
        <w:rPr>
          <w:rStyle w:val="12"/>
          <w:rFonts w:hint="eastAsia" w:ascii="仿宋" w:hAnsi="仿宋" w:eastAsia="仿宋" w:cs="仿宋"/>
          <w:b w:val="0"/>
          <w:bCs/>
          <w:i w:val="0"/>
          <w:caps w:val="0"/>
          <w:spacing w:val="0"/>
          <w:w w:val="100"/>
          <w:kern w:val="2"/>
          <w:sz w:val="32"/>
          <w:szCs w:val="32"/>
          <w:lang w:val="en-US" w:eastAsia="zh-CN" w:bidi="ar-SA"/>
        </w:rPr>
        <w:t>坚持党媒姓党，牢牢守住党的新闻宣传工作主阵地；坚持内容为王，致力打造“外树形象内聚合力”新格局。</w:t>
      </w:r>
      <w:r>
        <w:rPr>
          <w:rStyle w:val="12"/>
          <w:rFonts w:hint="eastAsia" w:ascii="仿宋" w:hAnsi="仿宋" w:eastAsia="仿宋" w:cs="仿宋"/>
          <w:b w:val="0"/>
          <w:i w:val="0"/>
          <w:caps w:val="0"/>
          <w:spacing w:val="0"/>
          <w:w w:val="100"/>
          <w:kern w:val="2"/>
          <w:sz w:val="32"/>
          <w:szCs w:val="32"/>
          <w:lang w:val="en-US" w:eastAsia="zh-CN" w:bidi="ar-SA"/>
        </w:rPr>
        <w:t>我们充分发挥主流媒体优势，在提高内容质量、增加上稿数量上下功夫，推出更多有深度有力度有广度有温度的作品。</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i w:val="0"/>
          <w:caps w:val="0"/>
          <w:spacing w:val="0"/>
          <w:w w:val="100"/>
          <w:kern w:val="0"/>
          <w:sz w:val="32"/>
          <w:szCs w:val="32"/>
          <w:lang w:val="en-US" w:eastAsia="zh-CN" w:bidi="ar-SA"/>
        </w:rPr>
      </w:pPr>
      <w:r>
        <w:rPr>
          <w:rStyle w:val="12"/>
          <w:rFonts w:hint="eastAsia" w:ascii="仿宋" w:hAnsi="仿宋" w:eastAsia="仿宋" w:cs="仿宋"/>
          <w:b/>
          <w:bCs/>
          <w:i w:val="0"/>
          <w:caps w:val="0"/>
          <w:spacing w:val="0"/>
          <w:w w:val="100"/>
          <w:kern w:val="0"/>
          <w:sz w:val="32"/>
          <w:szCs w:val="32"/>
          <w:lang w:val="en-US" w:eastAsia="zh-CN" w:bidi="ar-SA"/>
        </w:rPr>
        <w:t>1.不断建强舆论阵地。</w:t>
      </w:r>
      <w:r>
        <w:rPr>
          <w:rStyle w:val="12"/>
          <w:rFonts w:hint="eastAsia" w:ascii="仿宋" w:hAnsi="仿宋" w:eastAsia="仿宋" w:cs="仿宋"/>
          <w:b w:val="0"/>
          <w:i w:val="0"/>
          <w:caps w:val="0"/>
          <w:spacing w:val="0"/>
          <w:w w:val="100"/>
          <w:kern w:val="0"/>
          <w:sz w:val="32"/>
          <w:szCs w:val="32"/>
          <w:lang w:val="en-US" w:eastAsia="zh-CN" w:bidi="ar-SA"/>
        </w:rPr>
        <w:t>加大挖掘本地资源，抢占市内新闻舆论宣传阵地，</w:t>
      </w:r>
      <w:r>
        <w:rPr>
          <w:rStyle w:val="12"/>
          <w:rFonts w:hint="eastAsia" w:ascii="仿宋" w:hAnsi="仿宋" w:eastAsia="仿宋" w:cs="仿宋"/>
          <w:b w:val="0"/>
          <w:bCs w:val="0"/>
          <w:i w:val="0"/>
          <w:caps w:val="0"/>
          <w:spacing w:val="0"/>
          <w:w w:val="100"/>
          <w:kern w:val="2"/>
          <w:sz w:val="32"/>
          <w:szCs w:val="32"/>
          <w:lang w:val="en-US" w:eastAsia="zh-CN" w:bidi="ar-SA"/>
        </w:rPr>
        <w:t>在“新武冈App”开设政务、民生、服务、学习等多个栏目，连接全市512个新时代文明实践站所，建成集内容管理、网络宣传、问政投诉、舆情监测、民生服务等多功能于一体的新媒体综合平台，全力</w:t>
      </w:r>
      <w:r>
        <w:rPr>
          <w:rStyle w:val="12"/>
          <w:rFonts w:hint="eastAsia" w:ascii="仿宋" w:hAnsi="仿宋" w:eastAsia="仿宋" w:cs="仿宋"/>
          <w:b w:val="0"/>
          <w:i w:val="0"/>
          <w:caps w:val="0"/>
          <w:spacing w:val="0"/>
          <w:w w:val="100"/>
          <w:kern w:val="2"/>
          <w:sz w:val="32"/>
          <w:szCs w:val="32"/>
          <w:lang w:val="en-US" w:eastAsia="zh-CN" w:bidi="ar-SA"/>
        </w:rPr>
        <w:t>打通媒体融合“最后一公里”，连接用户“最后一公里”</w:t>
      </w:r>
      <w:r>
        <w:rPr>
          <w:rStyle w:val="12"/>
          <w:rFonts w:hint="eastAsia" w:ascii="仿宋" w:hAnsi="仿宋" w:eastAsia="仿宋" w:cs="仿宋"/>
          <w:b w:val="0"/>
          <w:bCs w:val="0"/>
          <w:i w:val="0"/>
          <w:caps w:val="0"/>
          <w:spacing w:val="0"/>
          <w:w w:val="1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bCs w:val="0"/>
          <w:i w:val="0"/>
          <w:caps w:val="0"/>
          <w:spacing w:val="0"/>
          <w:w w:val="100"/>
          <w:kern w:val="2"/>
          <w:sz w:val="32"/>
          <w:szCs w:val="32"/>
          <w:lang w:val="en-US" w:eastAsia="zh-CN" w:bidi="ar-SA"/>
        </w:rPr>
      </w:pPr>
      <w:r>
        <w:rPr>
          <w:rStyle w:val="12"/>
          <w:rFonts w:hint="eastAsia" w:ascii="仿宋" w:hAnsi="仿宋" w:eastAsia="仿宋" w:cs="仿宋"/>
          <w:b/>
          <w:bCs/>
          <w:i w:val="0"/>
          <w:caps w:val="0"/>
          <w:spacing w:val="0"/>
          <w:w w:val="100"/>
          <w:kern w:val="0"/>
          <w:sz w:val="32"/>
          <w:szCs w:val="32"/>
          <w:lang w:val="en-US" w:eastAsia="zh-CN" w:bidi="ar-SA"/>
        </w:rPr>
        <w:t>2.打造新型全媒体传播矩阵。</w:t>
      </w:r>
      <w:r>
        <w:rPr>
          <w:rStyle w:val="12"/>
          <w:rFonts w:hint="eastAsia" w:ascii="仿宋" w:hAnsi="仿宋" w:eastAsia="仿宋" w:cs="仿宋"/>
          <w:b w:val="0"/>
          <w:bCs w:val="0"/>
          <w:i w:val="0"/>
          <w:caps w:val="0"/>
          <w:spacing w:val="0"/>
          <w:w w:val="100"/>
          <w:kern w:val="0"/>
          <w:sz w:val="32"/>
          <w:szCs w:val="32"/>
          <w:lang w:val="en-US" w:eastAsia="zh-CN" w:bidi="ar-SA"/>
        </w:rPr>
        <w:t>打造新武冈App、武冈融媒微信公众号、视频号、抖音号，FM87.7广播电台、武冈时政频道、武冈新闻网、手机报等10个新媒体矩阵平台，吸纳政务服务</w:t>
      </w:r>
      <w:r>
        <w:rPr>
          <w:rFonts w:hint="eastAsia" w:ascii="仿宋" w:hAnsi="仿宋" w:eastAsia="仿宋" w:cs="仿宋"/>
          <w:color w:val="000000"/>
          <w:kern w:val="2"/>
          <w:sz w:val="32"/>
          <w:szCs w:val="32"/>
          <w:lang w:val="en-US" w:eastAsia="zh-CN" w:bidi="ar-SA"/>
        </w:rPr>
        <w:t>APP</w:t>
      </w:r>
      <w:r>
        <w:rPr>
          <w:rStyle w:val="12"/>
          <w:rFonts w:hint="eastAsia" w:ascii="仿宋" w:hAnsi="仿宋" w:eastAsia="仿宋" w:cs="仿宋"/>
          <w:b w:val="0"/>
          <w:bCs w:val="0"/>
          <w:i w:val="0"/>
          <w:caps w:val="0"/>
          <w:spacing w:val="0"/>
          <w:w w:val="100"/>
          <w:kern w:val="0"/>
          <w:sz w:val="32"/>
          <w:szCs w:val="32"/>
          <w:lang w:val="en-US" w:eastAsia="zh-CN" w:bidi="ar-SA"/>
        </w:rPr>
        <w:t>、民生服务</w:t>
      </w:r>
      <w:r>
        <w:rPr>
          <w:rFonts w:hint="eastAsia" w:ascii="仿宋" w:hAnsi="仿宋" w:eastAsia="仿宋" w:cs="仿宋"/>
          <w:color w:val="000000"/>
          <w:kern w:val="2"/>
          <w:sz w:val="32"/>
          <w:szCs w:val="32"/>
          <w:lang w:val="en-US" w:eastAsia="zh-CN" w:bidi="ar-SA"/>
        </w:rPr>
        <w:t>APP</w:t>
      </w:r>
      <w:r>
        <w:rPr>
          <w:rStyle w:val="12"/>
          <w:rFonts w:hint="eastAsia" w:ascii="仿宋" w:hAnsi="仿宋" w:eastAsia="仿宋" w:cs="仿宋"/>
          <w:b w:val="0"/>
          <w:bCs w:val="0"/>
          <w:i w:val="0"/>
          <w:caps w:val="0"/>
          <w:spacing w:val="0"/>
          <w:w w:val="100"/>
          <w:kern w:val="0"/>
          <w:sz w:val="32"/>
          <w:szCs w:val="32"/>
          <w:lang w:val="en-US" w:eastAsia="zh-CN" w:bidi="ar-SA"/>
        </w:rPr>
        <w:t>、新闻发布等6个终端，凸显报纸上有文字、电视上有画面、新媒体上有图片、视频全媒传播的立体效应，</w:t>
      </w:r>
      <w:r>
        <w:rPr>
          <w:rStyle w:val="12"/>
          <w:rFonts w:hint="eastAsia" w:ascii="仿宋" w:hAnsi="仿宋" w:eastAsia="仿宋" w:cs="仿宋"/>
          <w:b w:val="0"/>
          <w:bCs w:val="0"/>
          <w:i w:val="0"/>
          <w:caps w:val="0"/>
          <w:spacing w:val="0"/>
          <w:w w:val="100"/>
          <w:kern w:val="2"/>
          <w:sz w:val="32"/>
          <w:szCs w:val="32"/>
          <w:lang w:val="en-US" w:eastAsia="zh-CN" w:bidi="ar-SA"/>
        </w:rPr>
        <w:t>全面对接国家、省、市级主流网络媒体，营造出浓厚的宣传舆论氛围。</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bCs/>
          <w:i w:val="0"/>
          <w:caps w:val="0"/>
          <w:spacing w:val="0"/>
          <w:w w:val="100"/>
          <w:kern w:val="2"/>
          <w:sz w:val="32"/>
          <w:szCs w:val="32"/>
          <w:lang w:val="en-US" w:eastAsia="zh-CN" w:bidi="ar-SA"/>
        </w:rPr>
      </w:pPr>
      <w:r>
        <w:rPr>
          <w:rStyle w:val="12"/>
          <w:rFonts w:hint="eastAsia" w:ascii="仿宋" w:hAnsi="仿宋" w:eastAsia="仿宋" w:cs="仿宋"/>
          <w:b/>
          <w:bCs/>
          <w:i w:val="0"/>
          <w:caps w:val="0"/>
          <w:spacing w:val="0"/>
          <w:w w:val="100"/>
          <w:kern w:val="0"/>
          <w:sz w:val="32"/>
          <w:szCs w:val="32"/>
          <w:lang w:val="en-US" w:eastAsia="zh-CN" w:bidi="ar-SA"/>
        </w:rPr>
        <w:t>3.</w:t>
      </w:r>
      <w:r>
        <w:rPr>
          <w:rStyle w:val="12"/>
          <w:rFonts w:hint="eastAsia" w:ascii="仿宋" w:hAnsi="仿宋" w:eastAsia="仿宋" w:cs="仿宋"/>
          <w:b/>
          <w:bCs/>
          <w:i w:val="0"/>
          <w:caps w:val="0"/>
          <w:spacing w:val="0"/>
          <w:w w:val="100"/>
          <w:kern w:val="2"/>
          <w:sz w:val="32"/>
          <w:szCs w:val="32"/>
          <w:lang w:val="en-US" w:eastAsia="zh-CN" w:bidi="ar-SA"/>
        </w:rPr>
        <w:t>全面激发社会连接能力、融合生产能力、公共服务能力。</w:t>
      </w:r>
      <w:r>
        <w:rPr>
          <w:rStyle w:val="12"/>
          <w:rFonts w:hint="eastAsia" w:ascii="仿宋" w:hAnsi="仿宋" w:eastAsia="仿宋" w:cs="仿宋"/>
          <w:b w:val="0"/>
          <w:bCs w:val="0"/>
          <w:i w:val="0"/>
          <w:caps w:val="0"/>
          <w:spacing w:val="0"/>
          <w:w w:val="100"/>
          <w:kern w:val="0"/>
          <w:sz w:val="32"/>
          <w:szCs w:val="32"/>
          <w:lang w:val="en-US" w:eastAsia="zh-CN" w:bidi="ar-SA"/>
        </w:rPr>
        <w:t>围绕市委市政府的中心工作，各级各部门的重点工作，以及群众关注的热点难点问题，新武冈App政务服务栏目进行政策解读，发布通知公告，回应社会关切，确保“用户在哪里，阵地在哪里，融合就推进到哪里”，打通党政机关、企事业单位和广大群众之间的联系，牢牢掌握舆论战场的主动权和主导权。</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Fonts w:hint="eastAsia" w:ascii="楷体" w:hAnsi="楷体" w:eastAsia="楷体" w:cs="楷体"/>
          <w:b/>
          <w:bCs/>
          <w:sz w:val="32"/>
          <w:szCs w:val="32"/>
          <w:lang w:val="en-US" w:eastAsia="zh-CN"/>
        </w:rPr>
      </w:pPr>
      <w:r>
        <w:rPr>
          <w:rStyle w:val="12"/>
          <w:rFonts w:hint="eastAsia" w:ascii="仿宋" w:hAnsi="仿宋" w:eastAsia="仿宋" w:cs="仿宋"/>
          <w:b/>
          <w:bCs/>
          <w:i w:val="0"/>
          <w:caps w:val="0"/>
          <w:spacing w:val="0"/>
          <w:w w:val="100"/>
          <w:kern w:val="0"/>
          <w:sz w:val="32"/>
          <w:szCs w:val="32"/>
          <w:lang w:val="en-US" w:eastAsia="zh-CN" w:bidi="ar-SA"/>
        </w:rPr>
        <w:t>（三）</w:t>
      </w:r>
      <w:r>
        <w:rPr>
          <w:rFonts w:hint="eastAsia" w:ascii="楷体" w:hAnsi="楷体" w:eastAsia="楷体" w:cs="楷体"/>
          <w:b/>
          <w:bCs/>
          <w:sz w:val="32"/>
          <w:szCs w:val="32"/>
          <w:lang w:val="en-US" w:eastAsia="zh-CN"/>
        </w:rPr>
        <w:t>突出舆情稳控，思想引领更加高效</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 w:hAnsi="仿宋" w:eastAsia="仿宋" w:cs="仿宋"/>
          <w:color w:val="0F0F0F"/>
          <w:sz w:val="32"/>
          <w:szCs w:val="32"/>
        </w:rPr>
      </w:pPr>
      <w:r>
        <w:rPr>
          <w:rFonts w:hint="eastAsia" w:ascii="仿宋" w:hAnsi="仿宋" w:eastAsia="仿宋" w:cs="仿宋"/>
          <w:color w:val="0F0F0F"/>
          <w:sz w:val="32"/>
          <w:szCs w:val="32"/>
          <w:lang w:val="en-US" w:eastAsia="zh-CN"/>
        </w:rPr>
        <w:t>我们</w:t>
      </w:r>
      <w:r>
        <w:rPr>
          <w:rFonts w:hint="eastAsia" w:ascii="仿宋" w:hAnsi="仿宋" w:eastAsia="仿宋" w:cs="仿宋"/>
          <w:color w:val="0F0F0F"/>
          <w:sz w:val="32"/>
          <w:szCs w:val="32"/>
          <w:lang w:eastAsia="zh-CN"/>
        </w:rPr>
        <w:t>紧扣党管意识</w:t>
      </w:r>
      <w:r>
        <w:rPr>
          <w:rFonts w:hint="eastAsia" w:ascii="仿宋" w:hAnsi="仿宋" w:eastAsia="仿宋" w:cs="仿宋"/>
          <w:color w:val="0F0F0F"/>
          <w:sz w:val="32"/>
          <w:szCs w:val="32"/>
          <w:lang w:val="en-US" w:eastAsia="zh-CN"/>
        </w:rPr>
        <w:t>形态</w:t>
      </w:r>
      <w:r>
        <w:rPr>
          <w:rFonts w:hint="eastAsia" w:ascii="仿宋" w:hAnsi="仿宋" w:eastAsia="仿宋" w:cs="仿宋"/>
          <w:color w:val="0F0F0F"/>
          <w:sz w:val="32"/>
          <w:szCs w:val="32"/>
          <w:lang w:eastAsia="zh-CN"/>
        </w:rPr>
        <w:t>工作的要求，</w:t>
      </w:r>
      <w:r>
        <w:rPr>
          <w:rFonts w:hint="eastAsia" w:ascii="仿宋" w:hAnsi="仿宋" w:eastAsia="仿宋" w:cs="仿宋"/>
          <w:color w:val="0F0F0F"/>
          <w:sz w:val="32"/>
          <w:szCs w:val="32"/>
        </w:rPr>
        <w:t>发挥思想引领、舆论推动、精神激励作用，扎实做好意识形态工作。</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jc w:val="both"/>
        <w:rPr>
          <w:rFonts w:hint="eastAsia" w:ascii="仿宋" w:hAnsi="仿宋" w:eastAsia="仿宋" w:cs="仿宋"/>
          <w:color w:val="0F0F0F"/>
          <w:sz w:val="32"/>
          <w:szCs w:val="32"/>
          <w:lang w:eastAsia="zh-CN"/>
        </w:rPr>
      </w:pPr>
      <w:r>
        <w:rPr>
          <w:rFonts w:hint="eastAsia" w:ascii="仿宋" w:hAnsi="仿宋" w:eastAsia="仿宋" w:cs="仿宋"/>
          <w:b/>
          <w:bCs/>
          <w:color w:val="0F0F0F"/>
          <w:sz w:val="32"/>
          <w:szCs w:val="32"/>
          <w:lang w:eastAsia="zh-CN"/>
        </w:rPr>
        <w:t>一是抓好舆论引导传播正能量。</w:t>
      </w:r>
      <w:r>
        <w:rPr>
          <w:rFonts w:hint="eastAsia" w:ascii="仿宋" w:hAnsi="仿宋" w:eastAsia="仿宋" w:cs="仿宋"/>
          <w:kern w:val="0"/>
          <w:sz w:val="32"/>
          <w:szCs w:val="32"/>
        </w:rPr>
        <w:t>牢牢把握舆论导向，牢固树立</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意识，坚持“三贴近”“三深入”</w:t>
      </w:r>
      <w:r>
        <w:rPr>
          <w:rFonts w:hint="eastAsia" w:ascii="仿宋" w:hAnsi="仿宋" w:eastAsia="仿宋" w:cs="仿宋"/>
          <w:kern w:val="0"/>
          <w:sz w:val="32"/>
          <w:szCs w:val="32"/>
          <w:lang w:eastAsia="zh-CN"/>
        </w:rPr>
        <w:t>，</w:t>
      </w:r>
      <w:r>
        <w:rPr>
          <w:rFonts w:hint="eastAsia" w:ascii="仿宋" w:hAnsi="仿宋" w:eastAsia="仿宋" w:cs="仿宋"/>
          <w:color w:val="000000"/>
          <w:kern w:val="0"/>
          <w:sz w:val="32"/>
          <w:szCs w:val="32"/>
        </w:rPr>
        <w:t>突出党的建设抓宣传，突出现代特色农业抓宣传，突出民生改善抓宣传，突出社会管理创新抓宣传，突出环境整治抓宣传</w:t>
      </w:r>
      <w:r>
        <w:rPr>
          <w:rFonts w:hint="eastAsia" w:ascii="仿宋" w:hAnsi="仿宋" w:eastAsia="仿宋" w:cs="仿宋"/>
          <w:color w:val="000000"/>
          <w:kern w:val="0"/>
          <w:sz w:val="32"/>
          <w:szCs w:val="32"/>
          <w:lang w:eastAsia="zh-CN"/>
        </w:rPr>
        <w:t>。</w:t>
      </w:r>
      <w:r>
        <w:rPr>
          <w:rFonts w:hint="eastAsia" w:ascii="仿宋" w:hAnsi="仿宋" w:eastAsia="仿宋" w:cs="仿宋"/>
          <w:b w:val="0"/>
          <w:bCs w:val="0"/>
          <w:sz w:val="32"/>
          <w:szCs w:val="32"/>
          <w:lang w:val="en-US" w:eastAsia="zh-CN"/>
        </w:rPr>
        <w:t>加大全市安全生产百日竞赛活动，加大打击毒品违法犯罪活动和，加大打击治理电信网络违法犯罪宣传力度。聚焦重点项目建设、疫情防控、森林防火、乡村振兴开辟专栏，</w:t>
      </w:r>
      <w:r>
        <w:rPr>
          <w:rFonts w:hint="eastAsia" w:ascii="仿宋" w:hAnsi="仿宋" w:eastAsia="仿宋" w:cs="仿宋"/>
          <w:kern w:val="0"/>
          <w:sz w:val="32"/>
          <w:szCs w:val="32"/>
        </w:rPr>
        <w:t>主动服务</w:t>
      </w:r>
      <w:r>
        <w:rPr>
          <w:rFonts w:hint="eastAsia" w:ascii="仿宋" w:hAnsi="仿宋" w:eastAsia="仿宋" w:cs="仿宋"/>
          <w:kern w:val="0"/>
          <w:sz w:val="32"/>
          <w:szCs w:val="32"/>
          <w:lang w:val="en-US" w:eastAsia="zh-CN"/>
        </w:rPr>
        <w:t>于</w:t>
      </w:r>
      <w:r>
        <w:rPr>
          <w:rFonts w:hint="eastAsia" w:ascii="仿宋" w:hAnsi="仿宋" w:eastAsia="仿宋" w:cs="仿宋"/>
          <w:kern w:val="0"/>
          <w:sz w:val="32"/>
          <w:szCs w:val="32"/>
        </w:rPr>
        <w:t>市委政府</w:t>
      </w:r>
      <w:r>
        <w:rPr>
          <w:rFonts w:hint="eastAsia" w:ascii="仿宋" w:hAnsi="仿宋" w:eastAsia="仿宋" w:cs="仿宋"/>
          <w:kern w:val="0"/>
          <w:sz w:val="32"/>
          <w:szCs w:val="32"/>
          <w:lang w:val="en-US" w:eastAsia="zh-CN"/>
        </w:rPr>
        <w:t>中心</w:t>
      </w:r>
      <w:r>
        <w:rPr>
          <w:rFonts w:hint="eastAsia" w:ascii="仿宋" w:hAnsi="仿宋" w:eastAsia="仿宋" w:cs="仿宋"/>
          <w:kern w:val="0"/>
          <w:sz w:val="32"/>
          <w:szCs w:val="32"/>
        </w:rPr>
        <w:t>工作大局，充分发挥宣传党的主张、弘扬社会正气、通达社情民意、引导社会热点、加强舆论监督的作用。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0F0F0F"/>
          <w:kern w:val="0"/>
          <w:sz w:val="32"/>
          <w:szCs w:val="32"/>
          <w:lang w:val="en-US" w:eastAsia="zh-CN" w:bidi="ar-SA"/>
        </w:rPr>
        <w:t>二是聚焦重大主题形成舆论强势。</w:t>
      </w:r>
      <w:r>
        <w:rPr>
          <w:rFonts w:hint="eastAsia" w:ascii="仿宋" w:hAnsi="仿宋" w:eastAsia="仿宋" w:cs="仿宋"/>
          <w:b w:val="0"/>
          <w:bCs w:val="0"/>
          <w:color w:val="0F0F0F"/>
          <w:kern w:val="0"/>
          <w:sz w:val="32"/>
          <w:szCs w:val="32"/>
          <w:lang w:val="en-US" w:eastAsia="zh-CN" w:bidi="ar-SA"/>
        </w:rPr>
        <w:t>聚焦宣传习近平总书记思想，开展“领航”“足迹”主题报道，开设《新时代新征程 ——喜迎二十大》专栏，推出“伟大的变革”“非凡的成就”“新时代的十年”“奋进新征程建功新时代”等系列专题报道，组织“学习贯彻党的二十大精神”主题采访活动。</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（四）突出精品创作，文化产品更加丰富</w:t>
      </w:r>
    </w:p>
    <w:p>
      <w:pPr>
        <w:pStyle w:val="5"/>
        <w:keepNext w:val="0"/>
        <w:keepLines w:val="0"/>
        <w:pageBreakBefore w:val="0"/>
        <w:kinsoku/>
        <w:wordWrap/>
        <w:overflowPunct/>
        <w:topLinePunct w:val="0"/>
        <w:autoSpaceDE/>
        <w:autoSpaceDN/>
        <w:bidi w:val="0"/>
        <w:adjustRightInd/>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采用“一个渠道、编辑分设、记者共用、信息共享、各取所需、共同整合”的工作模式，统筹全市对内对外宣传工作。整合原有传播载体，与人民日报、新华网、中新网、湖南日报、湖南卫视、红网等中央、省级媒体合作，构建起新的媒体矩阵，打造主流舆论阵地。</w:t>
      </w:r>
      <w:bookmarkStart w:id="0" w:name="_GoBack"/>
      <w:bookmarkEnd w:id="0"/>
    </w:p>
    <w:p>
      <w:pPr>
        <w:pStyle w:val="5"/>
        <w:keepNext w:val="0"/>
        <w:keepLines w:val="0"/>
        <w:pageBreakBefore w:val="0"/>
        <w:kinsoku/>
        <w:wordWrap/>
        <w:overflowPunct/>
        <w:topLinePunct w:val="0"/>
        <w:autoSpaceDE/>
        <w:autoSpaceDN/>
        <w:bidi w:val="0"/>
        <w:adjustRightInd/>
        <w:spacing w:line="560"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000000"/>
          <w:kern w:val="2"/>
          <w:sz w:val="32"/>
          <w:szCs w:val="32"/>
          <w:lang w:val="en-US" w:eastAsia="zh-CN" w:bidi="ar-SA"/>
        </w:rPr>
        <w:t>坚持深度融合。</w:t>
      </w:r>
      <w:r>
        <w:rPr>
          <w:rFonts w:hint="eastAsia" w:ascii="仿宋" w:hAnsi="仿宋" w:eastAsia="仿宋" w:cs="仿宋"/>
          <w:color w:val="000000"/>
          <w:kern w:val="2"/>
          <w:sz w:val="32"/>
          <w:szCs w:val="32"/>
          <w:lang w:val="en-US" w:eastAsia="zh-CN" w:bidi="ar-SA"/>
        </w:rPr>
        <w:t>统一运营管理电视台、新武冈微信公众号、武冈新闻网、武冈广播电台、武冈手机报、新武冈官方微博、武冈红网时刻，吸纳政务服务APP、民生服务APP，整合新闻发布终端6个，增加固定“粉丝”12万人，热点新闻点击率增加6万以上。</w:t>
      </w:r>
    </w:p>
    <w:p>
      <w:pPr>
        <w:pStyle w:val="5"/>
        <w:keepNext w:val="0"/>
        <w:keepLines w:val="0"/>
        <w:pageBreakBefore w:val="0"/>
        <w:kinsoku/>
        <w:wordWrap/>
        <w:overflowPunct/>
        <w:topLinePunct w:val="0"/>
        <w:autoSpaceDE/>
        <w:autoSpaceDN/>
        <w:bidi w:val="0"/>
        <w:adjustRightInd/>
        <w:spacing w:line="560" w:lineRule="exact"/>
        <w:ind w:firstLine="642"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2.创新文化产品。</w:t>
      </w:r>
      <w:r>
        <w:rPr>
          <w:rFonts w:hint="eastAsia" w:ascii="仿宋" w:hAnsi="仿宋" w:eastAsia="仿宋" w:cs="仿宋"/>
          <w:color w:val="000000"/>
          <w:kern w:val="2"/>
          <w:sz w:val="32"/>
          <w:szCs w:val="32"/>
          <w:lang w:val="en-US" w:eastAsia="zh-CN" w:bidi="ar-SA"/>
        </w:rPr>
        <w:t>运用音乐、图片、视频等多种传播元素，创作短视频、H5作品，采用群众喜闻乐见的方式，推出</w:t>
      </w:r>
      <w:r>
        <w:rPr>
          <w:rFonts w:hint="eastAsia" w:ascii="仿宋" w:hAnsi="仿宋" w:eastAsia="仿宋" w:cs="仿宋"/>
          <w:b w:val="0"/>
          <w:bCs w:val="0"/>
          <w:sz w:val="32"/>
          <w:szCs w:val="32"/>
          <w:lang w:val="en-US" w:eastAsia="zh-CN"/>
        </w:rPr>
        <w:t>形式多样、贴近民生的文化产品</w:t>
      </w:r>
      <w:r>
        <w:rPr>
          <w:rFonts w:hint="eastAsia" w:ascii="仿宋" w:hAnsi="仿宋" w:eastAsia="仿宋" w:cs="仿宋"/>
          <w:color w:val="000000"/>
          <w:kern w:val="2"/>
          <w:sz w:val="32"/>
          <w:szCs w:val="32"/>
          <w:lang w:val="en-US" w:eastAsia="zh-CN" w:bidi="ar-SA"/>
        </w:rPr>
        <w:t>，讲好武冈故事，传播好武冈声音</w:t>
      </w:r>
      <w:r>
        <w:rPr>
          <w:rFonts w:hint="eastAsia" w:ascii="仿宋" w:hAnsi="仿宋" w:eastAsia="仿宋" w:cs="仿宋"/>
          <w:b w:val="0"/>
          <w:bCs w:val="0"/>
          <w:sz w:val="32"/>
          <w:szCs w:val="32"/>
          <w:lang w:val="en-US" w:eastAsia="zh-CN"/>
        </w:rPr>
        <w:t>。</w:t>
      </w:r>
      <w:r>
        <w:rPr>
          <w:rFonts w:hint="eastAsia" w:ascii="仿宋" w:hAnsi="仿宋" w:eastAsia="仿宋" w:cs="仿宋"/>
          <w:color w:val="000000"/>
          <w:kern w:val="2"/>
          <w:sz w:val="32"/>
          <w:szCs w:val="32"/>
          <w:lang w:val="en-US" w:eastAsia="zh-CN" w:bidi="ar-SA"/>
        </w:rPr>
        <w:t>今年我们共发布短视频304个，其中视频号平台点赞量110175，浏览量9721920人/次，在新武冈、武冈融媒微信公众号平台发布咨讯1824条，平均每天6条。</w:t>
      </w:r>
      <w:r>
        <w:rPr>
          <w:rFonts w:hint="eastAsia" w:ascii="仿宋" w:hAnsi="仿宋" w:eastAsia="仿宋" w:cs="仿宋"/>
          <w:sz w:val="32"/>
          <w:szCs w:val="32"/>
          <w:lang w:val="en-US" w:eastAsia="zh-CN"/>
        </w:rPr>
        <w:t>上级网站转发武冈资讯10505条。</w:t>
      </w:r>
    </w:p>
    <w:p>
      <w:pPr>
        <w:keepNext w:val="0"/>
        <w:keepLines w:val="0"/>
        <w:pageBreakBefore w:val="0"/>
        <w:widowControl w:val="0"/>
        <w:kinsoku/>
        <w:wordWrap/>
        <w:overflowPunct/>
        <w:topLinePunct w:val="0"/>
        <w:autoSpaceDE/>
        <w:autoSpaceDN/>
        <w:bidi w:val="0"/>
        <w:adjustRightInd/>
        <w:spacing w:line="560" w:lineRule="exact"/>
        <w:ind w:firstLine="642" w:firstLineChars="200"/>
        <w:rPr>
          <w:rFonts w:hint="eastAsia" w:ascii="楷体" w:hAnsi="楷体" w:eastAsia="楷体" w:cs="楷体"/>
          <w:b/>
          <w:bCs/>
          <w:kern w:val="2"/>
          <w:sz w:val="32"/>
          <w:szCs w:val="32"/>
          <w:lang w:val="en-US" w:eastAsia="zh-CN" w:bidi="ar-SA"/>
        </w:rPr>
      </w:pPr>
      <w:r>
        <w:rPr>
          <w:rStyle w:val="12"/>
          <w:rFonts w:hint="eastAsia" w:ascii="楷体" w:hAnsi="楷体" w:eastAsia="楷体" w:cs="楷体"/>
          <w:b/>
          <w:bCs w:val="0"/>
          <w:i w:val="0"/>
          <w:caps w:val="0"/>
          <w:spacing w:val="0"/>
          <w:w w:val="100"/>
          <w:kern w:val="2"/>
          <w:sz w:val="32"/>
          <w:szCs w:val="32"/>
          <w:lang w:val="en-US" w:eastAsia="zh-CN" w:bidi="ar-SA"/>
        </w:rPr>
        <w:t>（五）</w:t>
      </w:r>
      <w:r>
        <w:rPr>
          <w:rFonts w:hint="eastAsia" w:ascii="楷体" w:hAnsi="楷体" w:eastAsia="楷体" w:cs="楷体"/>
          <w:b/>
          <w:bCs/>
          <w:kern w:val="2"/>
          <w:sz w:val="32"/>
          <w:szCs w:val="32"/>
          <w:lang w:val="en-US" w:eastAsia="zh-CN" w:bidi="ar-SA"/>
        </w:rPr>
        <w:t>突出改革创新，全力推进从“相加”向“相融”转变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2"/>
          <w:rFonts w:hint="eastAsia" w:ascii="仿宋" w:hAnsi="仿宋" w:eastAsia="仿宋" w:cs="仿宋"/>
          <w:b w:val="0"/>
          <w:i w:val="0"/>
          <w:caps w:val="0"/>
          <w:spacing w:val="0"/>
          <w:w w:val="100"/>
          <w:kern w:val="2"/>
          <w:sz w:val="32"/>
          <w:szCs w:val="32"/>
          <w:lang w:val="en-US" w:eastAsia="zh-CN" w:bidi="ar-SA"/>
        </w:rPr>
      </w:pPr>
      <w:r>
        <w:rPr>
          <w:rStyle w:val="12"/>
          <w:rFonts w:hint="eastAsia" w:ascii="仿宋" w:hAnsi="仿宋" w:eastAsia="仿宋" w:cs="仿宋"/>
          <w:b w:val="0"/>
          <w:i w:val="0"/>
          <w:caps w:val="0"/>
          <w:spacing w:val="0"/>
          <w:w w:val="100"/>
          <w:kern w:val="2"/>
          <w:sz w:val="32"/>
          <w:szCs w:val="32"/>
          <w:lang w:val="en-US" w:eastAsia="zh-CN" w:bidi="ar-SA"/>
        </w:rPr>
        <w:t>我们全面深化机构、编制、人事、管理等领域改革，打破发展瓶颈，激发内生动力。</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i w:val="0"/>
          <w:caps w:val="0"/>
          <w:spacing w:val="0"/>
          <w:w w:val="100"/>
          <w:kern w:val="2"/>
          <w:sz w:val="32"/>
          <w:szCs w:val="32"/>
          <w:lang w:val="en-US" w:eastAsia="zh-CN" w:bidi="ar-SA"/>
        </w:rPr>
      </w:pPr>
      <w:r>
        <w:rPr>
          <w:rStyle w:val="12"/>
          <w:rFonts w:hint="eastAsia" w:ascii="仿宋" w:hAnsi="仿宋" w:eastAsia="仿宋" w:cs="仿宋"/>
          <w:b/>
          <w:bCs/>
          <w:i w:val="0"/>
          <w:caps w:val="0"/>
          <w:spacing w:val="0"/>
          <w:w w:val="100"/>
          <w:kern w:val="2"/>
          <w:sz w:val="32"/>
          <w:szCs w:val="32"/>
          <w:lang w:val="en-US" w:eastAsia="zh-CN" w:bidi="ar-SA"/>
        </w:rPr>
        <w:t>1.突破壁垒障碍，实现新闻资源高度整合。</w:t>
      </w:r>
      <w:r>
        <w:rPr>
          <w:rStyle w:val="12"/>
          <w:rFonts w:hint="eastAsia" w:ascii="仿宋" w:hAnsi="仿宋" w:eastAsia="仿宋" w:cs="仿宋"/>
          <w:b w:val="0"/>
          <w:i w:val="0"/>
          <w:caps w:val="0"/>
          <w:spacing w:val="0"/>
          <w:w w:val="100"/>
          <w:kern w:val="2"/>
          <w:sz w:val="32"/>
          <w:szCs w:val="32"/>
          <w:lang w:val="en-US" w:eastAsia="zh-CN" w:bidi="ar-SA"/>
        </w:rPr>
        <w:t>对新闻选题统一策划，采编人员统一调度，各类媒体一体运营，推进各种媒介资源、生产要素有效整合，构建“一次采集、多元生成、多端发布”的融媒体生产架构和一套人马、一个出口、同一口径的三级审核编发体系，让广播、电视、网站、手机客户端、微信公众号等平台同声同调、同频共振。</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i w:val="0"/>
          <w:caps w:val="0"/>
          <w:spacing w:val="0"/>
          <w:w w:val="100"/>
          <w:kern w:val="0"/>
          <w:sz w:val="32"/>
          <w:szCs w:val="32"/>
          <w:lang w:val="en-US" w:eastAsia="zh-CN" w:bidi="ar-SA"/>
        </w:rPr>
      </w:pPr>
      <w:r>
        <w:rPr>
          <w:rStyle w:val="12"/>
          <w:rFonts w:hint="eastAsia" w:ascii="仿宋" w:hAnsi="仿宋" w:eastAsia="仿宋" w:cs="仿宋"/>
          <w:b/>
          <w:bCs/>
          <w:i w:val="0"/>
          <w:caps w:val="0"/>
          <w:spacing w:val="0"/>
          <w:w w:val="100"/>
          <w:kern w:val="2"/>
          <w:sz w:val="32"/>
          <w:szCs w:val="32"/>
          <w:lang w:val="en-US" w:eastAsia="zh-CN" w:bidi="ar-SA"/>
        </w:rPr>
        <w:t>2.加大培养力度，打造责权利一体的新闻队伍。</w:t>
      </w:r>
      <w:r>
        <w:rPr>
          <w:rStyle w:val="12"/>
          <w:rFonts w:hint="eastAsia" w:ascii="仿宋" w:hAnsi="仿宋" w:eastAsia="仿宋" w:cs="仿宋"/>
          <w:b w:val="0"/>
          <w:i w:val="0"/>
          <w:caps w:val="0"/>
          <w:spacing w:val="0"/>
          <w:w w:val="100"/>
          <w:kern w:val="2"/>
          <w:sz w:val="32"/>
          <w:szCs w:val="32"/>
          <w:lang w:val="en-US" w:eastAsia="zh-CN" w:bidi="ar-SA"/>
        </w:rPr>
        <w:t>全面实施绩效考核，推行竞聘上岗，以岗定责、以岗定薪，改变一线岗位不愿干、融合发展不愿变、业务知识不愿学的现象。加大全媒体人才培养力度，通过公开招考引进专业人才15名，采取“一帮一”“老带新”等方式开展培训练兵活动，提升全媒体记者的业务水平和职业素养。</w:t>
      </w:r>
    </w:p>
    <w:p>
      <w:pPr>
        <w:keepNext w:val="0"/>
        <w:keepLines w:val="0"/>
        <w:pageBreakBefore w:val="0"/>
        <w:widowControl w:val="0"/>
        <w:kinsoku/>
        <w:wordWrap/>
        <w:overflowPunct/>
        <w:topLinePunct w:val="0"/>
        <w:autoSpaceDE/>
        <w:autoSpaceDN/>
        <w:bidi w:val="0"/>
        <w:adjustRightInd/>
        <w:spacing w:line="560" w:lineRule="exact"/>
        <w:ind w:firstLine="642" w:firstLineChars="200"/>
        <w:rPr>
          <w:rStyle w:val="12"/>
          <w:rFonts w:hint="eastAsia" w:ascii="楷体" w:hAnsi="楷体" w:eastAsia="楷体" w:cs="楷体"/>
          <w:b/>
          <w:bCs w:val="0"/>
          <w:i w:val="0"/>
          <w:caps w:val="0"/>
          <w:spacing w:val="0"/>
          <w:w w:val="100"/>
          <w:kern w:val="2"/>
          <w:sz w:val="32"/>
          <w:szCs w:val="32"/>
          <w:lang w:val="en-US" w:eastAsia="zh-CN" w:bidi="ar-SA"/>
        </w:rPr>
      </w:pPr>
      <w:r>
        <w:rPr>
          <w:rStyle w:val="12"/>
          <w:rFonts w:hint="eastAsia" w:ascii="楷体" w:hAnsi="楷体" w:eastAsia="楷体" w:cs="楷体"/>
          <w:b/>
          <w:bCs w:val="0"/>
          <w:i w:val="0"/>
          <w:caps w:val="0"/>
          <w:spacing w:val="0"/>
          <w:w w:val="100"/>
          <w:kern w:val="2"/>
          <w:sz w:val="32"/>
          <w:szCs w:val="32"/>
          <w:lang w:val="en-US" w:eastAsia="zh-CN" w:bidi="ar-SA"/>
        </w:rPr>
        <w:t>（六）突出价值引领，公共服务更加到位</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全力维护“村村响”广播、人民广播电台、云山转播台清流节目等公共服务体系，及时把党的声音传送到千家万户。</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Style w:val="12"/>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bCs/>
          <w:color w:val="000000"/>
          <w:kern w:val="2"/>
          <w:sz w:val="32"/>
          <w:szCs w:val="32"/>
          <w:lang w:val="en-US" w:eastAsia="zh-CN" w:bidi="ar-SA"/>
        </w:rPr>
        <w:t>1.通过技术整合，做到互联互通。</w:t>
      </w:r>
      <w:r>
        <w:rPr>
          <w:rStyle w:val="12"/>
          <w:rFonts w:hint="eastAsia" w:ascii="仿宋" w:hAnsi="仿宋" w:eastAsia="仿宋" w:cs="仿宋"/>
          <w:b w:val="0"/>
          <w:i w:val="0"/>
          <w:caps w:val="0"/>
          <w:spacing w:val="0"/>
          <w:w w:val="100"/>
          <w:kern w:val="2"/>
          <w:sz w:val="32"/>
          <w:szCs w:val="32"/>
          <w:lang w:val="en-US" w:eastAsia="zh-CN" w:bidi="ar-SA"/>
        </w:rPr>
        <w:t>与农业、卫健、教育、文体、应急、群团等部门合作，将山洪灾害预警、森林防火，疫情防控、交通顽瘴痼疾整治广播和“村村响”广播通过技术进行整合，做到互联互通，最大限度发挥应急广播的综合效益，实现同频共振大宣传格局。</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2.建立健全长效机制，加强</w:t>
      </w:r>
      <w:r>
        <w:rPr>
          <w:rFonts w:hint="eastAsia" w:ascii="仿宋" w:hAnsi="仿宋" w:eastAsia="仿宋" w:cs="仿宋"/>
          <w:b/>
          <w:bCs/>
          <w:color w:val="000000"/>
          <w:spacing w:val="0"/>
          <w:w w:val="100"/>
          <w:position w:val="0"/>
          <w:sz w:val="32"/>
          <w:szCs w:val="32"/>
        </w:rPr>
        <w:t>应急管理</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做</w:t>
      </w:r>
      <w:r>
        <w:rPr>
          <w:rFonts w:hint="eastAsia" w:ascii="仿宋" w:hAnsi="仿宋" w:eastAsia="仿宋" w:cs="仿宋"/>
          <w:color w:val="000000"/>
          <w:spacing w:val="0"/>
          <w:w w:val="100"/>
          <w:position w:val="0"/>
          <w:sz w:val="32"/>
          <w:szCs w:val="32"/>
          <w:lang w:eastAsia="zh-CN"/>
        </w:rPr>
        <w:t>好</w:t>
      </w:r>
      <w:r>
        <w:rPr>
          <w:rFonts w:hint="eastAsia" w:ascii="仿宋" w:hAnsi="仿宋" w:eastAsia="仿宋" w:cs="仿宋"/>
          <w:color w:val="000000"/>
          <w:spacing w:val="0"/>
          <w:w w:val="100"/>
          <w:position w:val="0"/>
          <w:sz w:val="32"/>
          <w:szCs w:val="32"/>
        </w:rPr>
        <w:t>全</w:t>
      </w:r>
      <w:r>
        <w:rPr>
          <w:rFonts w:hint="eastAsia" w:ascii="仿宋" w:hAnsi="仿宋" w:eastAsia="仿宋" w:cs="仿宋"/>
          <w:color w:val="000000"/>
          <w:spacing w:val="0"/>
          <w:w w:val="100"/>
          <w:position w:val="0"/>
          <w:sz w:val="32"/>
          <w:szCs w:val="32"/>
          <w:lang w:eastAsia="zh-CN"/>
        </w:rPr>
        <w:t>市</w:t>
      </w:r>
      <w:r>
        <w:rPr>
          <w:rFonts w:hint="eastAsia" w:ascii="仿宋" w:hAnsi="仿宋" w:eastAsia="仿宋" w:cs="仿宋"/>
          <w:color w:val="000000"/>
          <w:spacing w:val="0"/>
          <w:w w:val="100"/>
          <w:position w:val="0"/>
          <w:sz w:val="32"/>
          <w:szCs w:val="32"/>
        </w:rPr>
        <w:t>应急广播日常管理和维</w:t>
      </w:r>
      <w:r>
        <w:rPr>
          <w:rFonts w:hint="eastAsia" w:ascii="仿宋" w:hAnsi="仿宋" w:eastAsia="仿宋" w:cs="仿宋"/>
          <w:color w:val="000000"/>
          <w:spacing w:val="0"/>
          <w:w w:val="100"/>
          <w:position w:val="0"/>
          <w:sz w:val="32"/>
          <w:szCs w:val="32"/>
          <w:lang w:val="en-US" w:eastAsia="zh-CN"/>
        </w:rPr>
        <w:t>护工作</w:t>
      </w:r>
      <w:r>
        <w:rPr>
          <w:rFonts w:hint="eastAsia" w:ascii="仿宋" w:hAnsi="仿宋" w:eastAsia="仿宋" w:cs="仿宋"/>
          <w:color w:val="000000"/>
          <w:spacing w:val="0"/>
          <w:w w:val="100"/>
          <w:position w:val="0"/>
          <w:sz w:val="32"/>
          <w:szCs w:val="32"/>
        </w:rPr>
        <w:t>，建立</w:t>
      </w:r>
      <w:r>
        <w:rPr>
          <w:rFonts w:hint="eastAsia" w:ascii="仿宋" w:hAnsi="仿宋" w:eastAsia="仿宋" w:cs="仿宋"/>
          <w:color w:val="000000"/>
          <w:spacing w:val="0"/>
          <w:w w:val="100"/>
          <w:position w:val="0"/>
          <w:sz w:val="32"/>
          <w:szCs w:val="32"/>
          <w:lang w:val="en-US" w:eastAsia="zh-CN"/>
        </w:rPr>
        <w:t>健全</w:t>
      </w:r>
      <w:r>
        <w:rPr>
          <w:rFonts w:hint="eastAsia" w:ascii="仿宋" w:hAnsi="仿宋" w:eastAsia="仿宋" w:cs="仿宋"/>
          <w:color w:val="000000"/>
          <w:spacing w:val="0"/>
          <w:w w:val="100"/>
          <w:position w:val="0"/>
          <w:sz w:val="32"/>
          <w:szCs w:val="32"/>
        </w:rPr>
        <w:t>全</w:t>
      </w:r>
      <w:r>
        <w:rPr>
          <w:rFonts w:hint="eastAsia" w:ascii="仿宋" w:hAnsi="仿宋" w:eastAsia="仿宋" w:cs="仿宋"/>
          <w:color w:val="000000"/>
          <w:spacing w:val="0"/>
          <w:w w:val="100"/>
          <w:position w:val="0"/>
          <w:sz w:val="32"/>
          <w:szCs w:val="32"/>
          <w:lang w:eastAsia="zh-CN"/>
        </w:rPr>
        <w:t>市</w:t>
      </w:r>
      <w:r>
        <w:rPr>
          <w:rFonts w:hint="eastAsia" w:ascii="仿宋" w:hAnsi="仿宋" w:eastAsia="仿宋" w:cs="仿宋"/>
          <w:color w:val="000000"/>
          <w:spacing w:val="0"/>
          <w:w w:val="100"/>
          <w:position w:val="0"/>
          <w:sz w:val="32"/>
          <w:szCs w:val="32"/>
        </w:rPr>
        <w:t>应急广播使用长效机制，</w:t>
      </w:r>
      <w:r>
        <w:rPr>
          <w:rFonts w:hint="eastAsia" w:ascii="仿宋" w:hAnsi="仿宋" w:eastAsia="仿宋" w:cs="仿宋"/>
          <w:color w:val="000000"/>
          <w:kern w:val="2"/>
          <w:sz w:val="32"/>
          <w:szCs w:val="32"/>
          <w:lang w:val="en-US" w:eastAsia="zh-CN" w:bidi="ar-SA"/>
        </w:rPr>
        <w:t>进一步满足广大群众精神文化需求。2021年，</w:t>
      </w:r>
      <w:r>
        <w:rPr>
          <w:rFonts w:hint="eastAsia" w:ascii="仿宋" w:hAnsi="仿宋" w:eastAsia="仿宋" w:cs="仿宋"/>
          <w:sz w:val="32"/>
          <w:szCs w:val="32"/>
          <w:lang w:eastAsia="zh-CN"/>
        </w:rPr>
        <w:t>武冈</w:t>
      </w:r>
      <w:r>
        <w:rPr>
          <w:rFonts w:hint="eastAsia" w:ascii="仿宋" w:hAnsi="仿宋" w:eastAsia="仿宋" w:cs="仿宋"/>
          <w:sz w:val="32"/>
          <w:szCs w:val="32"/>
        </w:rPr>
        <w:t>被列入全省</w:t>
      </w:r>
      <w:r>
        <w:rPr>
          <w:rFonts w:hint="eastAsia" w:ascii="仿宋" w:hAnsi="仿宋" w:eastAsia="仿宋" w:cs="仿宋"/>
          <w:sz w:val="32"/>
          <w:szCs w:val="32"/>
          <w:lang w:val="en-US" w:eastAsia="zh-CN"/>
        </w:rPr>
        <w:t>7</w:t>
      </w:r>
      <w:r>
        <w:rPr>
          <w:rFonts w:hint="eastAsia" w:ascii="仿宋" w:hAnsi="仿宋" w:eastAsia="仿宋" w:cs="仿宋"/>
          <w:sz w:val="32"/>
          <w:szCs w:val="32"/>
        </w:rPr>
        <w:t>个应急广播体系建设补助</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w:t>
      </w:r>
      <w:r>
        <w:rPr>
          <w:rFonts w:hint="eastAsia" w:ascii="仿宋" w:hAnsi="仿宋" w:eastAsia="仿宋" w:cs="仿宋"/>
          <w:sz w:val="32"/>
          <w:szCs w:val="32"/>
        </w:rPr>
        <w:t>之一。中央财政补助</w:t>
      </w:r>
      <w:r>
        <w:rPr>
          <w:rFonts w:hint="eastAsia" w:ascii="仿宋" w:hAnsi="仿宋" w:eastAsia="仿宋" w:cs="仿宋"/>
          <w:sz w:val="32"/>
          <w:szCs w:val="32"/>
          <w:lang w:eastAsia="zh-CN"/>
        </w:rPr>
        <w:t>武冈</w:t>
      </w:r>
      <w:r>
        <w:rPr>
          <w:rFonts w:hint="eastAsia" w:ascii="仿宋" w:hAnsi="仿宋" w:eastAsia="仿宋" w:cs="仿宋"/>
          <w:sz w:val="32"/>
          <w:szCs w:val="32"/>
        </w:rPr>
        <w:t>应急广播体系建设专项资金4</w:t>
      </w:r>
      <w:r>
        <w:rPr>
          <w:rFonts w:hint="eastAsia" w:ascii="仿宋" w:hAnsi="仿宋" w:eastAsia="仿宋" w:cs="仿宋"/>
          <w:sz w:val="32"/>
          <w:szCs w:val="32"/>
          <w:lang w:val="en-US" w:eastAsia="zh-CN"/>
        </w:rPr>
        <w:t>86</w:t>
      </w:r>
      <w:r>
        <w:rPr>
          <w:rFonts w:hint="eastAsia" w:ascii="仿宋" w:hAnsi="仿宋" w:eastAsia="仿宋" w:cs="仿宋"/>
          <w:sz w:val="32"/>
          <w:szCs w:val="32"/>
        </w:rPr>
        <w:t>万元已于今年初</w:t>
      </w:r>
      <w:r>
        <w:rPr>
          <w:rFonts w:hint="eastAsia" w:ascii="仿宋" w:hAnsi="仿宋" w:eastAsia="仿宋" w:cs="仿宋"/>
          <w:sz w:val="32"/>
          <w:szCs w:val="32"/>
          <w:lang w:val="en-US" w:eastAsia="zh-CN"/>
        </w:rPr>
        <w:t>拨付到武冈</w:t>
      </w:r>
      <w:r>
        <w:rPr>
          <w:rFonts w:hint="eastAsia" w:ascii="仿宋" w:hAnsi="仿宋" w:eastAsia="仿宋" w:cs="仿宋"/>
          <w:sz w:val="32"/>
          <w:szCs w:val="32"/>
        </w:rPr>
        <w:t>财政。</w:t>
      </w:r>
      <w:r>
        <w:rPr>
          <w:rFonts w:hint="eastAsia" w:ascii="仿宋" w:hAnsi="仿宋" w:eastAsia="仿宋" w:cs="仿宋"/>
          <w:sz w:val="32"/>
          <w:szCs w:val="32"/>
          <w:lang w:eastAsia="zh-CN"/>
        </w:rPr>
        <w:t>武冈</w:t>
      </w:r>
      <w:r>
        <w:rPr>
          <w:rFonts w:hint="eastAsia" w:ascii="仿宋" w:hAnsi="仿宋" w:eastAsia="仿宋" w:cs="仿宋"/>
          <w:sz w:val="32"/>
          <w:szCs w:val="32"/>
        </w:rPr>
        <w:t>应急广播体系建设</w:t>
      </w:r>
      <w:r>
        <w:rPr>
          <w:rFonts w:hint="eastAsia" w:ascii="仿宋" w:hAnsi="仿宋" w:eastAsia="仿宋" w:cs="仿宋"/>
          <w:sz w:val="32"/>
          <w:szCs w:val="32"/>
          <w:lang w:val="en-US" w:eastAsia="zh-CN"/>
        </w:rPr>
        <w:t>工作如火如荼，截止2022年12月底一期工程和二期工程已全部完工。</w:t>
      </w:r>
    </w:p>
    <w:p>
      <w:pPr>
        <w:keepNext w:val="0"/>
        <w:keepLines w:val="0"/>
        <w:pageBreakBefore w:val="0"/>
        <w:widowControl w:val="0"/>
        <w:kinsoku/>
        <w:wordWrap/>
        <w:overflowPunct/>
        <w:topLinePunct w:val="0"/>
        <w:autoSpaceDE/>
        <w:autoSpaceDN/>
        <w:bidi w:val="0"/>
        <w:adjustRightInd/>
        <w:spacing w:line="560" w:lineRule="exact"/>
        <w:ind w:firstLine="642" w:firstLineChars="200"/>
        <w:rPr>
          <w:rStyle w:val="12"/>
          <w:rFonts w:hint="eastAsia" w:ascii="楷体" w:hAnsi="楷体" w:eastAsia="楷体" w:cs="楷体"/>
          <w:b/>
          <w:bCs w:val="0"/>
          <w:i w:val="0"/>
          <w:caps w:val="0"/>
          <w:spacing w:val="0"/>
          <w:w w:val="100"/>
          <w:kern w:val="2"/>
          <w:sz w:val="32"/>
          <w:szCs w:val="32"/>
          <w:lang w:val="en-US" w:eastAsia="zh-CN" w:bidi="ar-SA"/>
        </w:rPr>
      </w:pPr>
      <w:r>
        <w:rPr>
          <w:rStyle w:val="12"/>
          <w:rFonts w:hint="eastAsia" w:ascii="楷体" w:hAnsi="楷体" w:eastAsia="楷体" w:cs="楷体"/>
          <w:b/>
          <w:bCs w:val="0"/>
          <w:i w:val="0"/>
          <w:caps w:val="0"/>
          <w:spacing w:val="0"/>
          <w:w w:val="100"/>
          <w:kern w:val="2"/>
          <w:sz w:val="32"/>
          <w:szCs w:val="32"/>
          <w:lang w:val="en-US" w:eastAsia="zh-CN" w:bidi="ar-SA"/>
        </w:rPr>
        <w:t>（七）突出挖潜拓源，拓展发展空间</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 w:hAnsi="仿宋" w:eastAsia="仿宋" w:cs="仿宋"/>
          <w:sz w:val="32"/>
          <w:szCs w:val="32"/>
          <w:lang w:val="en-US" w:eastAsia="zh-CN"/>
        </w:rPr>
      </w:pPr>
      <w:r>
        <w:rPr>
          <w:rStyle w:val="12"/>
          <w:rFonts w:hint="eastAsia" w:ascii="仿宋" w:hAnsi="仿宋" w:eastAsia="仿宋" w:cs="仿宋"/>
          <w:b w:val="0"/>
          <w:i w:val="0"/>
          <w:caps w:val="0"/>
          <w:spacing w:val="0"/>
          <w:w w:val="100"/>
          <w:kern w:val="2"/>
          <w:sz w:val="32"/>
          <w:szCs w:val="32"/>
          <w:lang w:val="en-US" w:eastAsia="zh-CN" w:bidi="ar-SA"/>
        </w:rPr>
        <w:t>聚焦“媒体+政务”“媒体+服务”“媒体+商务”“媒体+旅游”，承办“湖南油菜花节武冈分会场”</w:t>
      </w:r>
      <w:r>
        <w:rPr>
          <w:rFonts w:hint="eastAsia" w:ascii="仿宋" w:hAnsi="仿宋" w:eastAsia="仿宋" w:cs="仿宋"/>
          <w:color w:val="000000"/>
          <w:kern w:val="2"/>
          <w:sz w:val="32"/>
          <w:szCs w:val="32"/>
          <w:lang w:val="en-US" w:eastAsia="zh-CN" w:bidi="ar-SA"/>
        </w:rPr>
        <w:t>、武冈市2022年度“学习二十大，奋进新征程”暨“爱我国防”主题演讲赛决赛及“交通安全伴我成长”征文演讲赛，扩大宣传影响力，集聚发展动能，提升融媒体中心产出效益。</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基本支出中办公费和差旅费预算和决算数相差甚远，是</w:t>
      </w:r>
      <w:r>
        <w:rPr>
          <w:rFonts w:hint="eastAsia" w:ascii="仿宋" w:hAnsi="仿宋" w:eastAsia="仿宋" w:cs="仿宋"/>
          <w:color w:val="222222"/>
          <w:kern w:val="0"/>
          <w:sz w:val="32"/>
          <w:szCs w:val="32"/>
          <w:lang w:eastAsia="zh-CN"/>
        </w:rPr>
        <w:t>因为</w:t>
      </w:r>
      <w:r>
        <w:rPr>
          <w:rFonts w:hint="eastAsia" w:ascii="仿宋" w:hAnsi="仿宋" w:eastAsia="仿宋" w:cs="仿宋"/>
          <w:color w:val="222222"/>
          <w:kern w:val="0"/>
          <w:sz w:val="32"/>
          <w:szCs w:val="32"/>
        </w:rPr>
        <w:t>没有控制好费用的支出</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预算编制的合理性有待提高。</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部分项目支出预算编制中，经济科目设置错误。业务学习有待加强，电脑化管理工作也有待学习和提高。</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sz w:val="32"/>
          <w:szCs w:val="32"/>
        </w:rPr>
      </w:pPr>
      <w:r>
        <w:rPr>
          <w:rFonts w:hint="eastAsia" w:ascii="黑体" w:hAnsi="黑体" w:eastAsia="黑体" w:cs="黑体"/>
          <w:color w:val="222222"/>
          <w:kern w:val="0"/>
          <w:sz w:val="32"/>
          <w:szCs w:val="32"/>
          <w:lang w:eastAsia="zh-CN"/>
        </w:rPr>
        <w:t>八</w:t>
      </w:r>
      <w:r>
        <w:rPr>
          <w:rFonts w:hint="eastAsia" w:ascii="黑体" w:hAnsi="黑体" w:eastAsia="黑体" w:cs="黑体"/>
          <w:color w:val="222222"/>
          <w:kern w:val="0"/>
          <w:sz w:val="32"/>
          <w:szCs w:val="32"/>
        </w:rPr>
        <w:t>、</w:t>
      </w:r>
      <w:r>
        <w:rPr>
          <w:rFonts w:ascii="Times New Roman" w:hAnsi="Times New Roman" w:eastAsia="黑体" w:cs="Times New Roman"/>
          <w:sz w:val="32"/>
          <w:szCs w:val="32"/>
        </w:rPr>
        <w:t>下一步改进措施</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针对上述存在的问题及我</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整体支出管理工作的需要，拟实施的改进措施如下：</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细化预算编制工作，认真做好预算的编制。进一步加强</w:t>
      </w:r>
      <w:r>
        <w:rPr>
          <w:rFonts w:hint="eastAsia" w:ascii="仿宋" w:hAnsi="仿宋" w:eastAsia="仿宋" w:cs="仿宋"/>
          <w:color w:val="222222"/>
          <w:kern w:val="0"/>
          <w:sz w:val="32"/>
          <w:szCs w:val="32"/>
          <w:lang w:eastAsia="zh-CN"/>
        </w:rPr>
        <w:t>中心</w:t>
      </w:r>
      <w:r>
        <w:rPr>
          <w:rFonts w:hint="eastAsia" w:ascii="仿宋" w:hAnsi="仿宋" w:eastAsia="仿宋" w:cs="仿宋"/>
          <w:color w:val="222222"/>
          <w:kern w:val="0"/>
          <w:sz w:val="32"/>
          <w:szCs w:val="32"/>
        </w:rPr>
        <w:t>内部机构各部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部室预算“二上二下”方式，提高预算的合理性和准确性。</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3</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4</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加强项目开展进度的跟踪，开展项目绩效评价，确保项目绩效目标的完成。</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sz w:val="32"/>
          <w:szCs w:val="32"/>
        </w:rPr>
      </w:pPr>
      <w:r>
        <w:rPr>
          <w:rFonts w:hint="eastAsia" w:eastAsia="黑体" w:cs="Times New Roman"/>
          <w:sz w:val="32"/>
          <w:szCs w:val="32"/>
          <w:lang w:eastAsia="zh-CN"/>
        </w:rPr>
        <w:t>九、</w:t>
      </w:r>
      <w:r>
        <w:rPr>
          <w:rFonts w:ascii="Times New Roman" w:hAnsi="Times New Roman" w:eastAsia="黑体" w:cs="Times New Roman"/>
          <w:sz w:val="32"/>
          <w:szCs w:val="32"/>
        </w:rPr>
        <w:t>部门整体支出绩效自评结果拟应用和公开情况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sz w:val="32"/>
          <w:szCs w:val="32"/>
          <w:shd w:val="clear" w:color="auto" w:fill="FFFFFF"/>
        </w:rPr>
        <w:t>以结果为导向，健全绩效评估与绩效评价结果挂钩机制。我</w:t>
      </w:r>
      <w:r>
        <w:rPr>
          <w:rFonts w:hint="eastAsia" w:ascii="宋体" w:hAnsi="宋体" w:eastAsia="宋体" w:cs="宋体"/>
          <w:i w:val="0"/>
          <w:caps w:val="0"/>
          <w:color w:val="000000"/>
          <w:spacing w:val="0"/>
          <w:sz w:val="32"/>
          <w:szCs w:val="32"/>
          <w:shd w:val="clear" w:color="auto" w:fill="FFFFFF"/>
          <w:lang w:eastAsia="zh-CN"/>
        </w:rPr>
        <w:t>单位</w:t>
      </w:r>
      <w:r>
        <w:rPr>
          <w:rFonts w:hint="eastAsia" w:ascii="宋体" w:hAnsi="宋体" w:eastAsia="宋体" w:cs="宋体"/>
          <w:i w:val="0"/>
          <w:caps w:val="0"/>
          <w:color w:val="000000"/>
          <w:spacing w:val="0"/>
          <w:sz w:val="32"/>
          <w:szCs w:val="32"/>
          <w:shd w:val="clear" w:color="auto" w:fill="FFFFFF"/>
        </w:rPr>
        <w:t>将针对绩效评价发现的问题，采取有力措施进行整改，并将绩效评价结果作为年度绩效考核和下年度资金安排的依据，持续提高财政资金使用效益。本报告在</w:t>
      </w:r>
      <w:r>
        <w:rPr>
          <w:rFonts w:hint="eastAsia" w:ascii="宋体" w:hAnsi="宋体" w:eastAsia="宋体" w:cs="宋体"/>
          <w:i w:val="0"/>
          <w:caps w:val="0"/>
          <w:color w:val="000000"/>
          <w:spacing w:val="0"/>
          <w:sz w:val="32"/>
          <w:szCs w:val="32"/>
          <w:shd w:val="clear" w:color="auto" w:fill="FFFFFF"/>
          <w:lang w:eastAsia="zh-CN"/>
        </w:rPr>
        <w:t>政府网站</w:t>
      </w:r>
      <w:r>
        <w:rPr>
          <w:rFonts w:hint="eastAsia" w:ascii="宋体" w:hAnsi="宋体" w:eastAsia="宋体" w:cs="宋体"/>
          <w:i w:val="0"/>
          <w:caps w:val="0"/>
          <w:color w:val="000000"/>
          <w:spacing w:val="0"/>
          <w:sz w:val="32"/>
          <w:szCs w:val="32"/>
          <w:shd w:val="clear" w:color="auto" w:fill="FFFFFF"/>
        </w:rPr>
        <w:t>进行</w:t>
      </w:r>
      <w:r>
        <w:rPr>
          <w:rFonts w:hint="eastAsia" w:ascii="宋体" w:hAnsi="宋体" w:eastAsia="宋体" w:cs="宋体"/>
          <w:i w:val="0"/>
          <w:caps w:val="0"/>
          <w:color w:val="000000"/>
          <w:spacing w:val="0"/>
          <w:sz w:val="32"/>
          <w:szCs w:val="32"/>
          <w:shd w:val="clear" w:color="auto" w:fill="FFFFFF"/>
          <w:lang w:eastAsia="zh-CN"/>
        </w:rPr>
        <w:t>公开</w:t>
      </w:r>
      <w:r>
        <w:rPr>
          <w:rFonts w:hint="eastAsia" w:ascii="宋体" w:hAnsi="宋体" w:eastAsia="宋体" w:cs="宋体"/>
          <w:i w:val="0"/>
          <w:caps w:val="0"/>
          <w:color w:val="000000"/>
          <w:spacing w:val="0"/>
          <w:sz w:val="32"/>
          <w:szCs w:val="32"/>
          <w:shd w:val="clear" w:color="auto" w:fill="FFFFFF"/>
        </w:rPr>
        <w:t>。</w:t>
      </w:r>
    </w:p>
    <w:p>
      <w:pPr>
        <w:pStyle w:val="2"/>
        <w:numPr>
          <w:ilvl w:val="0"/>
          <w:numId w:val="0"/>
        </w:numPr>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十、</w:t>
      </w:r>
      <w:r>
        <w:rPr>
          <w:rFonts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报告需要以下附件：</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1.部门整体支出绩效评价基础数据表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pPr>
        <w:pStyle w:val="2"/>
        <w:rPr>
          <w:rFonts w:hint="default"/>
          <w:lang w:val="en-US" w:eastAsia="zh-CN"/>
        </w:rPr>
      </w:pPr>
    </w:p>
    <w:p/>
    <w:p>
      <w:pPr>
        <w:keepNext w:val="0"/>
        <w:keepLines w:val="0"/>
        <w:pageBreakBefore w:val="0"/>
        <w:widowControl/>
        <w:kinsoku/>
        <w:wordWrap/>
        <w:overflowPunct/>
        <w:topLinePunct w:val="0"/>
        <w:autoSpaceDE/>
        <w:autoSpaceDN/>
        <w:bidi w:val="0"/>
        <w:adjustRightInd/>
        <w:snapToGrid/>
        <w:spacing w:line="540" w:lineRule="exact"/>
        <w:ind w:firstLine="5440" w:firstLineChars="1700"/>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武冈市</w:t>
      </w:r>
      <w:r>
        <w:rPr>
          <w:rFonts w:hint="eastAsia" w:ascii="仿宋" w:hAnsi="仿宋" w:eastAsia="仿宋" w:cs="仿宋"/>
          <w:color w:val="222222"/>
          <w:kern w:val="0"/>
          <w:sz w:val="32"/>
          <w:szCs w:val="32"/>
          <w:lang w:eastAsia="zh-CN"/>
        </w:rPr>
        <w:t>融媒体中心</w:t>
      </w:r>
    </w:p>
    <w:p>
      <w:pPr>
        <w:keepNext w:val="0"/>
        <w:keepLines w:val="0"/>
        <w:pageBreakBefore w:val="0"/>
        <w:widowControl/>
        <w:kinsoku/>
        <w:wordWrap/>
        <w:overflowPunct/>
        <w:topLinePunct w:val="0"/>
        <w:autoSpaceDE/>
        <w:autoSpaceDN/>
        <w:bidi w:val="0"/>
        <w:adjustRightInd/>
        <w:snapToGrid/>
        <w:spacing w:line="540" w:lineRule="exact"/>
        <w:ind w:firstLine="5440" w:firstLineChars="1700"/>
        <w:jc w:val="left"/>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23</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val="en-US" w:eastAsia="zh-CN"/>
        </w:rPr>
        <w:t>7</w:t>
      </w:r>
      <w:r>
        <w:rPr>
          <w:rFonts w:hint="eastAsia" w:ascii="仿宋" w:hAnsi="仿宋" w:eastAsia="仿宋" w:cs="仿宋"/>
          <w:color w:val="222222"/>
          <w:kern w:val="0"/>
          <w:sz w:val="32"/>
          <w:szCs w:val="32"/>
        </w:rPr>
        <w:t>月</w:t>
      </w:r>
      <w:r>
        <w:rPr>
          <w:rFonts w:hint="eastAsia" w:ascii="仿宋" w:hAnsi="仿宋" w:eastAsia="仿宋" w:cs="仿宋"/>
          <w:color w:val="222222"/>
          <w:kern w:val="0"/>
          <w:sz w:val="32"/>
          <w:szCs w:val="32"/>
          <w:lang w:val="en-US" w:eastAsia="zh-CN"/>
        </w:rPr>
        <w:t>18</w:t>
      </w:r>
      <w:r>
        <w:rPr>
          <w:rFonts w:hint="eastAsia" w:ascii="仿宋" w:hAnsi="仿宋" w:eastAsia="仿宋" w:cs="仿宋"/>
          <w:color w:val="222222"/>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firstLine="640"/>
        <w:jc w:val="left"/>
        <w:rPr>
          <w:rFonts w:hint="eastAsia" w:ascii="仿宋" w:hAnsi="仿宋" w:eastAsia="仿宋" w:cs="仿宋"/>
          <w:color w:val="222222"/>
          <w:kern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rPr>
          <w:rFonts w:hint="eastAsia" w:ascii="仿宋" w:hAnsi="仿宋" w:eastAsia="仿宋" w:cs="仿宋"/>
          <w:color w:val="222222"/>
          <w:kern w:val="0"/>
          <w:sz w:val="32"/>
          <w:szCs w:val="32"/>
        </w:rPr>
      </w:pPr>
    </w:p>
    <w:p>
      <w:pPr>
        <w:keepNext w:val="0"/>
        <w:keepLines w:val="0"/>
        <w:pageBreakBefore w:val="0"/>
        <w:kinsoku/>
        <w:wordWrap/>
        <w:overflowPunct/>
        <w:topLinePunct w:val="0"/>
        <w:autoSpaceDE/>
        <w:autoSpaceDN/>
        <w:bidi w:val="0"/>
        <w:adjustRightInd/>
        <w:snapToGrid/>
        <w:spacing w:line="540" w:lineRule="exact"/>
        <w:rPr>
          <w:rFonts w:hint="eastAsia" w:ascii="仿宋" w:hAnsi="仿宋" w:eastAsia="仿宋" w:cs="仿宋"/>
          <w:color w:val="222222"/>
          <w:kern w:val="0"/>
          <w:sz w:val="32"/>
          <w:szCs w:val="32"/>
        </w:rPr>
      </w:pP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_GB2312">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2691A"/>
    <w:multiLevelType w:val="singleLevel"/>
    <w:tmpl w:val="D85269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xN2FmOTUwYjczNGQ3MmFmN2Q3ZDE2M2ViYjUifQ=="/>
  </w:docVars>
  <w:rsids>
    <w:rsidRoot w:val="561C410B"/>
    <w:rsid w:val="004A493A"/>
    <w:rsid w:val="007F2436"/>
    <w:rsid w:val="00C16B0D"/>
    <w:rsid w:val="01F62E5F"/>
    <w:rsid w:val="02983BA0"/>
    <w:rsid w:val="034C1B99"/>
    <w:rsid w:val="038D0D2A"/>
    <w:rsid w:val="039D7B38"/>
    <w:rsid w:val="03C85105"/>
    <w:rsid w:val="040B4B98"/>
    <w:rsid w:val="04166B3C"/>
    <w:rsid w:val="04357D70"/>
    <w:rsid w:val="04896E5D"/>
    <w:rsid w:val="04BF0C1C"/>
    <w:rsid w:val="04FD60BC"/>
    <w:rsid w:val="06B20878"/>
    <w:rsid w:val="073101B4"/>
    <w:rsid w:val="07DD5A6C"/>
    <w:rsid w:val="07EF46DA"/>
    <w:rsid w:val="0842603D"/>
    <w:rsid w:val="086C4BCC"/>
    <w:rsid w:val="086D02FC"/>
    <w:rsid w:val="086F75C9"/>
    <w:rsid w:val="0982373C"/>
    <w:rsid w:val="0996561E"/>
    <w:rsid w:val="0ABF6C22"/>
    <w:rsid w:val="0AE156B2"/>
    <w:rsid w:val="0B8B64C8"/>
    <w:rsid w:val="0BDC4F75"/>
    <w:rsid w:val="0C0868B5"/>
    <w:rsid w:val="0C1E5EC8"/>
    <w:rsid w:val="0D5A5442"/>
    <w:rsid w:val="0DF2282E"/>
    <w:rsid w:val="0E210EC3"/>
    <w:rsid w:val="0E5F51FD"/>
    <w:rsid w:val="0ECE243E"/>
    <w:rsid w:val="0ED87BB1"/>
    <w:rsid w:val="0EF82546"/>
    <w:rsid w:val="0F243E72"/>
    <w:rsid w:val="0F345B25"/>
    <w:rsid w:val="10402D76"/>
    <w:rsid w:val="11335637"/>
    <w:rsid w:val="116272CE"/>
    <w:rsid w:val="11C44690"/>
    <w:rsid w:val="12CA5B28"/>
    <w:rsid w:val="1306517C"/>
    <w:rsid w:val="134A7DA4"/>
    <w:rsid w:val="13A24CF6"/>
    <w:rsid w:val="13E7095B"/>
    <w:rsid w:val="14BA7E1E"/>
    <w:rsid w:val="153E27FD"/>
    <w:rsid w:val="154A18A9"/>
    <w:rsid w:val="15C21508"/>
    <w:rsid w:val="16094BB9"/>
    <w:rsid w:val="16A55E92"/>
    <w:rsid w:val="16B054A9"/>
    <w:rsid w:val="17255A08"/>
    <w:rsid w:val="172B6DB1"/>
    <w:rsid w:val="179200CA"/>
    <w:rsid w:val="17A55451"/>
    <w:rsid w:val="183B3024"/>
    <w:rsid w:val="189E05DF"/>
    <w:rsid w:val="198C7285"/>
    <w:rsid w:val="19956E96"/>
    <w:rsid w:val="19B46DCA"/>
    <w:rsid w:val="1A4B7254"/>
    <w:rsid w:val="1A520235"/>
    <w:rsid w:val="1AF75228"/>
    <w:rsid w:val="1BDB0DA5"/>
    <w:rsid w:val="1C752A5C"/>
    <w:rsid w:val="1C9C2A77"/>
    <w:rsid w:val="1CDD3A55"/>
    <w:rsid w:val="1D0F4191"/>
    <w:rsid w:val="1F052EAD"/>
    <w:rsid w:val="1F576099"/>
    <w:rsid w:val="216E446A"/>
    <w:rsid w:val="23CB39B2"/>
    <w:rsid w:val="25B604C0"/>
    <w:rsid w:val="2765310E"/>
    <w:rsid w:val="27932534"/>
    <w:rsid w:val="281A59D9"/>
    <w:rsid w:val="283E0CA8"/>
    <w:rsid w:val="28CD5502"/>
    <w:rsid w:val="296B43F5"/>
    <w:rsid w:val="29F80A48"/>
    <w:rsid w:val="2A064A00"/>
    <w:rsid w:val="2ADD1656"/>
    <w:rsid w:val="2AF22527"/>
    <w:rsid w:val="2BAE3DE1"/>
    <w:rsid w:val="2BEE242F"/>
    <w:rsid w:val="2C3A5674"/>
    <w:rsid w:val="2C6721E1"/>
    <w:rsid w:val="2CD51841"/>
    <w:rsid w:val="2CF35338"/>
    <w:rsid w:val="2D5B7DC7"/>
    <w:rsid w:val="2DB6620C"/>
    <w:rsid w:val="30542C7E"/>
    <w:rsid w:val="309319DA"/>
    <w:rsid w:val="30D93A05"/>
    <w:rsid w:val="3103697D"/>
    <w:rsid w:val="314C440E"/>
    <w:rsid w:val="316D3DF6"/>
    <w:rsid w:val="3177759D"/>
    <w:rsid w:val="31B6166E"/>
    <w:rsid w:val="33295803"/>
    <w:rsid w:val="34E27CCB"/>
    <w:rsid w:val="356C4B17"/>
    <w:rsid w:val="36D32D22"/>
    <w:rsid w:val="37530BC1"/>
    <w:rsid w:val="38045615"/>
    <w:rsid w:val="387072B1"/>
    <w:rsid w:val="389A3401"/>
    <w:rsid w:val="38A467DA"/>
    <w:rsid w:val="38F250DB"/>
    <w:rsid w:val="3ACA22B9"/>
    <w:rsid w:val="3C200701"/>
    <w:rsid w:val="3C441BBF"/>
    <w:rsid w:val="3D167151"/>
    <w:rsid w:val="3D3C240B"/>
    <w:rsid w:val="3EC62D97"/>
    <w:rsid w:val="3F19736B"/>
    <w:rsid w:val="3F4C2E78"/>
    <w:rsid w:val="3F77596E"/>
    <w:rsid w:val="405D772B"/>
    <w:rsid w:val="41F71DD8"/>
    <w:rsid w:val="42282731"/>
    <w:rsid w:val="426478A4"/>
    <w:rsid w:val="429944E7"/>
    <w:rsid w:val="442347E8"/>
    <w:rsid w:val="449235C7"/>
    <w:rsid w:val="44DD6447"/>
    <w:rsid w:val="4687265B"/>
    <w:rsid w:val="46DF533E"/>
    <w:rsid w:val="46F02765"/>
    <w:rsid w:val="47C54D69"/>
    <w:rsid w:val="47D827AB"/>
    <w:rsid w:val="49060960"/>
    <w:rsid w:val="49C049B9"/>
    <w:rsid w:val="49EB5DA8"/>
    <w:rsid w:val="4AF855C6"/>
    <w:rsid w:val="4B55797D"/>
    <w:rsid w:val="4C3C51CA"/>
    <w:rsid w:val="4C8449BE"/>
    <w:rsid w:val="4D315407"/>
    <w:rsid w:val="4D3D691B"/>
    <w:rsid w:val="4E2A3343"/>
    <w:rsid w:val="4E870795"/>
    <w:rsid w:val="4FA27B8C"/>
    <w:rsid w:val="51127F49"/>
    <w:rsid w:val="54067384"/>
    <w:rsid w:val="54ED11B6"/>
    <w:rsid w:val="561C410B"/>
    <w:rsid w:val="569C2D46"/>
    <w:rsid w:val="56E322E1"/>
    <w:rsid w:val="5850122C"/>
    <w:rsid w:val="5A592E00"/>
    <w:rsid w:val="5AB279F5"/>
    <w:rsid w:val="5B6A4390"/>
    <w:rsid w:val="5B8B2DCD"/>
    <w:rsid w:val="5D465377"/>
    <w:rsid w:val="5E531E63"/>
    <w:rsid w:val="5E866707"/>
    <w:rsid w:val="5ED54C05"/>
    <w:rsid w:val="60D068D3"/>
    <w:rsid w:val="61630A42"/>
    <w:rsid w:val="634B7B8C"/>
    <w:rsid w:val="636B402C"/>
    <w:rsid w:val="63CD67F3"/>
    <w:rsid w:val="64813139"/>
    <w:rsid w:val="656E133B"/>
    <w:rsid w:val="66914D54"/>
    <w:rsid w:val="67393BE9"/>
    <w:rsid w:val="686A1B8B"/>
    <w:rsid w:val="69216C99"/>
    <w:rsid w:val="69331A2A"/>
    <w:rsid w:val="69697544"/>
    <w:rsid w:val="6A5B215F"/>
    <w:rsid w:val="6A617C95"/>
    <w:rsid w:val="6AE54422"/>
    <w:rsid w:val="6BC27085"/>
    <w:rsid w:val="6C1425FA"/>
    <w:rsid w:val="6C2B437A"/>
    <w:rsid w:val="6C445178"/>
    <w:rsid w:val="6C627EDB"/>
    <w:rsid w:val="6CC738EB"/>
    <w:rsid w:val="6D5F6033"/>
    <w:rsid w:val="6D682314"/>
    <w:rsid w:val="6DBB76BC"/>
    <w:rsid w:val="7016437A"/>
    <w:rsid w:val="721254ED"/>
    <w:rsid w:val="725E4ABA"/>
    <w:rsid w:val="737C5B3F"/>
    <w:rsid w:val="73F61CC3"/>
    <w:rsid w:val="73FA1602"/>
    <w:rsid w:val="7418207D"/>
    <w:rsid w:val="75EF60D1"/>
    <w:rsid w:val="76393282"/>
    <w:rsid w:val="768E48B5"/>
    <w:rsid w:val="771A5453"/>
    <w:rsid w:val="772C79CC"/>
    <w:rsid w:val="776542ED"/>
    <w:rsid w:val="77BC650A"/>
    <w:rsid w:val="77E10AD4"/>
    <w:rsid w:val="783C28A7"/>
    <w:rsid w:val="78482494"/>
    <w:rsid w:val="79404F19"/>
    <w:rsid w:val="79984D55"/>
    <w:rsid w:val="7AF338F2"/>
    <w:rsid w:val="7B86620A"/>
    <w:rsid w:val="7BA55FE8"/>
    <w:rsid w:val="7D080A8E"/>
    <w:rsid w:val="7DAD5833"/>
    <w:rsid w:val="7DBA34EC"/>
    <w:rsid w:val="7DBB54B6"/>
    <w:rsid w:val="7ED625A7"/>
    <w:rsid w:val="7F5F1C70"/>
    <w:rsid w:val="7FAA57E2"/>
    <w:rsid w:val="7FD154E6"/>
    <w:rsid w:val="7FDE7C70"/>
    <w:rsid w:val="AA36A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spacing w:line="580" w:lineRule="exact"/>
      <w:jc w:val="left"/>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Text1I2"/>
    <w:basedOn w:val="10"/>
    <w:qFormat/>
    <w:uiPriority w:val="0"/>
    <w:pPr>
      <w:snapToGrid w:val="0"/>
      <w:spacing w:after="0" w:line="660" w:lineRule="exact"/>
      <w:ind w:left="0" w:leftChars="0" w:firstLine="420" w:firstLineChars="200"/>
    </w:pPr>
    <w:rPr>
      <w:rFonts w:ascii="??_GB2312" w:eastAsia="Times New Roman"/>
      <w:kern w:val="0"/>
      <w:sz w:val="32"/>
      <w:szCs w:val="32"/>
    </w:rPr>
  </w:style>
  <w:style w:type="paragraph" w:customStyle="1" w:styleId="10">
    <w:name w:val="BodyTextIndent"/>
    <w:basedOn w:val="1"/>
    <w:qFormat/>
    <w:uiPriority w:val="0"/>
    <w:pPr>
      <w:spacing w:after="120"/>
      <w:ind w:left="420" w:leftChars="200"/>
      <w:textAlignment w:val="baseline"/>
    </w:pPr>
  </w:style>
  <w:style w:type="paragraph" w:styleId="11">
    <w:name w:val="List Paragraph"/>
    <w:basedOn w:val="1"/>
    <w:qFormat/>
    <w:uiPriority w:val="99"/>
    <w:pPr>
      <w:ind w:firstLine="420" w:firstLineChars="200"/>
    </w:pPr>
    <w:rPr>
      <w:rFonts w:ascii="Calibri" w:hAnsi="Calibri"/>
      <w:szCs w:val="22"/>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4916</Words>
  <Characters>5069</Characters>
  <Lines>0</Lines>
  <Paragraphs>0</Paragraphs>
  <TotalTime>2</TotalTime>
  <ScaleCrop>false</ScaleCrop>
  <LinksUpToDate>false</LinksUpToDate>
  <CharactersWithSpaces>5101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2022-07-04T16:57:00Z</dcterms:created>
  <dc:creator>张</dc:creator>
  <cp:lastModifiedBy>kylin</cp:lastModifiedBy>
  <dcterms:modified xsi:type="dcterms:W3CDTF">2024-12-04T15:33:11Z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90D53CE7599D4E1F9CDCA090DAD079E4_13</vt:lpwstr>
  </property>
</Properties>
</file>