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946FE2">
      <w:pPr>
        <w:keepNext/>
        <w:keepLines/>
        <w:pageBreakBefore w:val="0"/>
        <w:widowControl w:val="0"/>
        <w:kinsoku/>
        <w:wordWrap/>
        <w:overflowPunct/>
        <w:topLinePunct w:val="0"/>
        <w:autoSpaceDE/>
        <w:autoSpaceDN/>
        <w:bidi w:val="0"/>
        <w:adjustRightInd/>
        <w:snapToGrid/>
        <w:spacing w:before="0" w:line="1000" w:lineRule="exact"/>
        <w:jc w:val="center"/>
        <w:textAlignment w:val="auto"/>
        <w:outlineLvl w:val="9"/>
        <w:rPr>
          <w:rFonts w:hint="eastAsia" w:ascii="方正大标宋简体" w:hAnsi="方正大标宋简体" w:eastAsia="方正大标宋简体" w:cs="方正大标宋简体"/>
          <w:color w:val="000000" w:themeColor="text1"/>
          <w:kern w:val="2"/>
          <w:sz w:val="48"/>
          <w:szCs w:val="48"/>
          <w:highlight w:val="none"/>
          <w:lang w:eastAsia="zh-CN"/>
          <w14:textFill>
            <w14:solidFill>
              <w14:schemeClr w14:val="tx1"/>
            </w14:solidFill>
          </w14:textFill>
        </w:rPr>
      </w:pPr>
      <w:bookmarkStart w:id="154" w:name="_GoBack"/>
      <w:bookmarkEnd w:id="154"/>
    </w:p>
    <w:p w14:paraId="05928B2B">
      <w:pPr>
        <w:keepNext/>
        <w:keepLines/>
        <w:pageBreakBefore w:val="0"/>
        <w:widowControl w:val="0"/>
        <w:kinsoku/>
        <w:wordWrap/>
        <w:overflowPunct/>
        <w:topLinePunct w:val="0"/>
        <w:autoSpaceDE/>
        <w:autoSpaceDN/>
        <w:bidi w:val="0"/>
        <w:adjustRightInd/>
        <w:snapToGrid/>
        <w:spacing w:before="0" w:line="1000" w:lineRule="exact"/>
        <w:jc w:val="center"/>
        <w:textAlignment w:val="auto"/>
        <w:outlineLvl w:val="9"/>
        <w:rPr>
          <w:rFonts w:hint="eastAsia" w:ascii="方正大标宋简体" w:hAnsi="方正大标宋简体" w:eastAsia="方正大标宋简体" w:cs="方正大标宋简体"/>
          <w:color w:val="000000" w:themeColor="text1"/>
          <w:kern w:val="2"/>
          <w:sz w:val="48"/>
          <w:szCs w:val="48"/>
          <w:highlight w:val="none"/>
          <w:lang w:eastAsia="zh-CN"/>
          <w14:textFill>
            <w14:solidFill>
              <w14:schemeClr w14:val="tx1"/>
            </w14:solidFill>
          </w14:textFill>
        </w:rPr>
      </w:pPr>
      <w:r>
        <w:rPr>
          <w:rFonts w:hint="eastAsia" w:ascii="方正大标宋简体" w:hAnsi="方正大标宋简体" w:eastAsia="方正大标宋简体" w:cs="方正大标宋简体"/>
          <w:color w:val="000000" w:themeColor="text1"/>
          <w:kern w:val="2"/>
          <w:sz w:val="48"/>
          <w:szCs w:val="48"/>
          <w:highlight w:val="none"/>
          <w:lang w:eastAsia="zh-CN"/>
          <w14:textFill>
            <w14:solidFill>
              <w14:schemeClr w14:val="tx1"/>
            </w14:solidFill>
          </w14:textFill>
        </w:rPr>
        <w:t>武冈市国民经济和社会发展第十四个</w:t>
      </w:r>
    </w:p>
    <w:p w14:paraId="7A9C88C4">
      <w:pPr>
        <w:keepNext/>
        <w:keepLines/>
        <w:pageBreakBefore w:val="0"/>
        <w:widowControl w:val="0"/>
        <w:kinsoku/>
        <w:wordWrap/>
        <w:overflowPunct/>
        <w:topLinePunct w:val="0"/>
        <w:autoSpaceDE/>
        <w:autoSpaceDN/>
        <w:bidi w:val="0"/>
        <w:adjustRightInd/>
        <w:snapToGrid/>
        <w:spacing w:before="0" w:line="1000" w:lineRule="exact"/>
        <w:jc w:val="center"/>
        <w:textAlignment w:val="auto"/>
        <w:outlineLvl w:val="9"/>
        <w:rPr>
          <w:rFonts w:hint="eastAsia" w:ascii="方正大标宋简体" w:hAnsi="方正大标宋简体" w:eastAsia="方正大标宋简体" w:cs="方正大标宋简体"/>
          <w:color w:val="000000" w:themeColor="text1"/>
          <w:kern w:val="2"/>
          <w:sz w:val="48"/>
          <w:szCs w:val="48"/>
          <w:highlight w:val="none"/>
          <w:lang w:eastAsia="zh-CN"/>
          <w14:textFill>
            <w14:solidFill>
              <w14:schemeClr w14:val="tx1"/>
            </w14:solidFill>
          </w14:textFill>
        </w:rPr>
      </w:pPr>
      <w:r>
        <w:rPr>
          <w:rFonts w:hint="eastAsia" w:ascii="方正大标宋简体" w:hAnsi="方正大标宋简体" w:eastAsia="方正大标宋简体" w:cs="方正大标宋简体"/>
          <w:color w:val="000000" w:themeColor="text1"/>
          <w:kern w:val="2"/>
          <w:sz w:val="48"/>
          <w:szCs w:val="48"/>
          <w:highlight w:val="none"/>
          <w:lang w:eastAsia="zh-CN"/>
          <w14:textFill>
            <w14:solidFill>
              <w14:schemeClr w14:val="tx1"/>
            </w14:solidFill>
          </w14:textFill>
        </w:rPr>
        <w:t>五年规划和二〇三五年远景目标纲要</w:t>
      </w:r>
    </w:p>
    <w:p w14:paraId="0D8949FF">
      <w:pPr>
        <w:rPr>
          <w:b w:val="0"/>
          <w:bCs w:val="0"/>
          <w:color w:val="000000" w:themeColor="text1"/>
          <w:highlight w:val="none"/>
          <w14:textFill>
            <w14:solidFill>
              <w14:schemeClr w14:val="tx1"/>
            </w14:solidFill>
          </w14:textFill>
        </w:rPr>
      </w:pPr>
    </w:p>
    <w:p w14:paraId="68A4C7CE">
      <w:pPr>
        <w:pStyle w:val="2"/>
        <w:jc w:val="center"/>
        <w:rPr>
          <w:rFonts w:hint="eastAsia" w:ascii="楷体" w:hAnsi="楷体" w:eastAsia="楷体" w:cs="楷体"/>
          <w:b w:val="0"/>
          <w:bCs w:val="0"/>
          <w:i w:val="0"/>
          <w:iCs w:val="0"/>
          <w:caps w:val="0"/>
          <w:color w:val="000000" w:themeColor="text1"/>
          <w:spacing w:val="0"/>
          <w:sz w:val="36"/>
          <w:szCs w:val="36"/>
          <w:highlight w:val="none"/>
          <w:shd w:val="clear" w:fill="FFFFFF"/>
          <w14:textFill>
            <w14:solidFill>
              <w14:schemeClr w14:val="tx1"/>
            </w14:solidFill>
          </w14:textFill>
        </w:rPr>
      </w:pPr>
      <w:r>
        <w:rPr>
          <w:rFonts w:hint="eastAsia" w:ascii="楷体" w:hAnsi="楷体" w:eastAsia="楷体" w:cs="楷体"/>
          <w:b w:val="0"/>
          <w:bCs w:val="0"/>
          <w:color w:val="000000" w:themeColor="text1"/>
          <w:sz w:val="36"/>
          <w:szCs w:val="36"/>
          <w:highlight w:val="none"/>
          <w:lang w:eastAsia="zh-CN"/>
          <w14:textFill>
            <w14:solidFill>
              <w14:schemeClr w14:val="tx1"/>
            </w14:solidFill>
          </w14:textFill>
        </w:rPr>
        <w:t>（</w:t>
      </w:r>
      <w:r>
        <w:rPr>
          <w:rFonts w:hint="eastAsia" w:ascii="楷体" w:hAnsi="楷体" w:eastAsia="楷体" w:cs="楷体"/>
          <w:b w:val="0"/>
          <w:bCs w:val="0"/>
          <w:color w:val="000000" w:themeColor="text1"/>
          <w:sz w:val="36"/>
          <w:szCs w:val="36"/>
          <w:highlight w:val="none"/>
          <w:lang w:val="en-US" w:eastAsia="zh-CN"/>
          <w14:textFill>
            <w14:solidFill>
              <w14:schemeClr w14:val="tx1"/>
            </w14:solidFill>
          </w14:textFill>
        </w:rPr>
        <w:t>2020年12月30日</w:t>
      </w:r>
      <w:r>
        <w:rPr>
          <w:rFonts w:hint="eastAsia" w:ascii="楷体" w:hAnsi="楷体" w:eastAsia="楷体" w:cs="楷体"/>
          <w:b w:val="0"/>
          <w:bCs w:val="0"/>
          <w:i w:val="0"/>
          <w:iCs w:val="0"/>
          <w:caps w:val="0"/>
          <w:color w:val="000000" w:themeColor="text1"/>
          <w:spacing w:val="0"/>
          <w:sz w:val="36"/>
          <w:szCs w:val="36"/>
          <w:highlight w:val="none"/>
          <w:shd w:val="clear" w:fill="FFFFFF"/>
          <w14:textFill>
            <w14:solidFill>
              <w14:schemeClr w14:val="tx1"/>
            </w14:solidFill>
          </w14:textFill>
        </w:rPr>
        <w:t>武冈市第五届</w:t>
      </w:r>
    </w:p>
    <w:p w14:paraId="1A891A0C">
      <w:pPr>
        <w:pStyle w:val="2"/>
        <w:jc w:val="center"/>
        <w:rPr>
          <w:rFonts w:hint="eastAsia" w:ascii="楷体" w:hAnsi="楷体" w:eastAsia="楷体" w:cs="楷体"/>
          <w:b w:val="0"/>
          <w:bCs w:val="0"/>
          <w:color w:val="000000" w:themeColor="text1"/>
          <w:spacing w:val="20"/>
          <w:sz w:val="36"/>
          <w:szCs w:val="36"/>
          <w:highlight w:val="none"/>
          <w:lang w:eastAsia="zh-CN"/>
          <w14:textFill>
            <w14:solidFill>
              <w14:schemeClr w14:val="tx1"/>
            </w14:solidFill>
          </w14:textFill>
        </w:rPr>
      </w:pPr>
      <w:r>
        <w:rPr>
          <w:rFonts w:hint="eastAsia" w:ascii="楷体" w:hAnsi="楷体" w:eastAsia="楷体" w:cs="楷体"/>
          <w:b w:val="0"/>
          <w:bCs w:val="0"/>
          <w:i w:val="0"/>
          <w:iCs w:val="0"/>
          <w:caps w:val="0"/>
          <w:color w:val="000000" w:themeColor="text1"/>
          <w:spacing w:val="20"/>
          <w:sz w:val="36"/>
          <w:szCs w:val="36"/>
          <w:highlight w:val="none"/>
          <w:shd w:val="clear" w:fill="FFFFFF"/>
          <w:lang w:val="en-US" w:eastAsia="zh-CN"/>
          <w14:textFill>
            <w14:solidFill>
              <w14:schemeClr w14:val="tx1"/>
            </w14:solidFill>
          </w14:textFill>
        </w:rPr>
        <w:t xml:space="preserve">  </w:t>
      </w:r>
      <w:r>
        <w:rPr>
          <w:rFonts w:hint="eastAsia" w:ascii="楷体" w:hAnsi="楷体" w:eastAsia="楷体" w:cs="楷体"/>
          <w:b w:val="0"/>
          <w:bCs w:val="0"/>
          <w:i w:val="0"/>
          <w:iCs w:val="0"/>
          <w:caps w:val="0"/>
          <w:color w:val="000000" w:themeColor="text1"/>
          <w:spacing w:val="17"/>
          <w:sz w:val="36"/>
          <w:szCs w:val="36"/>
          <w:highlight w:val="none"/>
          <w:shd w:val="clear" w:fill="FFFFFF"/>
          <w14:textFill>
            <w14:solidFill>
              <w14:schemeClr w14:val="tx1"/>
            </w14:solidFill>
          </w14:textFill>
        </w:rPr>
        <w:t>人民代表大会第七次会议</w:t>
      </w:r>
      <w:r>
        <w:rPr>
          <w:rFonts w:hint="eastAsia" w:ascii="楷体" w:hAnsi="楷体" w:eastAsia="楷体" w:cs="楷体"/>
          <w:b w:val="0"/>
          <w:bCs w:val="0"/>
          <w:i w:val="0"/>
          <w:iCs w:val="0"/>
          <w:caps w:val="0"/>
          <w:color w:val="000000" w:themeColor="text1"/>
          <w:spacing w:val="17"/>
          <w:sz w:val="36"/>
          <w:szCs w:val="36"/>
          <w:highlight w:val="none"/>
          <w:shd w:val="clear" w:fill="FFFFFF"/>
          <w:lang w:eastAsia="zh-CN"/>
          <w14:textFill>
            <w14:solidFill>
              <w14:schemeClr w14:val="tx1"/>
            </w14:solidFill>
          </w14:textFill>
        </w:rPr>
        <w:t>批准</w:t>
      </w:r>
      <w:r>
        <w:rPr>
          <w:rFonts w:hint="eastAsia" w:ascii="楷体" w:hAnsi="楷体" w:eastAsia="楷体" w:cs="楷体"/>
          <w:b w:val="0"/>
          <w:bCs w:val="0"/>
          <w:color w:val="000000" w:themeColor="text1"/>
          <w:spacing w:val="17"/>
          <w:sz w:val="36"/>
          <w:szCs w:val="36"/>
          <w:highlight w:val="none"/>
          <w:lang w:eastAsia="zh-CN"/>
          <w14:textFill>
            <w14:solidFill>
              <w14:schemeClr w14:val="tx1"/>
            </w14:solidFill>
          </w14:textFill>
        </w:rPr>
        <w:t>）</w:t>
      </w:r>
    </w:p>
    <w:p w14:paraId="690583F9">
      <w:pPr>
        <w:pStyle w:val="2"/>
        <w:rPr>
          <w:color w:val="000000" w:themeColor="text1"/>
          <w:highlight w:val="none"/>
          <w14:textFill>
            <w14:solidFill>
              <w14:schemeClr w14:val="tx1"/>
            </w14:solidFill>
          </w14:textFill>
        </w:rPr>
      </w:pPr>
    </w:p>
    <w:p w14:paraId="445D71F6">
      <w:pPr>
        <w:pStyle w:val="2"/>
        <w:rPr>
          <w:color w:val="000000" w:themeColor="text1"/>
          <w:highlight w:val="none"/>
          <w14:textFill>
            <w14:solidFill>
              <w14:schemeClr w14:val="tx1"/>
            </w14:solidFill>
          </w14:textFill>
        </w:rPr>
      </w:pPr>
    </w:p>
    <w:p w14:paraId="1F1E86E4">
      <w:pPr>
        <w:pStyle w:val="2"/>
        <w:rPr>
          <w:color w:val="000000" w:themeColor="text1"/>
          <w:highlight w:val="none"/>
          <w14:textFill>
            <w14:solidFill>
              <w14:schemeClr w14:val="tx1"/>
            </w14:solidFill>
          </w14:textFill>
        </w:rPr>
      </w:pPr>
    </w:p>
    <w:p w14:paraId="10431EDF">
      <w:pPr>
        <w:pStyle w:val="2"/>
        <w:rPr>
          <w:color w:val="000000" w:themeColor="text1"/>
          <w:highlight w:val="none"/>
          <w14:textFill>
            <w14:solidFill>
              <w14:schemeClr w14:val="tx1"/>
            </w14:solidFill>
          </w14:textFill>
        </w:rPr>
      </w:pPr>
    </w:p>
    <w:p w14:paraId="3AB517D2">
      <w:pPr>
        <w:pStyle w:val="2"/>
        <w:rPr>
          <w:color w:val="000000" w:themeColor="text1"/>
          <w:highlight w:val="none"/>
          <w14:textFill>
            <w14:solidFill>
              <w14:schemeClr w14:val="tx1"/>
            </w14:solidFill>
          </w14:textFill>
        </w:rPr>
      </w:pPr>
    </w:p>
    <w:p w14:paraId="5AE001BD">
      <w:pPr>
        <w:pStyle w:val="2"/>
        <w:rPr>
          <w:color w:val="000000" w:themeColor="text1"/>
          <w:highlight w:val="none"/>
          <w14:textFill>
            <w14:solidFill>
              <w14:schemeClr w14:val="tx1"/>
            </w14:solidFill>
          </w14:textFill>
        </w:rPr>
      </w:pPr>
    </w:p>
    <w:p w14:paraId="0F1367C7">
      <w:pPr>
        <w:pStyle w:val="2"/>
        <w:rPr>
          <w:color w:val="000000" w:themeColor="text1"/>
          <w:highlight w:val="none"/>
          <w14:textFill>
            <w14:solidFill>
              <w14:schemeClr w14:val="tx1"/>
            </w14:solidFill>
          </w14:textFill>
        </w:rPr>
      </w:pPr>
    </w:p>
    <w:p w14:paraId="02823D28">
      <w:pPr>
        <w:pStyle w:val="2"/>
        <w:rPr>
          <w:color w:val="000000" w:themeColor="text1"/>
          <w:highlight w:val="none"/>
          <w14:textFill>
            <w14:solidFill>
              <w14:schemeClr w14:val="tx1"/>
            </w14:solidFill>
          </w14:textFill>
        </w:rPr>
      </w:pPr>
    </w:p>
    <w:p w14:paraId="4941A3D2">
      <w:pPr>
        <w:pStyle w:val="2"/>
        <w:rPr>
          <w:color w:val="000000" w:themeColor="text1"/>
          <w:highlight w:val="none"/>
          <w14:textFill>
            <w14:solidFill>
              <w14:schemeClr w14:val="tx1"/>
            </w14:solidFill>
          </w14:textFill>
        </w:rPr>
      </w:pPr>
    </w:p>
    <w:p w14:paraId="7E8D1485">
      <w:pPr>
        <w:pStyle w:val="2"/>
        <w:rPr>
          <w:color w:val="000000" w:themeColor="text1"/>
          <w:highlight w:val="none"/>
          <w14:textFill>
            <w14:solidFill>
              <w14:schemeClr w14:val="tx1"/>
            </w14:solidFill>
          </w14:textFill>
        </w:rPr>
      </w:pPr>
    </w:p>
    <w:p w14:paraId="063AD688">
      <w:pPr>
        <w:pStyle w:val="2"/>
        <w:rPr>
          <w:color w:val="000000" w:themeColor="text1"/>
          <w:highlight w:val="none"/>
          <w14:textFill>
            <w14:solidFill>
              <w14:schemeClr w14:val="tx1"/>
            </w14:solidFill>
          </w14:textFill>
        </w:rPr>
      </w:pPr>
    </w:p>
    <w:p w14:paraId="62E77190">
      <w:pPr>
        <w:pStyle w:val="2"/>
        <w:jc w:val="center"/>
        <w:rPr>
          <w:rFonts w:hint="eastAsia" w:ascii="楷体" w:hAnsi="楷体" w:eastAsia="楷体" w:cs="楷体"/>
          <w:b/>
          <w:bCs/>
          <w:color w:val="000000" w:themeColor="text1"/>
          <w:sz w:val="36"/>
          <w:szCs w:val="36"/>
          <w:highlight w:val="none"/>
          <w:lang w:val="en-US" w:eastAsia="zh-CN"/>
          <w14:textFill>
            <w14:solidFill>
              <w14:schemeClr w14:val="tx1"/>
            </w14:solidFill>
          </w14:textFill>
        </w:rPr>
      </w:pPr>
      <w:r>
        <w:rPr>
          <w:rFonts w:hint="eastAsia" w:ascii="楷体" w:hAnsi="楷体" w:eastAsia="楷体" w:cs="楷体"/>
          <w:b/>
          <w:bCs/>
          <w:color w:val="000000" w:themeColor="text1"/>
          <w:sz w:val="36"/>
          <w:szCs w:val="36"/>
          <w:highlight w:val="none"/>
          <w:lang w:eastAsia="zh-CN"/>
          <w14:textFill>
            <w14:solidFill>
              <w14:schemeClr w14:val="tx1"/>
            </w14:solidFill>
          </w14:textFill>
        </w:rPr>
        <w:t>武冈市发展和改革局</w:t>
      </w:r>
      <w:r>
        <w:rPr>
          <w:rFonts w:hint="eastAsia" w:ascii="楷体" w:hAnsi="楷体" w:eastAsia="楷体" w:cs="楷体"/>
          <w:b/>
          <w:bCs/>
          <w:color w:val="000000" w:themeColor="text1"/>
          <w:sz w:val="36"/>
          <w:szCs w:val="36"/>
          <w:highlight w:val="none"/>
          <w:lang w:val="en-US" w:eastAsia="zh-CN"/>
          <w14:textFill>
            <w14:solidFill>
              <w14:schemeClr w14:val="tx1"/>
            </w14:solidFill>
          </w14:textFill>
        </w:rPr>
        <w:t xml:space="preserve">  编</w:t>
      </w:r>
    </w:p>
    <w:p w14:paraId="51C32F97">
      <w:pPr>
        <w:pStyle w:val="2"/>
        <w:jc w:val="center"/>
        <w:rPr>
          <w:rFonts w:hint="eastAsia" w:ascii="楷体" w:hAnsi="楷体" w:eastAsia="楷体" w:cs="楷体"/>
          <w:b/>
          <w:bCs/>
          <w:color w:val="000000" w:themeColor="text1"/>
          <w:sz w:val="36"/>
          <w:szCs w:val="36"/>
          <w:highlight w:val="none"/>
          <w:lang w:val="en-US" w:eastAsia="zh-CN"/>
          <w14:textFill>
            <w14:solidFill>
              <w14:schemeClr w14:val="tx1"/>
            </w14:solidFill>
          </w14:textFill>
        </w:rPr>
      </w:pPr>
      <w:r>
        <w:rPr>
          <w:rFonts w:hint="eastAsia" w:ascii="楷体" w:hAnsi="楷体" w:eastAsia="楷体" w:cs="楷体"/>
          <w:b/>
          <w:bCs/>
          <w:color w:val="000000" w:themeColor="text1"/>
          <w:sz w:val="36"/>
          <w:szCs w:val="36"/>
          <w:highlight w:val="none"/>
          <w:lang w:val="en-US" w:eastAsia="zh-CN"/>
          <w14:textFill>
            <w14:solidFill>
              <w14:schemeClr w14:val="tx1"/>
            </w14:solidFill>
          </w14:textFill>
        </w:rPr>
        <w:t>2021年6月</w:t>
      </w:r>
    </w:p>
    <w:p w14:paraId="36081EA2">
      <w:pPr>
        <w:keepNext/>
        <w:keepLines/>
        <w:pageBreakBefore w:val="0"/>
        <w:widowControl w:val="0"/>
        <w:kinsoku/>
        <w:wordWrap/>
        <w:overflowPunct/>
        <w:topLinePunct w:val="0"/>
        <w:autoSpaceDE/>
        <w:autoSpaceDN/>
        <w:bidi w:val="0"/>
        <w:adjustRightInd/>
        <w:snapToGrid/>
        <w:spacing w:before="0" w:after="313" w:afterLines="100" w:line="700" w:lineRule="exact"/>
        <w:jc w:val="center"/>
        <w:textAlignment w:val="auto"/>
        <w:outlineLvl w:val="9"/>
        <w:rPr>
          <w:rFonts w:hint="eastAsia" w:ascii="楷体" w:hAnsi="楷体" w:eastAsia="楷体" w:cs="楷体"/>
          <w:color w:val="auto"/>
          <w:kern w:val="2"/>
          <w:sz w:val="36"/>
          <w:szCs w:val="36"/>
          <w:highlight w:val="none"/>
        </w:rPr>
        <w:sectPr>
          <w:headerReference r:id="rId6" w:type="first"/>
          <w:footerReference r:id="rId7" w:type="first"/>
          <w:headerReference r:id="rId5" w:type="default"/>
          <w:pgSz w:w="11906" w:h="16838"/>
          <w:pgMar w:top="1440" w:right="1800" w:bottom="1440" w:left="1800" w:header="851" w:footer="992" w:gutter="0"/>
          <w:pgNumType w:fmt="numberInDash" w:start="1"/>
          <w:cols w:space="425" w:num="1"/>
          <w:docGrid w:type="lines" w:linePitch="312" w:charSpace="0"/>
        </w:sectPr>
      </w:pPr>
    </w:p>
    <w:sdt>
      <w:sdtPr>
        <w:rPr>
          <w:rFonts w:hint="eastAsia" w:ascii="楷体" w:hAnsi="楷体" w:eastAsia="楷体" w:cs="楷体"/>
          <w:color w:val="auto"/>
          <w:kern w:val="2"/>
          <w:sz w:val="36"/>
          <w:szCs w:val="36"/>
          <w:highlight w:val="none"/>
        </w:rPr>
        <w:id w:val="147452252"/>
        <w15:color w:val="DBDBDB"/>
        <w:docPartObj>
          <w:docPartGallery w:val="Table of Contents"/>
          <w:docPartUnique/>
        </w:docPartObj>
      </w:sdtPr>
      <w:sdtEndPr>
        <w:rPr>
          <w:rFonts w:hint="eastAsia" w:ascii="KaiTi_GB2312" w:hAnsi="KaiTi_GB2312" w:eastAsia="KaiTi_GB2312" w:cs="KaiTi_GB2312"/>
          <w:b/>
          <w:bCs/>
          <w:color w:val="auto"/>
          <w:kern w:val="44"/>
          <w:sz w:val="28"/>
          <w:szCs w:val="28"/>
          <w:highlight w:val="none"/>
        </w:rPr>
      </w:sdtEndPr>
      <w:sdtContent>
        <w:p w14:paraId="7B6221EC">
          <w:pPr>
            <w:keepNext/>
            <w:keepLines/>
            <w:pageBreakBefore w:val="0"/>
            <w:widowControl w:val="0"/>
            <w:kinsoku/>
            <w:wordWrap/>
            <w:overflowPunct/>
            <w:topLinePunct w:val="0"/>
            <w:autoSpaceDE/>
            <w:autoSpaceDN/>
            <w:bidi w:val="0"/>
            <w:adjustRightInd/>
            <w:snapToGrid/>
            <w:spacing w:before="0" w:after="0" w:afterLines="100" w:line="700" w:lineRule="exact"/>
            <w:jc w:val="center"/>
            <w:textAlignment w:val="auto"/>
            <w:outlineLvl w:val="9"/>
            <w:rPr>
              <w:rFonts w:hint="eastAsia" w:ascii="KaiTi_GB2312" w:hAnsi="KaiTi_GB2312" w:eastAsia="KaiTi_GB2312" w:cs="KaiTi_GB2312"/>
              <w:b/>
              <w:bCs/>
              <w:color w:val="auto"/>
              <w:kern w:val="2"/>
              <w:sz w:val="28"/>
              <w:szCs w:val="28"/>
              <w:highlight w:val="none"/>
              <w:lang w:val="en-US" w:eastAsia="zh-CN" w:bidi="ar-SA"/>
            </w:rPr>
          </w:pPr>
          <w:bookmarkStart w:id="0" w:name="_Toc24407"/>
          <w:bookmarkStart w:id="1" w:name="_Toc12333"/>
          <w:bookmarkStart w:id="2" w:name="_Toc28861"/>
          <w:bookmarkStart w:id="3" w:name="_Toc24863"/>
          <w:bookmarkStart w:id="4" w:name="_Toc11584"/>
          <w:bookmarkStart w:id="5" w:name="_Toc17027"/>
          <w:bookmarkStart w:id="6" w:name="_Toc16243"/>
          <w:bookmarkStart w:id="7" w:name="_Toc11612"/>
          <w:bookmarkStart w:id="8" w:name="_Toc31659"/>
          <w:bookmarkStart w:id="9" w:name="_Toc11524"/>
          <w:bookmarkStart w:id="10" w:name="_Toc13165"/>
          <w:bookmarkStart w:id="11" w:name="_Toc15775"/>
          <w:bookmarkStart w:id="12" w:name="_Toc16020"/>
          <w:bookmarkStart w:id="13" w:name="_Toc8651"/>
          <w:bookmarkStart w:id="14" w:name="_Toc29227"/>
          <w:permStart w:id="0" w:edGrp="everyone"/>
          <w:permEnd w:id="0"/>
          <w:r>
            <w:rPr>
              <w:rFonts w:hint="eastAsia" w:ascii="黑体" w:hAnsi="黑体" w:eastAsia="黑体" w:cs="黑体"/>
              <w:b w:val="0"/>
              <w:bCs w:val="0"/>
              <w:color w:val="auto"/>
              <w:sz w:val="40"/>
              <w:szCs w:val="40"/>
              <w:highlight w:val="none"/>
            </w:rPr>
            <w:t>目</w:t>
          </w:r>
          <w:r>
            <w:rPr>
              <w:rFonts w:hint="eastAsia" w:ascii="黑体" w:hAnsi="黑体" w:eastAsia="黑体" w:cs="黑体"/>
              <w:b w:val="0"/>
              <w:bCs w:val="0"/>
              <w:color w:val="auto"/>
              <w:sz w:val="40"/>
              <w:szCs w:val="40"/>
              <w:highlight w:val="none"/>
              <w:lang w:val="en-US" w:eastAsia="zh-CN"/>
            </w:rPr>
            <w:t xml:space="preserve">  </w:t>
          </w:r>
          <w:r>
            <w:rPr>
              <w:rFonts w:hint="eastAsia" w:ascii="黑体" w:hAnsi="黑体" w:eastAsia="黑体" w:cs="黑体"/>
              <w:b w:val="0"/>
              <w:bCs w:val="0"/>
              <w:color w:val="auto"/>
              <w:sz w:val="40"/>
              <w:szCs w:val="40"/>
              <w:highlight w:val="none"/>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hint="eastAsia" w:ascii="KaiTi_GB2312" w:hAnsi="KaiTi_GB2312" w:eastAsia="KaiTi_GB2312" w:cs="KaiTi_GB2312"/>
              <w:bCs/>
              <w:color w:val="auto"/>
              <w:sz w:val="28"/>
              <w:szCs w:val="28"/>
              <w:highlight w:val="none"/>
            </w:rPr>
            <w:fldChar w:fldCharType="begin"/>
          </w:r>
          <w:r>
            <w:rPr>
              <w:rFonts w:hint="eastAsia" w:ascii="KaiTi_GB2312" w:hAnsi="KaiTi_GB2312" w:eastAsia="KaiTi_GB2312" w:cs="KaiTi_GB2312"/>
              <w:bCs/>
              <w:color w:val="auto"/>
              <w:sz w:val="28"/>
              <w:szCs w:val="28"/>
              <w:highlight w:val="none"/>
            </w:rPr>
            <w:instrText xml:space="preserve">TOC \o "1-2" \h \u </w:instrText>
          </w:r>
          <w:r>
            <w:rPr>
              <w:rFonts w:hint="eastAsia" w:ascii="KaiTi_GB2312" w:hAnsi="KaiTi_GB2312" w:eastAsia="KaiTi_GB2312" w:cs="KaiTi_GB2312"/>
              <w:bCs/>
              <w:color w:val="auto"/>
              <w:sz w:val="28"/>
              <w:szCs w:val="28"/>
              <w:highlight w:val="none"/>
            </w:rPr>
            <w:fldChar w:fldCharType="separate"/>
          </w:r>
        </w:p>
        <w:p w14:paraId="22FEEEBC">
          <w:pPr>
            <w:pStyle w:val="15"/>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32"/>
              <w:szCs w:val="32"/>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_Toc15345 </w:instrText>
          </w:r>
          <w:r>
            <w:rPr>
              <w:rFonts w:hint="eastAsia" w:ascii="仿宋" w:hAnsi="仿宋" w:eastAsia="仿宋" w:cs="仿宋"/>
              <w:bCs/>
              <w:sz w:val="32"/>
              <w:szCs w:val="32"/>
              <w:highlight w:val="none"/>
            </w:rPr>
            <w:fldChar w:fldCharType="separate"/>
          </w:r>
          <w:r>
            <w:rPr>
              <w:rFonts w:hint="eastAsia" w:ascii="黑体" w:hAnsi="黑体" w:eastAsia="黑体" w:cs="黑体"/>
              <w:sz w:val="32"/>
              <w:szCs w:val="32"/>
              <w:highlight w:val="none"/>
              <w:lang w:val="en-US" w:eastAsia="zh-CN"/>
            </w:rPr>
            <w:t xml:space="preserve">第一章  </w:t>
          </w:r>
          <w:r>
            <w:rPr>
              <w:rFonts w:hint="eastAsia" w:ascii="黑体" w:hAnsi="黑体" w:eastAsia="黑体" w:cs="黑体"/>
              <w:sz w:val="32"/>
              <w:szCs w:val="32"/>
              <w:highlight w:val="none"/>
            </w:rPr>
            <w:t>决胜全面小康</w:t>
          </w:r>
          <w:r>
            <w:rPr>
              <w:rFonts w:hint="eastAsia" w:ascii="黑体" w:hAnsi="黑体" w:eastAsia="黑体" w:cs="黑体"/>
              <w:sz w:val="32"/>
              <w:szCs w:val="32"/>
              <w:highlight w:val="none"/>
              <w:lang w:eastAsia="zh-CN"/>
            </w:rPr>
            <w:t>，</w:t>
          </w:r>
          <w:r>
            <w:rPr>
              <w:rFonts w:hint="eastAsia" w:ascii="黑体" w:hAnsi="黑体" w:eastAsia="黑体" w:cs="黑体"/>
              <w:sz w:val="32"/>
              <w:szCs w:val="32"/>
              <w:highlight w:val="none"/>
            </w:rPr>
            <w:t>开启现代化建设新征程</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_Toc15345 </w:instrText>
          </w:r>
          <w:r>
            <w:rPr>
              <w:rFonts w:hint="eastAsia" w:ascii="仿宋" w:hAnsi="仿宋" w:eastAsia="仿宋" w:cs="仿宋"/>
              <w:sz w:val="32"/>
              <w:szCs w:val="32"/>
            </w:rPr>
            <w:fldChar w:fldCharType="separate"/>
          </w:r>
          <w:r>
            <w:rPr>
              <w:rFonts w:hint="eastAsia" w:ascii="仿宋" w:hAnsi="仿宋" w:eastAsia="仿宋" w:cs="仿宋"/>
              <w:sz w:val="32"/>
              <w:szCs w:val="32"/>
            </w:rPr>
            <w:t>2</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18737053">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_Toc17470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“十三五”发展成就</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_Toc17470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774E2BFE">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_Toc28761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“十四五”发展环境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_Toc28761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1C59951E">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_Toc28210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二〇三五年远景目标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_Toc28210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8B57541">
          <w:pPr>
            <w:pStyle w:val="15"/>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32"/>
              <w:szCs w:val="32"/>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_Toc15005 </w:instrText>
          </w:r>
          <w:r>
            <w:rPr>
              <w:rFonts w:hint="eastAsia" w:ascii="仿宋" w:hAnsi="仿宋" w:eastAsia="仿宋" w:cs="仿宋"/>
              <w:bCs/>
              <w:sz w:val="32"/>
              <w:szCs w:val="32"/>
              <w:highlight w:val="none"/>
            </w:rPr>
            <w:fldChar w:fldCharType="separate"/>
          </w:r>
          <w:r>
            <w:rPr>
              <w:rFonts w:hint="eastAsia" w:ascii="黑体" w:hAnsi="黑体" w:eastAsia="黑体" w:cs="黑体"/>
              <w:bCs/>
              <w:sz w:val="32"/>
              <w:szCs w:val="32"/>
              <w:highlight w:val="none"/>
              <w:lang w:eastAsia="zh-CN"/>
            </w:rPr>
            <w:t>第</w:t>
          </w:r>
          <w:r>
            <w:rPr>
              <w:rFonts w:hint="eastAsia" w:ascii="黑体" w:hAnsi="黑体" w:eastAsia="黑体" w:cs="黑体"/>
              <w:bCs/>
              <w:sz w:val="32"/>
              <w:szCs w:val="32"/>
              <w:highlight w:val="none"/>
            </w:rPr>
            <w:t>二章</w:t>
          </w:r>
          <w:r>
            <w:rPr>
              <w:rFonts w:hint="eastAsia" w:ascii="黑体" w:hAnsi="黑体" w:eastAsia="黑体" w:cs="黑体"/>
              <w:bCs/>
              <w:sz w:val="32"/>
              <w:szCs w:val="32"/>
              <w:highlight w:val="none"/>
              <w:lang w:val="en-US" w:eastAsia="zh-CN"/>
            </w:rPr>
            <w:t xml:space="preserve">  </w:t>
          </w:r>
          <w:r>
            <w:rPr>
              <w:rFonts w:hint="eastAsia" w:ascii="黑体" w:hAnsi="黑体" w:eastAsia="黑体" w:cs="黑体"/>
              <w:bCs/>
              <w:strike w:val="0"/>
              <w:dstrike w:val="0"/>
              <w:sz w:val="32"/>
              <w:szCs w:val="32"/>
              <w:highlight w:val="none"/>
              <w:lang w:eastAsia="zh-CN"/>
            </w:rPr>
            <w:t>十四五”时期发展指导方针和主要目标</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_Toc15005 </w:instrText>
          </w:r>
          <w:r>
            <w:rPr>
              <w:rFonts w:hint="eastAsia" w:ascii="仿宋" w:hAnsi="仿宋" w:eastAsia="仿宋" w:cs="仿宋"/>
              <w:sz w:val="32"/>
              <w:szCs w:val="32"/>
            </w:rPr>
            <w:fldChar w:fldCharType="separate"/>
          </w:r>
          <w:r>
            <w:rPr>
              <w:rFonts w:hint="eastAsia" w:ascii="仿宋" w:hAnsi="仿宋" w:eastAsia="仿宋" w:cs="仿宋"/>
              <w:sz w:val="32"/>
              <w:szCs w:val="32"/>
            </w:rPr>
            <w:t>18</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0996B733">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_Toc24104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指导思想</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_Toc24104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22C43736">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_Toc2326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基本原则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_Toc2326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610693BA">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_Toc30672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发展定位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_Toc30672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4D6FC8F7">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_Toc3204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第四节  发展目标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_Toc3204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3D82EBC">
          <w:pPr>
            <w:pStyle w:val="15"/>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_Toc23925 </w:instrText>
          </w:r>
          <w:r>
            <w:rPr>
              <w:rFonts w:hint="eastAsia" w:ascii="仿宋" w:hAnsi="仿宋" w:eastAsia="仿宋" w:cs="仿宋"/>
              <w:bCs/>
              <w:sz w:val="32"/>
              <w:szCs w:val="32"/>
              <w:highlight w:val="none"/>
            </w:rPr>
            <w:fldChar w:fldCharType="separate"/>
          </w:r>
          <w:r>
            <w:rPr>
              <w:rFonts w:hint="eastAsia" w:ascii="黑体" w:hAnsi="黑体" w:eastAsia="黑体" w:cs="黑体"/>
              <w:sz w:val="32"/>
              <w:szCs w:val="32"/>
              <w:highlight w:val="none"/>
            </w:rPr>
            <w:t xml:space="preserve">第三章 </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构建现代产业体系，打造重要先进制造业高地</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_Toc23925 </w:instrText>
          </w:r>
          <w:r>
            <w:rPr>
              <w:rFonts w:hint="eastAsia" w:ascii="仿宋" w:hAnsi="仿宋" w:eastAsia="仿宋" w:cs="仿宋"/>
              <w:sz w:val="32"/>
              <w:szCs w:val="32"/>
            </w:rPr>
            <w:fldChar w:fldCharType="separate"/>
          </w:r>
          <w:r>
            <w:rPr>
              <w:rFonts w:hint="eastAsia" w:ascii="仿宋" w:hAnsi="仿宋" w:eastAsia="仿宋" w:cs="仿宋"/>
              <w:sz w:val="32"/>
              <w:szCs w:val="32"/>
            </w:rPr>
            <w:t>26</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078A4585">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_Toc26726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推进先进制造业发展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_Toc26726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26E60E81">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_Toc3442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加快现代服务业发展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_Toc3442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1AC69BAC">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_Toc20262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推动数字经济发展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_Toc20262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30918FD3">
          <w:pPr>
            <w:pStyle w:val="15"/>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_Toc12343 </w:instrText>
          </w:r>
          <w:r>
            <w:rPr>
              <w:rFonts w:hint="eastAsia" w:ascii="仿宋" w:hAnsi="仿宋" w:eastAsia="仿宋" w:cs="仿宋"/>
              <w:bCs/>
              <w:sz w:val="32"/>
              <w:szCs w:val="32"/>
              <w:highlight w:val="none"/>
            </w:rPr>
            <w:fldChar w:fldCharType="separate"/>
          </w:r>
          <w:r>
            <w:rPr>
              <w:rFonts w:hint="eastAsia" w:ascii="黑体" w:hAnsi="黑体" w:eastAsia="黑体" w:cs="黑体"/>
              <w:sz w:val="32"/>
              <w:szCs w:val="32"/>
              <w:highlight w:val="none"/>
              <w:lang w:eastAsia="zh-CN"/>
            </w:rPr>
            <w:t>第四章</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lang w:eastAsia="zh-CN"/>
            </w:rPr>
            <w:t>坚持创新驱动，打造湘西南科技创新高地</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_Toc12343 </w:instrText>
          </w:r>
          <w:r>
            <w:rPr>
              <w:rFonts w:hint="eastAsia" w:ascii="仿宋" w:hAnsi="仿宋" w:eastAsia="仿宋" w:cs="仿宋"/>
              <w:sz w:val="32"/>
              <w:szCs w:val="32"/>
            </w:rPr>
            <w:fldChar w:fldCharType="separate"/>
          </w:r>
          <w:r>
            <w:rPr>
              <w:rFonts w:hint="eastAsia" w:ascii="仿宋" w:hAnsi="仿宋" w:eastAsia="仿宋" w:cs="仿宋"/>
              <w:sz w:val="32"/>
              <w:szCs w:val="32"/>
            </w:rPr>
            <w:t>39</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161041D8">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_Toc12397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大力推进科技创新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_Toc12397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55D83C59">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_Toc17342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搭建创新创业载体</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_Toc17342 </w:instrText>
          </w:r>
          <w:r>
            <w:rPr>
              <w:rFonts w:hint="eastAsia" w:ascii="仿宋" w:hAnsi="仿宋" w:eastAsia="仿宋" w:cs="仿宋"/>
              <w:sz w:val="28"/>
              <w:szCs w:val="28"/>
            </w:rPr>
            <w:fldChar w:fldCharType="separate"/>
          </w:r>
          <w:r>
            <w:rPr>
              <w:rFonts w:hint="eastAsia" w:ascii="仿宋" w:hAnsi="仿宋" w:eastAsia="仿宋" w:cs="仿宋"/>
              <w:sz w:val="28"/>
              <w:szCs w:val="28"/>
            </w:rPr>
            <w:t>42</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50F2E598">
          <w:pPr>
            <w:pStyle w:val="16"/>
            <w:keepNext w:val="0"/>
            <w:keepLines w:val="0"/>
            <w:pageBreakBefore w:val="0"/>
            <w:widowControl w:val="0"/>
            <w:tabs>
              <w:tab w:val="right" w:leader="dot" w:pos="8306"/>
            </w:tabs>
            <w:kinsoku/>
            <w:wordWrap/>
            <w:overflowPunct/>
            <w:topLinePunct w:val="0"/>
            <w:autoSpaceDE/>
            <w:autoSpaceDN/>
            <w:bidi w:val="0"/>
            <w:adjustRightInd/>
            <w:snapToGrid/>
            <w:spacing w:line="74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_Toc4962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集聚高端创新人才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_Toc4962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136AC815">
          <w:pPr>
            <w:pStyle w:val="15"/>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_Toc30557 </w:instrText>
          </w:r>
          <w:r>
            <w:rPr>
              <w:rFonts w:hint="eastAsia" w:ascii="仿宋" w:hAnsi="仿宋" w:eastAsia="仿宋" w:cs="仿宋"/>
              <w:bCs/>
              <w:sz w:val="32"/>
              <w:szCs w:val="32"/>
              <w:highlight w:val="none"/>
            </w:rPr>
            <w:fldChar w:fldCharType="separate"/>
          </w:r>
          <w:r>
            <w:rPr>
              <w:rFonts w:hint="eastAsia" w:ascii="黑体" w:hAnsi="黑体" w:eastAsia="黑体" w:cs="黑体"/>
              <w:bCs/>
              <w:sz w:val="32"/>
              <w:szCs w:val="32"/>
              <w:highlight w:val="none"/>
            </w:rPr>
            <w:t xml:space="preserve">第五章  </w:t>
          </w:r>
          <w:r>
            <w:rPr>
              <w:rFonts w:hint="eastAsia" w:ascii="黑体" w:hAnsi="黑体" w:eastAsia="黑体" w:cs="黑体"/>
              <w:bCs/>
              <w:spacing w:val="-6"/>
              <w:sz w:val="32"/>
              <w:szCs w:val="32"/>
              <w:highlight w:val="none"/>
            </w:rPr>
            <w:t>全面深化改革</w:t>
          </w:r>
          <w:r>
            <w:rPr>
              <w:rFonts w:hint="eastAsia" w:ascii="黑体" w:hAnsi="黑体" w:eastAsia="黑体" w:cs="黑体"/>
              <w:bCs/>
              <w:spacing w:val="-6"/>
              <w:sz w:val="32"/>
              <w:szCs w:val="32"/>
              <w:highlight w:val="none"/>
              <w:lang w:eastAsia="zh-CN"/>
            </w:rPr>
            <w:t>开放</w:t>
          </w:r>
          <w:r>
            <w:rPr>
              <w:rFonts w:hint="eastAsia" w:ascii="黑体" w:hAnsi="黑体" w:eastAsia="黑体" w:cs="黑体"/>
              <w:bCs/>
              <w:spacing w:val="-6"/>
              <w:sz w:val="32"/>
              <w:szCs w:val="32"/>
              <w:highlight w:val="none"/>
            </w:rPr>
            <w:t>，打造</w:t>
          </w:r>
          <w:r>
            <w:rPr>
              <w:rFonts w:hint="eastAsia" w:ascii="黑体" w:hAnsi="黑体" w:eastAsia="黑体" w:cs="黑体"/>
              <w:bCs/>
              <w:spacing w:val="-6"/>
              <w:sz w:val="32"/>
              <w:szCs w:val="32"/>
              <w:highlight w:val="none"/>
              <w:lang w:eastAsia="zh-CN"/>
            </w:rPr>
            <w:t>湘西南</w:t>
          </w:r>
          <w:r>
            <w:rPr>
              <w:rFonts w:hint="eastAsia" w:ascii="黑体" w:hAnsi="黑体" w:eastAsia="黑体" w:cs="黑体"/>
              <w:bCs/>
              <w:spacing w:val="-6"/>
              <w:sz w:val="32"/>
              <w:szCs w:val="32"/>
              <w:highlight w:val="none"/>
            </w:rPr>
            <w:t>改革开放高地</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_Toc30557 </w:instrText>
          </w:r>
          <w:r>
            <w:rPr>
              <w:rFonts w:hint="eastAsia" w:ascii="仿宋" w:hAnsi="仿宋" w:eastAsia="仿宋" w:cs="仿宋"/>
              <w:sz w:val="32"/>
              <w:szCs w:val="32"/>
            </w:rPr>
            <w:fldChar w:fldCharType="separate"/>
          </w:r>
          <w:r>
            <w:rPr>
              <w:rFonts w:hint="eastAsia" w:ascii="仿宋" w:hAnsi="仿宋" w:eastAsia="仿宋" w:cs="仿宋"/>
              <w:sz w:val="32"/>
              <w:szCs w:val="32"/>
            </w:rPr>
            <w:t>45</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4762495F">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_Toc17318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激发市场主体活力</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_Toc17318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616A9722">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_Toc25422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完善经济治理体系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_Toc25422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7434AA50">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_Toc28476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构建高标准市场体系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_Toc28476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10117588">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_Toc1229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第四节 加快转变政府职能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_Toc1229 </w:instrText>
          </w:r>
          <w:r>
            <w:rPr>
              <w:rFonts w:hint="eastAsia" w:ascii="仿宋" w:hAnsi="仿宋" w:eastAsia="仿宋" w:cs="仿宋"/>
              <w:sz w:val="28"/>
              <w:szCs w:val="28"/>
            </w:rPr>
            <w:fldChar w:fldCharType="separate"/>
          </w:r>
          <w:r>
            <w:rPr>
              <w:rFonts w:hint="eastAsia" w:ascii="仿宋" w:hAnsi="仿宋" w:eastAsia="仿宋" w:cs="仿宋"/>
              <w:sz w:val="28"/>
              <w:szCs w:val="28"/>
            </w:rPr>
            <w:t>48</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1F7B206D">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_Toc14596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第五节 打造对外开放高地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_Toc14596 </w:instrText>
          </w:r>
          <w:r>
            <w:rPr>
              <w:rFonts w:hint="eastAsia" w:ascii="仿宋" w:hAnsi="仿宋" w:eastAsia="仿宋" w:cs="仿宋"/>
              <w:sz w:val="28"/>
              <w:szCs w:val="28"/>
            </w:rPr>
            <w:fldChar w:fldCharType="separate"/>
          </w:r>
          <w:r>
            <w:rPr>
              <w:rFonts w:hint="eastAsia" w:ascii="仿宋" w:hAnsi="仿宋" w:eastAsia="仿宋" w:cs="仿宋"/>
              <w:sz w:val="28"/>
              <w:szCs w:val="28"/>
            </w:rPr>
            <w:t>50</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A71FB8E">
          <w:pPr>
            <w:pStyle w:val="15"/>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_Toc23775 </w:instrText>
          </w:r>
          <w:r>
            <w:rPr>
              <w:rFonts w:hint="eastAsia" w:ascii="仿宋" w:hAnsi="仿宋" w:eastAsia="仿宋" w:cs="仿宋"/>
              <w:bCs/>
              <w:sz w:val="32"/>
              <w:szCs w:val="32"/>
              <w:highlight w:val="none"/>
            </w:rPr>
            <w:fldChar w:fldCharType="separate"/>
          </w:r>
          <w:r>
            <w:rPr>
              <w:rFonts w:hint="eastAsia" w:ascii="黑体" w:hAnsi="黑体" w:eastAsia="黑体" w:cs="黑体"/>
              <w:bCs/>
              <w:sz w:val="32"/>
              <w:szCs w:val="32"/>
              <w:highlight w:val="none"/>
            </w:rPr>
            <w:t>第六章  扩投资</w:t>
          </w:r>
          <w:r>
            <w:rPr>
              <w:rFonts w:hint="eastAsia" w:ascii="黑体" w:hAnsi="黑体" w:eastAsia="黑体" w:cs="黑体"/>
              <w:bCs/>
              <w:sz w:val="32"/>
              <w:szCs w:val="32"/>
              <w:highlight w:val="none"/>
              <w:lang w:eastAsia="zh-CN"/>
            </w:rPr>
            <w:t>扩内需</w:t>
          </w:r>
          <w:r>
            <w:rPr>
              <w:rFonts w:hint="eastAsia" w:ascii="黑体" w:hAnsi="黑体" w:eastAsia="黑体" w:cs="黑体"/>
              <w:bCs/>
              <w:sz w:val="32"/>
              <w:szCs w:val="32"/>
              <w:highlight w:val="none"/>
            </w:rPr>
            <w:t>，主动融入新发展格局</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_Toc23775 </w:instrText>
          </w:r>
          <w:r>
            <w:rPr>
              <w:rFonts w:hint="eastAsia" w:ascii="仿宋" w:hAnsi="仿宋" w:eastAsia="仿宋" w:cs="仿宋"/>
              <w:sz w:val="32"/>
              <w:szCs w:val="32"/>
            </w:rPr>
            <w:fldChar w:fldCharType="separate"/>
          </w:r>
          <w:r>
            <w:rPr>
              <w:rFonts w:hint="eastAsia" w:ascii="仿宋" w:hAnsi="仿宋" w:eastAsia="仿宋" w:cs="仿宋"/>
              <w:sz w:val="32"/>
              <w:szCs w:val="32"/>
            </w:rPr>
            <w:t>54</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4F3BB3B3">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_Toc7551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主动融入新发展格局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_Toc7551 </w:instrText>
          </w:r>
          <w:r>
            <w:rPr>
              <w:rFonts w:hint="eastAsia" w:ascii="仿宋" w:hAnsi="仿宋" w:eastAsia="仿宋" w:cs="仿宋"/>
              <w:sz w:val="28"/>
              <w:szCs w:val="28"/>
            </w:rPr>
            <w:fldChar w:fldCharType="separate"/>
          </w:r>
          <w:r>
            <w:rPr>
              <w:rFonts w:hint="eastAsia" w:ascii="仿宋" w:hAnsi="仿宋" w:eastAsia="仿宋" w:cs="仿宋"/>
              <w:sz w:val="28"/>
              <w:szCs w:val="28"/>
            </w:rPr>
            <w:t>54</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7B67716A">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_Toc19964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加快推动消费升级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_Toc19964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B501DC6">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_Toc16541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努力扩大有效投资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_Toc16541 </w:instrText>
          </w:r>
          <w:r>
            <w:rPr>
              <w:rFonts w:hint="eastAsia" w:ascii="仿宋" w:hAnsi="仿宋" w:eastAsia="仿宋" w:cs="仿宋"/>
              <w:sz w:val="28"/>
              <w:szCs w:val="28"/>
            </w:rPr>
            <w:fldChar w:fldCharType="separate"/>
          </w:r>
          <w:r>
            <w:rPr>
              <w:rFonts w:hint="eastAsia" w:ascii="仿宋" w:hAnsi="仿宋" w:eastAsia="仿宋" w:cs="仿宋"/>
              <w:sz w:val="28"/>
              <w:szCs w:val="28"/>
            </w:rPr>
            <w:t>58</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6E2DF406">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_Toc2782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第四节  升级传统基础设施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_Toc2782 </w:instrText>
          </w:r>
          <w:r>
            <w:rPr>
              <w:rFonts w:hint="eastAsia" w:ascii="仿宋" w:hAnsi="仿宋" w:eastAsia="仿宋" w:cs="仿宋"/>
              <w:sz w:val="28"/>
              <w:szCs w:val="28"/>
            </w:rPr>
            <w:fldChar w:fldCharType="separate"/>
          </w:r>
          <w:r>
            <w:rPr>
              <w:rFonts w:hint="eastAsia" w:ascii="仿宋" w:hAnsi="仿宋" w:eastAsia="仿宋" w:cs="仿宋"/>
              <w:sz w:val="28"/>
              <w:szCs w:val="28"/>
            </w:rPr>
            <w:t>60</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6B1A970B">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_Toc31324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第五节  布局新型基础设施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_Toc31324 </w:instrText>
          </w:r>
          <w:r>
            <w:rPr>
              <w:rFonts w:hint="eastAsia" w:ascii="仿宋" w:hAnsi="仿宋" w:eastAsia="仿宋" w:cs="仿宋"/>
              <w:sz w:val="28"/>
              <w:szCs w:val="28"/>
            </w:rPr>
            <w:fldChar w:fldCharType="separate"/>
          </w:r>
          <w:r>
            <w:rPr>
              <w:rFonts w:hint="eastAsia" w:ascii="仿宋" w:hAnsi="仿宋" w:eastAsia="仿宋" w:cs="仿宋"/>
              <w:sz w:val="28"/>
              <w:szCs w:val="28"/>
            </w:rPr>
            <w:t>66</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13012EB">
          <w:pPr>
            <w:pStyle w:val="15"/>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_Toc25364 </w:instrText>
          </w:r>
          <w:r>
            <w:rPr>
              <w:rFonts w:hint="eastAsia" w:ascii="仿宋" w:hAnsi="仿宋" w:eastAsia="仿宋" w:cs="仿宋"/>
              <w:bCs/>
              <w:sz w:val="32"/>
              <w:szCs w:val="32"/>
              <w:highlight w:val="none"/>
            </w:rPr>
            <w:fldChar w:fldCharType="separate"/>
          </w:r>
          <w:r>
            <w:rPr>
              <w:rFonts w:hint="eastAsia" w:ascii="黑体" w:hAnsi="黑体" w:eastAsia="黑体" w:cs="黑体"/>
              <w:bCs/>
              <w:sz w:val="32"/>
              <w:szCs w:val="32"/>
              <w:highlight w:val="none"/>
            </w:rPr>
            <w:t>第七章</w:t>
          </w:r>
          <w:r>
            <w:rPr>
              <w:rFonts w:hint="eastAsia" w:ascii="黑体" w:hAnsi="黑体" w:eastAsia="黑体" w:cs="黑体"/>
              <w:bCs/>
              <w:sz w:val="32"/>
              <w:szCs w:val="32"/>
              <w:highlight w:val="none"/>
              <w:lang w:val="en-US" w:eastAsia="zh-CN"/>
            </w:rPr>
            <w:t xml:space="preserve"> </w:t>
          </w:r>
          <w:r>
            <w:rPr>
              <w:rFonts w:hint="eastAsia" w:ascii="黑体" w:hAnsi="黑体" w:eastAsia="黑体" w:cs="黑体"/>
              <w:bCs/>
              <w:sz w:val="32"/>
              <w:szCs w:val="32"/>
              <w:highlight w:val="none"/>
            </w:rPr>
            <w:t xml:space="preserve"> 优先发展农业农村</w:t>
          </w:r>
          <w:r>
            <w:rPr>
              <w:rFonts w:hint="eastAsia" w:ascii="黑体" w:hAnsi="黑体" w:eastAsia="黑体" w:cs="黑体"/>
              <w:bCs/>
              <w:sz w:val="32"/>
              <w:szCs w:val="32"/>
              <w:highlight w:val="none"/>
              <w:lang w:eastAsia="zh-CN"/>
            </w:rPr>
            <w:t>，</w:t>
          </w:r>
          <w:r>
            <w:rPr>
              <w:rFonts w:hint="eastAsia" w:ascii="黑体" w:hAnsi="黑体" w:eastAsia="黑体" w:cs="黑体"/>
              <w:bCs/>
              <w:sz w:val="32"/>
              <w:szCs w:val="32"/>
              <w:highlight w:val="none"/>
              <w:lang w:val="en-US" w:eastAsia="zh-CN"/>
            </w:rPr>
            <w:t>大力</w:t>
          </w:r>
          <w:r>
            <w:rPr>
              <w:rFonts w:hint="eastAsia" w:ascii="黑体" w:hAnsi="黑体" w:eastAsia="黑体" w:cs="黑体"/>
              <w:bCs/>
              <w:sz w:val="32"/>
              <w:szCs w:val="32"/>
              <w:highlight w:val="none"/>
            </w:rPr>
            <w:t>推进乡村振兴</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_Toc25364 </w:instrText>
          </w:r>
          <w:r>
            <w:rPr>
              <w:rFonts w:hint="eastAsia" w:ascii="仿宋" w:hAnsi="仿宋" w:eastAsia="仿宋" w:cs="仿宋"/>
              <w:sz w:val="32"/>
              <w:szCs w:val="32"/>
            </w:rPr>
            <w:fldChar w:fldCharType="separate"/>
          </w:r>
          <w:r>
            <w:rPr>
              <w:rFonts w:hint="eastAsia" w:ascii="仿宋" w:hAnsi="仿宋" w:eastAsia="仿宋" w:cs="仿宋"/>
              <w:sz w:val="32"/>
              <w:szCs w:val="32"/>
            </w:rPr>
            <w:t>68</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56F4AE00">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_Toc23945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夯实农业发展基础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_Toc23945 </w:instrText>
          </w:r>
          <w:r>
            <w:rPr>
              <w:rFonts w:hint="eastAsia" w:ascii="仿宋" w:hAnsi="仿宋" w:eastAsia="仿宋" w:cs="仿宋"/>
              <w:sz w:val="28"/>
              <w:szCs w:val="28"/>
            </w:rPr>
            <w:fldChar w:fldCharType="separate"/>
          </w:r>
          <w:r>
            <w:rPr>
              <w:rFonts w:hint="eastAsia" w:ascii="仿宋" w:hAnsi="仿宋" w:eastAsia="仿宋" w:cs="仿宋"/>
              <w:sz w:val="28"/>
              <w:szCs w:val="28"/>
            </w:rPr>
            <w:t>68</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1F5449F0">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_Toc447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发展现代精细农业</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_Toc447 </w:instrText>
          </w:r>
          <w:r>
            <w:rPr>
              <w:rFonts w:hint="eastAsia" w:ascii="仿宋" w:hAnsi="仿宋" w:eastAsia="仿宋" w:cs="仿宋"/>
              <w:sz w:val="28"/>
              <w:szCs w:val="28"/>
            </w:rPr>
            <w:fldChar w:fldCharType="separate"/>
          </w:r>
          <w:r>
            <w:rPr>
              <w:rFonts w:hint="eastAsia" w:ascii="仿宋" w:hAnsi="仿宋" w:eastAsia="仿宋" w:cs="仿宋"/>
              <w:sz w:val="28"/>
              <w:szCs w:val="28"/>
            </w:rPr>
            <w:t>69</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3CE6062E">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_Toc1544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实施乡村建设行动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_Toc1544 </w:instrText>
          </w:r>
          <w:r>
            <w:rPr>
              <w:rFonts w:hint="eastAsia" w:ascii="仿宋" w:hAnsi="仿宋" w:eastAsia="仿宋" w:cs="仿宋"/>
              <w:sz w:val="28"/>
              <w:szCs w:val="28"/>
            </w:rPr>
            <w:fldChar w:fldCharType="separate"/>
          </w:r>
          <w:r>
            <w:rPr>
              <w:rFonts w:hint="eastAsia" w:ascii="仿宋" w:hAnsi="仿宋" w:eastAsia="仿宋" w:cs="仿宋"/>
              <w:sz w:val="28"/>
              <w:szCs w:val="28"/>
            </w:rPr>
            <w:t>75</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4ABADC45">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_Toc25438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第四节 持续深化农村改革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_Toc25438 </w:instrText>
          </w:r>
          <w:r>
            <w:rPr>
              <w:rFonts w:hint="eastAsia" w:ascii="仿宋" w:hAnsi="仿宋" w:eastAsia="仿宋" w:cs="仿宋"/>
              <w:sz w:val="28"/>
              <w:szCs w:val="28"/>
            </w:rPr>
            <w:fldChar w:fldCharType="separate"/>
          </w:r>
          <w:r>
            <w:rPr>
              <w:rFonts w:hint="eastAsia" w:ascii="仿宋" w:hAnsi="仿宋" w:eastAsia="仿宋" w:cs="仿宋"/>
              <w:sz w:val="28"/>
              <w:szCs w:val="28"/>
            </w:rPr>
            <w:t>78</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770032ED">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_Toc5626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第五节 促进城乡融合发展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_Toc5626 </w:instrText>
          </w:r>
          <w:r>
            <w:rPr>
              <w:rFonts w:hint="eastAsia" w:ascii="仿宋" w:hAnsi="仿宋" w:eastAsia="仿宋" w:cs="仿宋"/>
              <w:sz w:val="28"/>
              <w:szCs w:val="28"/>
            </w:rPr>
            <w:fldChar w:fldCharType="separate"/>
          </w:r>
          <w:r>
            <w:rPr>
              <w:rFonts w:hint="eastAsia" w:ascii="仿宋" w:hAnsi="仿宋" w:eastAsia="仿宋" w:cs="仿宋"/>
              <w:sz w:val="28"/>
              <w:szCs w:val="28"/>
            </w:rPr>
            <w:t>79</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52CA6F2C">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_Toc17082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第六节 巩固脱贫攻坚成果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_Toc17082 </w:instrText>
          </w:r>
          <w:r>
            <w:rPr>
              <w:rFonts w:hint="eastAsia" w:ascii="仿宋" w:hAnsi="仿宋" w:eastAsia="仿宋" w:cs="仿宋"/>
              <w:sz w:val="28"/>
              <w:szCs w:val="28"/>
            </w:rPr>
            <w:fldChar w:fldCharType="separate"/>
          </w:r>
          <w:r>
            <w:rPr>
              <w:rFonts w:hint="eastAsia" w:ascii="仿宋" w:hAnsi="仿宋" w:eastAsia="仿宋" w:cs="仿宋"/>
              <w:sz w:val="28"/>
              <w:szCs w:val="28"/>
            </w:rPr>
            <w:t>80</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FFA1B5E">
          <w:pPr>
            <w:pStyle w:val="15"/>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32"/>
              <w:szCs w:val="32"/>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_Toc16748 </w:instrText>
          </w:r>
          <w:r>
            <w:rPr>
              <w:rFonts w:hint="eastAsia" w:ascii="仿宋" w:hAnsi="仿宋" w:eastAsia="仿宋" w:cs="仿宋"/>
              <w:bCs/>
              <w:sz w:val="32"/>
              <w:szCs w:val="32"/>
              <w:highlight w:val="none"/>
            </w:rPr>
            <w:fldChar w:fldCharType="separate"/>
          </w:r>
          <w:r>
            <w:rPr>
              <w:rFonts w:hint="eastAsia" w:ascii="黑体" w:hAnsi="黑体" w:eastAsia="黑体" w:cs="黑体"/>
              <w:bCs/>
              <w:sz w:val="32"/>
              <w:szCs w:val="32"/>
              <w:highlight w:val="none"/>
            </w:rPr>
            <w:t>第八章  推进新型城镇化，打造</w:t>
          </w:r>
          <w:r>
            <w:rPr>
              <w:rFonts w:hint="eastAsia" w:ascii="黑体" w:hAnsi="黑体" w:eastAsia="黑体" w:cs="黑体"/>
              <w:bCs/>
              <w:sz w:val="32"/>
              <w:szCs w:val="32"/>
              <w:highlight w:val="none"/>
              <w:lang w:eastAsia="zh-CN"/>
            </w:rPr>
            <w:t>邵阳西部区域增长极</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_Toc16748 </w:instrText>
          </w:r>
          <w:r>
            <w:rPr>
              <w:rFonts w:hint="eastAsia" w:ascii="仿宋" w:hAnsi="仿宋" w:eastAsia="仿宋" w:cs="仿宋"/>
              <w:sz w:val="32"/>
              <w:szCs w:val="32"/>
            </w:rPr>
            <w:fldChar w:fldCharType="separate"/>
          </w:r>
          <w:r>
            <w:rPr>
              <w:rFonts w:hint="eastAsia" w:ascii="仿宋" w:hAnsi="仿宋" w:eastAsia="仿宋" w:cs="仿宋"/>
              <w:sz w:val="32"/>
              <w:szCs w:val="32"/>
            </w:rPr>
            <w:t>82</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13D0704F">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_Toc32370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对接区域发展战略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_Toc32370 </w:instrText>
          </w:r>
          <w:r>
            <w:rPr>
              <w:rFonts w:hint="eastAsia" w:ascii="仿宋" w:hAnsi="仿宋" w:eastAsia="仿宋" w:cs="仿宋"/>
              <w:sz w:val="28"/>
              <w:szCs w:val="28"/>
            </w:rPr>
            <w:fldChar w:fldCharType="separate"/>
          </w:r>
          <w:r>
            <w:rPr>
              <w:rFonts w:hint="eastAsia" w:ascii="仿宋" w:hAnsi="仿宋" w:eastAsia="仿宋" w:cs="仿宋"/>
              <w:sz w:val="28"/>
              <w:szCs w:val="28"/>
            </w:rPr>
            <w:t>82</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56F92ECC">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_Toc1084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优化国土空间格局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_Toc1084 </w:instrText>
          </w:r>
          <w:r>
            <w:rPr>
              <w:rFonts w:hint="eastAsia" w:ascii="仿宋" w:hAnsi="仿宋" w:eastAsia="仿宋" w:cs="仿宋"/>
              <w:sz w:val="28"/>
              <w:szCs w:val="28"/>
            </w:rPr>
            <w:fldChar w:fldCharType="separate"/>
          </w:r>
          <w:r>
            <w:rPr>
              <w:rFonts w:hint="eastAsia" w:ascii="仿宋" w:hAnsi="仿宋" w:eastAsia="仿宋" w:cs="仿宋"/>
              <w:sz w:val="28"/>
              <w:szCs w:val="28"/>
            </w:rPr>
            <w:t>83</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2D39F6F8">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_Toc15435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推进区域协调发展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_Toc15435 </w:instrText>
          </w:r>
          <w:r>
            <w:rPr>
              <w:rFonts w:hint="eastAsia" w:ascii="仿宋" w:hAnsi="仿宋" w:eastAsia="仿宋" w:cs="仿宋"/>
              <w:sz w:val="28"/>
              <w:szCs w:val="28"/>
            </w:rPr>
            <w:fldChar w:fldCharType="separate"/>
          </w:r>
          <w:r>
            <w:rPr>
              <w:rFonts w:hint="eastAsia" w:ascii="仿宋" w:hAnsi="仿宋" w:eastAsia="仿宋" w:cs="仿宋"/>
              <w:sz w:val="28"/>
              <w:szCs w:val="28"/>
            </w:rPr>
            <w:t>84</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63ABC9FF">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_Toc28760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第四节 抓好中心城区建设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_Toc28760 </w:instrText>
          </w:r>
          <w:r>
            <w:rPr>
              <w:rFonts w:hint="eastAsia" w:ascii="仿宋" w:hAnsi="仿宋" w:eastAsia="仿宋" w:cs="仿宋"/>
              <w:sz w:val="28"/>
              <w:szCs w:val="28"/>
            </w:rPr>
            <w:fldChar w:fldCharType="separate"/>
          </w:r>
          <w:r>
            <w:rPr>
              <w:rFonts w:hint="eastAsia" w:ascii="仿宋" w:hAnsi="仿宋" w:eastAsia="仿宋" w:cs="仿宋"/>
              <w:sz w:val="28"/>
              <w:szCs w:val="28"/>
            </w:rPr>
            <w:t>85</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3FFB50B6">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_Toc29252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第五节 做大做强特色小镇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_Toc29252 </w:instrText>
          </w:r>
          <w:r>
            <w:rPr>
              <w:rFonts w:hint="eastAsia" w:ascii="仿宋" w:hAnsi="仿宋" w:eastAsia="仿宋" w:cs="仿宋"/>
              <w:sz w:val="28"/>
              <w:szCs w:val="28"/>
            </w:rPr>
            <w:fldChar w:fldCharType="separate"/>
          </w:r>
          <w:r>
            <w:rPr>
              <w:rFonts w:hint="eastAsia" w:ascii="仿宋" w:hAnsi="仿宋" w:eastAsia="仿宋" w:cs="仿宋"/>
              <w:sz w:val="28"/>
              <w:szCs w:val="28"/>
            </w:rPr>
            <w:t>89</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35D23BF6">
          <w:pPr>
            <w:pStyle w:val="15"/>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_Toc27829 </w:instrText>
          </w:r>
          <w:r>
            <w:rPr>
              <w:rFonts w:hint="eastAsia" w:ascii="仿宋" w:hAnsi="仿宋" w:eastAsia="仿宋" w:cs="仿宋"/>
              <w:bCs/>
              <w:sz w:val="32"/>
              <w:szCs w:val="32"/>
              <w:highlight w:val="none"/>
            </w:rPr>
            <w:fldChar w:fldCharType="separate"/>
          </w:r>
          <w:r>
            <w:rPr>
              <w:rFonts w:hint="eastAsia" w:ascii="黑体" w:hAnsi="黑体" w:eastAsia="黑体" w:cs="黑体"/>
              <w:bCs/>
              <w:sz w:val="32"/>
              <w:szCs w:val="32"/>
              <w:highlight w:val="none"/>
              <w:lang w:val="en-US" w:eastAsia="zh-CN"/>
            </w:rPr>
            <w:t>第九章 繁荣发展文化事业，打造武冈特色文化</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_Toc27829 </w:instrText>
          </w:r>
          <w:r>
            <w:rPr>
              <w:rFonts w:hint="eastAsia" w:ascii="仿宋" w:hAnsi="仿宋" w:eastAsia="仿宋" w:cs="仿宋"/>
              <w:sz w:val="32"/>
              <w:szCs w:val="32"/>
            </w:rPr>
            <w:fldChar w:fldCharType="separate"/>
          </w:r>
          <w:r>
            <w:rPr>
              <w:rFonts w:hint="eastAsia" w:ascii="仿宋" w:hAnsi="仿宋" w:eastAsia="仿宋" w:cs="仿宋"/>
              <w:sz w:val="32"/>
              <w:szCs w:val="32"/>
            </w:rPr>
            <w:t>90</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31C1433A">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_Toc11637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传承弘扬红色文化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_Toc11637 </w:instrText>
          </w:r>
          <w:r>
            <w:rPr>
              <w:rFonts w:hint="eastAsia" w:ascii="仿宋" w:hAnsi="仿宋" w:eastAsia="仿宋" w:cs="仿宋"/>
              <w:sz w:val="28"/>
              <w:szCs w:val="28"/>
            </w:rPr>
            <w:fldChar w:fldCharType="separate"/>
          </w:r>
          <w:r>
            <w:rPr>
              <w:rFonts w:hint="eastAsia" w:ascii="仿宋" w:hAnsi="仿宋" w:eastAsia="仿宋" w:cs="仿宋"/>
              <w:sz w:val="28"/>
              <w:szCs w:val="28"/>
            </w:rPr>
            <w:t>90</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1FA10BD0">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_Toc2286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整合保护历史文化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_Toc2286 </w:instrText>
          </w:r>
          <w:r>
            <w:rPr>
              <w:rFonts w:hint="eastAsia" w:ascii="仿宋" w:hAnsi="仿宋" w:eastAsia="仿宋" w:cs="仿宋"/>
              <w:sz w:val="28"/>
              <w:szCs w:val="28"/>
            </w:rPr>
            <w:fldChar w:fldCharType="separate"/>
          </w:r>
          <w:r>
            <w:rPr>
              <w:rFonts w:hint="eastAsia" w:ascii="仿宋" w:hAnsi="仿宋" w:eastAsia="仿宋" w:cs="仿宋"/>
              <w:sz w:val="28"/>
              <w:szCs w:val="28"/>
            </w:rPr>
            <w:t>91</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1284DC30">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_Toc21387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建设旅游文化品牌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_Toc21387 </w:instrText>
          </w:r>
          <w:r>
            <w:rPr>
              <w:rFonts w:hint="eastAsia" w:ascii="仿宋" w:hAnsi="仿宋" w:eastAsia="仿宋" w:cs="仿宋"/>
              <w:sz w:val="28"/>
              <w:szCs w:val="28"/>
            </w:rPr>
            <w:fldChar w:fldCharType="separate"/>
          </w:r>
          <w:r>
            <w:rPr>
              <w:rFonts w:hint="eastAsia" w:ascii="仿宋" w:hAnsi="仿宋" w:eastAsia="仿宋" w:cs="仿宋"/>
              <w:sz w:val="28"/>
              <w:szCs w:val="28"/>
            </w:rPr>
            <w:t>93</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6F2C73A0">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_Toc31241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第四节 构建公共文化体系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_Toc31241 </w:instrText>
          </w:r>
          <w:r>
            <w:rPr>
              <w:rFonts w:hint="eastAsia" w:ascii="仿宋" w:hAnsi="仿宋" w:eastAsia="仿宋" w:cs="仿宋"/>
              <w:sz w:val="28"/>
              <w:szCs w:val="28"/>
            </w:rPr>
            <w:fldChar w:fldCharType="separate"/>
          </w:r>
          <w:r>
            <w:rPr>
              <w:rFonts w:hint="eastAsia" w:ascii="仿宋" w:hAnsi="仿宋" w:eastAsia="仿宋" w:cs="仿宋"/>
              <w:sz w:val="28"/>
              <w:szCs w:val="28"/>
            </w:rPr>
            <w:t>95</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4C4EC9B7">
          <w:pPr>
            <w:pStyle w:val="15"/>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_Toc23357 </w:instrText>
          </w:r>
          <w:r>
            <w:rPr>
              <w:rFonts w:hint="eastAsia" w:ascii="仿宋" w:hAnsi="仿宋" w:eastAsia="仿宋" w:cs="仿宋"/>
              <w:bCs/>
              <w:sz w:val="32"/>
              <w:szCs w:val="32"/>
              <w:highlight w:val="none"/>
            </w:rPr>
            <w:fldChar w:fldCharType="separate"/>
          </w:r>
          <w:r>
            <w:rPr>
              <w:rFonts w:hint="eastAsia" w:ascii="黑体" w:hAnsi="黑体" w:eastAsia="黑体" w:cs="黑体"/>
              <w:bCs/>
              <w:sz w:val="32"/>
              <w:szCs w:val="32"/>
              <w:highlight w:val="none"/>
              <w:lang w:val="en-US" w:eastAsia="zh-CN"/>
            </w:rPr>
            <w:t>第十章  坚持绿色发展，建设美丽武冈</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_Toc23357 </w:instrText>
          </w:r>
          <w:r>
            <w:rPr>
              <w:rFonts w:hint="eastAsia" w:ascii="仿宋" w:hAnsi="仿宋" w:eastAsia="仿宋" w:cs="仿宋"/>
              <w:sz w:val="32"/>
              <w:szCs w:val="32"/>
            </w:rPr>
            <w:fldChar w:fldCharType="separate"/>
          </w:r>
          <w:r>
            <w:rPr>
              <w:rFonts w:hint="eastAsia" w:ascii="仿宋" w:hAnsi="仿宋" w:eastAsia="仿宋" w:cs="仿宋"/>
              <w:sz w:val="32"/>
              <w:szCs w:val="32"/>
            </w:rPr>
            <w:t>98</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02195D49">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_Toc17033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推动绿色低碳发展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_Toc17033 </w:instrText>
          </w:r>
          <w:r>
            <w:rPr>
              <w:rFonts w:hint="eastAsia" w:ascii="仿宋" w:hAnsi="仿宋" w:eastAsia="仿宋" w:cs="仿宋"/>
              <w:sz w:val="28"/>
              <w:szCs w:val="28"/>
            </w:rPr>
            <w:fldChar w:fldCharType="separate"/>
          </w:r>
          <w:r>
            <w:rPr>
              <w:rFonts w:hint="eastAsia" w:ascii="仿宋" w:hAnsi="仿宋" w:eastAsia="仿宋" w:cs="仿宋"/>
              <w:sz w:val="28"/>
              <w:szCs w:val="28"/>
            </w:rPr>
            <w:t>98</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1394AED4">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_Toc4381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加大环境污染治理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_Toc4381 </w:instrText>
          </w:r>
          <w:r>
            <w:rPr>
              <w:rFonts w:hint="eastAsia" w:ascii="仿宋" w:hAnsi="仿宋" w:eastAsia="仿宋" w:cs="仿宋"/>
              <w:sz w:val="28"/>
              <w:szCs w:val="28"/>
            </w:rPr>
            <w:fldChar w:fldCharType="separate"/>
          </w:r>
          <w:r>
            <w:rPr>
              <w:rFonts w:hint="eastAsia" w:ascii="仿宋" w:hAnsi="仿宋" w:eastAsia="仿宋" w:cs="仿宋"/>
              <w:sz w:val="28"/>
              <w:szCs w:val="28"/>
            </w:rPr>
            <w:t>99</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230407DA">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_Toc26727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加强生态系统保护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_Toc26727 </w:instrText>
          </w:r>
          <w:r>
            <w:rPr>
              <w:rFonts w:hint="eastAsia" w:ascii="仿宋" w:hAnsi="仿宋" w:eastAsia="仿宋" w:cs="仿宋"/>
              <w:sz w:val="28"/>
              <w:szCs w:val="28"/>
            </w:rPr>
            <w:fldChar w:fldCharType="separate"/>
          </w:r>
          <w:r>
            <w:rPr>
              <w:rFonts w:hint="eastAsia" w:ascii="仿宋" w:hAnsi="仿宋" w:eastAsia="仿宋" w:cs="仿宋"/>
              <w:sz w:val="28"/>
              <w:szCs w:val="28"/>
            </w:rPr>
            <w:t>102</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DEC3DBE">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_Toc26668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第四节 完善生态治理体系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_Toc26668 </w:instrText>
          </w:r>
          <w:r>
            <w:rPr>
              <w:rFonts w:hint="eastAsia" w:ascii="仿宋" w:hAnsi="仿宋" w:eastAsia="仿宋" w:cs="仿宋"/>
              <w:sz w:val="28"/>
              <w:szCs w:val="28"/>
            </w:rPr>
            <w:fldChar w:fldCharType="separate"/>
          </w:r>
          <w:r>
            <w:rPr>
              <w:rFonts w:hint="eastAsia" w:ascii="仿宋" w:hAnsi="仿宋" w:eastAsia="仿宋" w:cs="仿宋"/>
              <w:sz w:val="28"/>
              <w:szCs w:val="28"/>
            </w:rPr>
            <w:t>103</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B3B7553">
          <w:pPr>
            <w:pStyle w:val="15"/>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32"/>
              <w:szCs w:val="32"/>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_Toc11231 </w:instrText>
          </w:r>
          <w:r>
            <w:rPr>
              <w:rFonts w:hint="eastAsia" w:ascii="仿宋" w:hAnsi="仿宋" w:eastAsia="仿宋" w:cs="仿宋"/>
              <w:bCs/>
              <w:sz w:val="32"/>
              <w:szCs w:val="32"/>
              <w:highlight w:val="none"/>
            </w:rPr>
            <w:fldChar w:fldCharType="separate"/>
          </w:r>
          <w:r>
            <w:rPr>
              <w:rFonts w:hint="eastAsia" w:ascii="黑体" w:hAnsi="黑体" w:eastAsia="黑体" w:cs="黑体"/>
              <w:sz w:val="32"/>
              <w:szCs w:val="32"/>
              <w:highlight w:val="none"/>
              <w:lang w:val="en-US" w:eastAsia="zh-CN"/>
            </w:rPr>
            <w:t>第十一章  保障和改善社会民生，增进人民福祉</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_Toc11231 </w:instrText>
          </w:r>
          <w:r>
            <w:rPr>
              <w:rFonts w:hint="eastAsia" w:ascii="仿宋" w:hAnsi="仿宋" w:eastAsia="仿宋" w:cs="仿宋"/>
              <w:sz w:val="32"/>
              <w:szCs w:val="32"/>
            </w:rPr>
            <w:fldChar w:fldCharType="separate"/>
          </w:r>
          <w:r>
            <w:rPr>
              <w:rFonts w:hint="eastAsia" w:ascii="仿宋" w:hAnsi="仿宋" w:eastAsia="仿宋" w:cs="仿宋"/>
              <w:sz w:val="32"/>
              <w:szCs w:val="32"/>
            </w:rPr>
            <w:t>105</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20531E61">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_Toc23532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提高人民收入水平</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_Toc23532 </w:instrText>
          </w:r>
          <w:r>
            <w:rPr>
              <w:rFonts w:hint="eastAsia" w:ascii="仿宋" w:hAnsi="仿宋" w:eastAsia="仿宋" w:cs="仿宋"/>
              <w:sz w:val="28"/>
              <w:szCs w:val="28"/>
            </w:rPr>
            <w:fldChar w:fldCharType="separate"/>
          </w:r>
          <w:r>
            <w:rPr>
              <w:rFonts w:hint="eastAsia" w:ascii="仿宋" w:hAnsi="仿宋" w:eastAsia="仿宋" w:cs="仿宋"/>
              <w:sz w:val="28"/>
              <w:szCs w:val="28"/>
            </w:rPr>
            <w:t>105</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8053BB3">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_Toc19907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促进更加充分就业</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_Toc19907 </w:instrText>
          </w:r>
          <w:r>
            <w:rPr>
              <w:rFonts w:hint="eastAsia" w:ascii="仿宋" w:hAnsi="仿宋" w:eastAsia="仿宋" w:cs="仿宋"/>
              <w:sz w:val="28"/>
              <w:szCs w:val="28"/>
            </w:rPr>
            <w:fldChar w:fldCharType="separate"/>
          </w:r>
          <w:r>
            <w:rPr>
              <w:rFonts w:hint="eastAsia" w:ascii="仿宋" w:hAnsi="仿宋" w:eastAsia="仿宋" w:cs="仿宋"/>
              <w:sz w:val="28"/>
              <w:szCs w:val="28"/>
            </w:rPr>
            <w:t>106</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2544801D">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_Toc22519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办好人民满意教育</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_Toc22519 </w:instrText>
          </w:r>
          <w:r>
            <w:rPr>
              <w:rFonts w:hint="eastAsia" w:ascii="仿宋" w:hAnsi="仿宋" w:eastAsia="仿宋" w:cs="仿宋"/>
              <w:sz w:val="28"/>
              <w:szCs w:val="28"/>
            </w:rPr>
            <w:fldChar w:fldCharType="separate"/>
          </w:r>
          <w:r>
            <w:rPr>
              <w:rFonts w:hint="eastAsia" w:ascii="仿宋" w:hAnsi="仿宋" w:eastAsia="仿宋" w:cs="仿宋"/>
              <w:sz w:val="28"/>
              <w:szCs w:val="28"/>
            </w:rPr>
            <w:t>107</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6F85E6A1">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_Toc10533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第四节 完善社会保障体系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_Toc10533 </w:instrText>
          </w:r>
          <w:r>
            <w:rPr>
              <w:rFonts w:hint="eastAsia" w:ascii="仿宋" w:hAnsi="仿宋" w:eastAsia="仿宋" w:cs="仿宋"/>
              <w:sz w:val="28"/>
              <w:szCs w:val="28"/>
            </w:rPr>
            <w:fldChar w:fldCharType="separate"/>
          </w:r>
          <w:r>
            <w:rPr>
              <w:rFonts w:hint="eastAsia" w:ascii="仿宋" w:hAnsi="仿宋" w:eastAsia="仿宋" w:cs="仿宋"/>
              <w:sz w:val="28"/>
              <w:szCs w:val="28"/>
            </w:rPr>
            <w:t>111</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644C9391">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_Toc31083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第五节 推进健康武冈建设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_Toc31083 </w:instrText>
          </w:r>
          <w:r>
            <w:rPr>
              <w:rFonts w:hint="eastAsia" w:ascii="仿宋" w:hAnsi="仿宋" w:eastAsia="仿宋" w:cs="仿宋"/>
              <w:sz w:val="28"/>
              <w:szCs w:val="28"/>
            </w:rPr>
            <w:fldChar w:fldCharType="separate"/>
          </w:r>
          <w:r>
            <w:rPr>
              <w:rFonts w:hint="eastAsia" w:ascii="仿宋" w:hAnsi="仿宋" w:eastAsia="仿宋" w:cs="仿宋"/>
              <w:sz w:val="28"/>
              <w:szCs w:val="28"/>
            </w:rPr>
            <w:t>114</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2DFD37F5">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_Toc17308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第六节 促进人口均衡发展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_Toc17308 </w:instrText>
          </w:r>
          <w:r>
            <w:rPr>
              <w:rFonts w:hint="eastAsia" w:ascii="仿宋" w:hAnsi="仿宋" w:eastAsia="仿宋" w:cs="仿宋"/>
              <w:sz w:val="28"/>
              <w:szCs w:val="28"/>
            </w:rPr>
            <w:fldChar w:fldCharType="separate"/>
          </w:r>
          <w:r>
            <w:rPr>
              <w:rFonts w:hint="eastAsia" w:ascii="仿宋" w:hAnsi="仿宋" w:eastAsia="仿宋" w:cs="仿宋"/>
              <w:sz w:val="28"/>
              <w:szCs w:val="28"/>
            </w:rPr>
            <w:t>117</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B43F9E3">
          <w:pPr>
            <w:pStyle w:val="15"/>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_Toc24751 </w:instrText>
          </w:r>
          <w:r>
            <w:rPr>
              <w:rFonts w:hint="eastAsia" w:ascii="仿宋" w:hAnsi="仿宋" w:eastAsia="仿宋" w:cs="仿宋"/>
              <w:bCs/>
              <w:sz w:val="32"/>
              <w:szCs w:val="32"/>
              <w:highlight w:val="none"/>
            </w:rPr>
            <w:fldChar w:fldCharType="separate"/>
          </w:r>
          <w:r>
            <w:rPr>
              <w:rFonts w:hint="eastAsia" w:ascii="黑体" w:hAnsi="黑体" w:eastAsia="黑体" w:cs="黑体"/>
              <w:bCs/>
              <w:sz w:val="32"/>
              <w:szCs w:val="32"/>
              <w:highlight w:val="none"/>
              <w:lang w:val="en-US" w:eastAsia="zh-CN"/>
            </w:rPr>
            <w:t>第十二章  统筹发展和安全，建设平安武冈</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_Toc24751 </w:instrText>
          </w:r>
          <w:r>
            <w:rPr>
              <w:rFonts w:hint="eastAsia" w:ascii="仿宋" w:hAnsi="仿宋" w:eastAsia="仿宋" w:cs="仿宋"/>
              <w:sz w:val="32"/>
              <w:szCs w:val="32"/>
            </w:rPr>
            <w:fldChar w:fldCharType="separate"/>
          </w:r>
          <w:r>
            <w:rPr>
              <w:rFonts w:hint="eastAsia" w:ascii="仿宋" w:hAnsi="仿宋" w:eastAsia="仿宋" w:cs="仿宋"/>
              <w:sz w:val="32"/>
              <w:szCs w:val="32"/>
            </w:rPr>
            <w:t>119</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5B86D0C9">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_Toc20596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建强法治武冈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_Toc20596 </w:instrText>
          </w:r>
          <w:r>
            <w:rPr>
              <w:rFonts w:hint="eastAsia" w:ascii="仿宋" w:hAnsi="仿宋" w:eastAsia="仿宋" w:cs="仿宋"/>
              <w:sz w:val="28"/>
              <w:szCs w:val="28"/>
            </w:rPr>
            <w:fldChar w:fldCharType="separate"/>
          </w:r>
          <w:r>
            <w:rPr>
              <w:rFonts w:hint="eastAsia" w:ascii="仿宋" w:hAnsi="仿宋" w:eastAsia="仿宋" w:cs="仿宋"/>
              <w:sz w:val="28"/>
              <w:szCs w:val="28"/>
            </w:rPr>
            <w:t>119</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778F32DD">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_Toc15960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完善社会治理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_Toc15960 </w:instrText>
          </w:r>
          <w:r>
            <w:rPr>
              <w:rFonts w:hint="eastAsia" w:ascii="仿宋" w:hAnsi="仿宋" w:eastAsia="仿宋" w:cs="仿宋"/>
              <w:sz w:val="28"/>
              <w:szCs w:val="28"/>
            </w:rPr>
            <w:fldChar w:fldCharType="separate"/>
          </w:r>
          <w:r>
            <w:rPr>
              <w:rFonts w:hint="eastAsia" w:ascii="仿宋" w:hAnsi="仿宋" w:eastAsia="仿宋" w:cs="仿宋"/>
              <w:sz w:val="28"/>
              <w:szCs w:val="28"/>
            </w:rPr>
            <w:t>121</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5F156433">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_Toc18049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筑牢安全体系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_Toc18049 </w:instrText>
          </w:r>
          <w:r>
            <w:rPr>
              <w:rFonts w:hint="eastAsia" w:ascii="仿宋" w:hAnsi="仿宋" w:eastAsia="仿宋" w:cs="仿宋"/>
              <w:sz w:val="28"/>
              <w:szCs w:val="28"/>
            </w:rPr>
            <w:fldChar w:fldCharType="separate"/>
          </w:r>
          <w:r>
            <w:rPr>
              <w:rFonts w:hint="eastAsia" w:ascii="仿宋" w:hAnsi="仿宋" w:eastAsia="仿宋" w:cs="仿宋"/>
              <w:sz w:val="28"/>
              <w:szCs w:val="28"/>
            </w:rPr>
            <w:t>122</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2B0AE2F">
          <w:pPr>
            <w:pStyle w:val="15"/>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32"/>
              <w:szCs w:val="32"/>
            </w:rPr>
          </w:pPr>
          <w:r>
            <w:rPr>
              <w:rFonts w:hint="eastAsia" w:ascii="仿宋" w:hAnsi="仿宋" w:eastAsia="仿宋" w:cs="仿宋"/>
              <w:bCs/>
              <w:color w:val="auto"/>
              <w:sz w:val="32"/>
              <w:szCs w:val="32"/>
              <w:highlight w:val="none"/>
            </w:rPr>
            <w:fldChar w:fldCharType="begin"/>
          </w:r>
          <w:r>
            <w:rPr>
              <w:rFonts w:hint="eastAsia" w:ascii="仿宋" w:hAnsi="仿宋" w:eastAsia="仿宋" w:cs="仿宋"/>
              <w:bCs/>
              <w:sz w:val="32"/>
              <w:szCs w:val="32"/>
              <w:highlight w:val="none"/>
            </w:rPr>
            <w:instrText xml:space="preserve"> HYPERLINK \l _Toc23608 </w:instrText>
          </w:r>
          <w:r>
            <w:rPr>
              <w:rFonts w:hint="eastAsia" w:ascii="仿宋" w:hAnsi="仿宋" w:eastAsia="仿宋" w:cs="仿宋"/>
              <w:bCs/>
              <w:sz w:val="32"/>
              <w:szCs w:val="32"/>
              <w:highlight w:val="none"/>
            </w:rPr>
            <w:fldChar w:fldCharType="separate"/>
          </w:r>
          <w:r>
            <w:rPr>
              <w:rFonts w:hint="eastAsia" w:ascii="黑体" w:hAnsi="黑体" w:eastAsia="黑体" w:cs="黑体"/>
              <w:sz w:val="32"/>
              <w:szCs w:val="32"/>
              <w:highlight w:val="none"/>
              <w:lang w:val="en-US" w:eastAsia="zh-CN"/>
            </w:rPr>
            <w:t>第十三章  坚持党的全面领导，凝聚共谋发展磅礴力量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_Toc23608 </w:instrText>
          </w:r>
          <w:r>
            <w:rPr>
              <w:rFonts w:hint="eastAsia" w:ascii="仿宋" w:hAnsi="仿宋" w:eastAsia="仿宋" w:cs="仿宋"/>
              <w:sz w:val="32"/>
              <w:szCs w:val="32"/>
            </w:rPr>
            <w:fldChar w:fldCharType="separate"/>
          </w:r>
          <w:r>
            <w:rPr>
              <w:rFonts w:hint="eastAsia" w:ascii="仿宋" w:hAnsi="仿宋" w:eastAsia="仿宋" w:cs="仿宋"/>
              <w:sz w:val="32"/>
              <w:szCs w:val="32"/>
            </w:rPr>
            <w:t>126</w:t>
          </w:r>
          <w:r>
            <w:rPr>
              <w:rFonts w:hint="eastAsia" w:ascii="仿宋" w:hAnsi="仿宋" w:eastAsia="仿宋" w:cs="仿宋"/>
              <w:sz w:val="32"/>
              <w:szCs w:val="32"/>
            </w:rPr>
            <w:fldChar w:fldCharType="end"/>
          </w:r>
          <w:r>
            <w:rPr>
              <w:rFonts w:hint="eastAsia" w:ascii="仿宋" w:hAnsi="仿宋" w:eastAsia="仿宋" w:cs="仿宋"/>
              <w:bCs/>
              <w:color w:val="auto"/>
              <w:sz w:val="32"/>
              <w:szCs w:val="32"/>
              <w:highlight w:val="none"/>
            </w:rPr>
            <w:fldChar w:fldCharType="end"/>
          </w:r>
        </w:p>
        <w:p w14:paraId="3C09B817">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_Toc25969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第一节 发挥党的领导核心作用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_Toc25969 </w:instrText>
          </w:r>
          <w:r>
            <w:rPr>
              <w:rFonts w:hint="eastAsia" w:ascii="仿宋" w:hAnsi="仿宋" w:eastAsia="仿宋" w:cs="仿宋"/>
              <w:sz w:val="28"/>
              <w:szCs w:val="28"/>
            </w:rPr>
            <w:fldChar w:fldCharType="separate"/>
          </w:r>
          <w:r>
            <w:rPr>
              <w:rFonts w:hint="eastAsia" w:ascii="仿宋" w:hAnsi="仿宋" w:eastAsia="仿宋" w:cs="仿宋"/>
              <w:sz w:val="28"/>
              <w:szCs w:val="28"/>
            </w:rPr>
            <w:t>126</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07DA439A">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_Toc11225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第二节 加强社会主义政治建设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_Toc11225 </w:instrText>
          </w:r>
          <w:r>
            <w:rPr>
              <w:rFonts w:hint="eastAsia" w:ascii="仿宋" w:hAnsi="仿宋" w:eastAsia="仿宋" w:cs="仿宋"/>
              <w:sz w:val="28"/>
              <w:szCs w:val="28"/>
            </w:rPr>
            <w:fldChar w:fldCharType="separate"/>
          </w:r>
          <w:r>
            <w:rPr>
              <w:rFonts w:hint="eastAsia" w:ascii="仿宋" w:hAnsi="仿宋" w:eastAsia="仿宋" w:cs="仿宋"/>
              <w:sz w:val="28"/>
              <w:szCs w:val="28"/>
            </w:rPr>
            <w:t>127</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40DC93D0">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rPr>
              <w:rFonts w:hint="eastAsia" w:ascii="仿宋" w:hAnsi="仿宋" w:eastAsia="仿宋" w:cs="仿宋"/>
              <w:sz w:val="28"/>
              <w:szCs w:val="28"/>
            </w:rPr>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_Toc11988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第三节 加强规划组织实施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_Toc11988 </w:instrText>
          </w:r>
          <w:r>
            <w:rPr>
              <w:rFonts w:hint="eastAsia" w:ascii="仿宋" w:hAnsi="仿宋" w:eastAsia="仿宋" w:cs="仿宋"/>
              <w:sz w:val="28"/>
              <w:szCs w:val="28"/>
            </w:rPr>
            <w:fldChar w:fldCharType="separate"/>
          </w:r>
          <w:r>
            <w:rPr>
              <w:rFonts w:hint="eastAsia" w:ascii="仿宋" w:hAnsi="仿宋" w:eastAsia="仿宋" w:cs="仿宋"/>
              <w:sz w:val="28"/>
              <w:szCs w:val="28"/>
            </w:rPr>
            <w:t>128</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2B783DA0">
          <w:pPr>
            <w:pStyle w:val="16"/>
            <w:keepNext w:val="0"/>
            <w:keepLines w:val="0"/>
            <w:pageBreakBefore w:val="0"/>
            <w:widowControl w:val="0"/>
            <w:tabs>
              <w:tab w:val="right" w:leader="dot" w:pos="8306"/>
            </w:tabs>
            <w:kinsoku/>
            <w:wordWrap/>
            <w:overflowPunct/>
            <w:topLinePunct w:val="0"/>
            <w:autoSpaceDE/>
            <w:autoSpaceDN/>
            <w:bidi w:val="0"/>
            <w:adjustRightInd/>
            <w:snapToGrid/>
            <w:spacing w:line="720" w:lineRule="exact"/>
            <w:textAlignment w:val="auto"/>
          </w:pPr>
          <w:r>
            <w:rPr>
              <w:rFonts w:hint="eastAsia" w:ascii="仿宋" w:hAnsi="仿宋" w:eastAsia="仿宋" w:cs="仿宋"/>
              <w:bCs/>
              <w:color w:val="auto"/>
              <w:sz w:val="28"/>
              <w:szCs w:val="28"/>
              <w:highlight w:val="none"/>
            </w:rPr>
            <w:fldChar w:fldCharType="begin"/>
          </w:r>
          <w:r>
            <w:rPr>
              <w:rFonts w:hint="eastAsia" w:ascii="仿宋" w:hAnsi="仿宋" w:eastAsia="仿宋" w:cs="仿宋"/>
              <w:bCs/>
              <w:sz w:val="28"/>
              <w:szCs w:val="28"/>
              <w:highlight w:val="none"/>
            </w:rPr>
            <w:instrText xml:space="preserve"> HYPERLINK \l _Toc28156 </w:instrText>
          </w:r>
          <w:r>
            <w:rPr>
              <w:rFonts w:hint="eastAsia" w:ascii="仿宋" w:hAnsi="仿宋" w:eastAsia="仿宋" w:cs="仿宋"/>
              <w:bCs/>
              <w:sz w:val="28"/>
              <w:szCs w:val="28"/>
              <w:highlight w:val="none"/>
            </w:rPr>
            <w:fldChar w:fldCharType="separate"/>
          </w:r>
          <w:r>
            <w:rPr>
              <w:rFonts w:hint="eastAsia" w:ascii="仿宋" w:hAnsi="仿宋" w:eastAsia="仿宋" w:cs="仿宋"/>
              <w:bCs/>
              <w:kern w:val="44"/>
              <w:sz w:val="28"/>
              <w:szCs w:val="28"/>
              <w:highlight w:val="none"/>
              <w:lang w:val="en-US" w:eastAsia="zh-CN" w:bidi="ar-SA"/>
            </w:rPr>
            <w:t>第四节 健全规划实施机制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_Toc28156 </w:instrText>
          </w:r>
          <w:r>
            <w:rPr>
              <w:rFonts w:hint="eastAsia" w:ascii="仿宋" w:hAnsi="仿宋" w:eastAsia="仿宋" w:cs="仿宋"/>
              <w:sz w:val="28"/>
              <w:szCs w:val="28"/>
            </w:rPr>
            <w:fldChar w:fldCharType="separate"/>
          </w:r>
          <w:r>
            <w:rPr>
              <w:rFonts w:hint="eastAsia" w:ascii="仿宋" w:hAnsi="仿宋" w:eastAsia="仿宋" w:cs="仿宋"/>
              <w:sz w:val="28"/>
              <w:szCs w:val="28"/>
            </w:rPr>
            <w:t>129</w:t>
          </w:r>
          <w:r>
            <w:rPr>
              <w:rFonts w:hint="eastAsia" w:ascii="仿宋" w:hAnsi="仿宋" w:eastAsia="仿宋" w:cs="仿宋"/>
              <w:sz w:val="28"/>
              <w:szCs w:val="28"/>
            </w:rPr>
            <w:fldChar w:fldCharType="end"/>
          </w:r>
          <w:r>
            <w:rPr>
              <w:rFonts w:hint="eastAsia" w:ascii="仿宋" w:hAnsi="仿宋" w:eastAsia="仿宋" w:cs="仿宋"/>
              <w:bCs/>
              <w:color w:val="auto"/>
              <w:sz w:val="28"/>
              <w:szCs w:val="28"/>
              <w:highlight w:val="none"/>
            </w:rPr>
            <w:fldChar w:fldCharType="end"/>
          </w:r>
        </w:p>
        <w:p w14:paraId="28748603">
          <w:pPr>
            <w:keepNext/>
            <w:keepLines/>
            <w:pageBreakBefore w:val="0"/>
            <w:widowControl w:val="0"/>
            <w:kinsoku/>
            <w:wordWrap/>
            <w:overflowPunct/>
            <w:topLinePunct w:val="0"/>
            <w:autoSpaceDE/>
            <w:autoSpaceDN/>
            <w:bidi w:val="0"/>
            <w:adjustRightInd/>
            <w:snapToGrid/>
            <w:spacing w:before="0" w:after="313" w:afterLines="100" w:line="700" w:lineRule="exact"/>
            <w:jc w:val="center"/>
            <w:textAlignment w:val="auto"/>
            <w:outlineLvl w:val="9"/>
            <w:rPr>
              <w:rFonts w:hint="eastAsia" w:ascii="KaiTi_GB2312" w:hAnsi="KaiTi_GB2312" w:eastAsia="KaiTi_GB2312" w:cs="KaiTi_GB2312"/>
              <w:bCs/>
              <w:color w:val="auto"/>
              <w:sz w:val="28"/>
              <w:szCs w:val="28"/>
              <w:highlight w:val="none"/>
            </w:rPr>
            <w:sectPr>
              <w:pgSz w:w="11906" w:h="16838"/>
              <w:pgMar w:top="1440" w:right="1800" w:bottom="1440" w:left="1800" w:header="851" w:footer="992" w:gutter="0"/>
              <w:pgNumType w:fmt="numberInDash" w:start="1"/>
              <w:cols w:space="425" w:num="1"/>
              <w:docGrid w:type="lines" w:linePitch="312" w:charSpace="0"/>
            </w:sectPr>
          </w:pPr>
          <w:r>
            <w:rPr>
              <w:rFonts w:hint="eastAsia" w:ascii="KaiTi_GB2312" w:hAnsi="KaiTi_GB2312" w:eastAsia="KaiTi_GB2312" w:cs="KaiTi_GB2312"/>
              <w:b/>
              <w:bCs/>
              <w:color w:val="auto"/>
              <w:sz w:val="28"/>
              <w:szCs w:val="28"/>
              <w:highlight w:val="none"/>
            </w:rPr>
            <w:fldChar w:fldCharType="end"/>
          </w:r>
        </w:p>
      </w:sdtContent>
    </w:sdt>
    <w:p w14:paraId="4AE53698">
      <w:pPr>
        <w:keepNext w:val="0"/>
        <w:keepLines w:val="0"/>
        <w:pageBreakBefore w:val="0"/>
        <w:widowControl w:val="0"/>
        <w:tabs>
          <w:tab w:val="left" w:pos="1054"/>
          <w:tab w:val="center" w:pos="4693"/>
        </w:tabs>
        <w:kinsoku/>
        <w:wordWrap/>
        <w:overflowPunct/>
        <w:topLinePunct w:val="0"/>
        <w:autoSpaceDE/>
        <w:autoSpaceDN/>
        <w:bidi w:val="0"/>
        <w:adjustRightInd/>
        <w:snapToGrid/>
        <w:spacing w:after="313" w:afterLines="100" w:line="720" w:lineRule="exact"/>
        <w:jc w:val="center"/>
        <w:textAlignment w:val="auto"/>
        <w:rPr>
          <w:rFonts w:hint="eastAsia" w:ascii="方正粗宋简体" w:hAnsi="方正粗宋简体" w:eastAsia="方正粗宋简体" w:cs="方正粗宋简体"/>
          <w:b w:val="0"/>
          <w:bCs w:val="0"/>
          <w:color w:val="auto"/>
          <w:sz w:val="42"/>
          <w:szCs w:val="42"/>
          <w:highlight w:val="none"/>
        </w:rPr>
      </w:pPr>
    </w:p>
    <w:p w14:paraId="59706377">
      <w:pPr>
        <w:keepNext w:val="0"/>
        <w:keepLines w:val="0"/>
        <w:pageBreakBefore w:val="0"/>
        <w:widowControl w:val="0"/>
        <w:tabs>
          <w:tab w:val="left" w:pos="1054"/>
          <w:tab w:val="center" w:pos="4693"/>
        </w:tabs>
        <w:kinsoku/>
        <w:wordWrap/>
        <w:overflowPunct/>
        <w:topLinePunct w:val="0"/>
        <w:autoSpaceDE/>
        <w:autoSpaceDN/>
        <w:bidi w:val="0"/>
        <w:adjustRightInd/>
        <w:snapToGrid/>
        <w:spacing w:after="313" w:afterLines="100" w:line="720" w:lineRule="exact"/>
        <w:jc w:val="center"/>
        <w:textAlignment w:val="auto"/>
        <w:rPr>
          <w:rFonts w:hint="eastAsia" w:ascii="方正粗宋简体" w:hAnsi="方正粗宋简体" w:eastAsia="方正粗宋简体" w:cs="方正粗宋简体"/>
          <w:b w:val="0"/>
          <w:bCs w:val="0"/>
          <w:color w:val="auto"/>
          <w:sz w:val="42"/>
          <w:szCs w:val="42"/>
          <w:highlight w:val="none"/>
        </w:rPr>
      </w:pPr>
    </w:p>
    <w:p w14:paraId="5655A635">
      <w:pPr>
        <w:keepNext w:val="0"/>
        <w:keepLines w:val="0"/>
        <w:pageBreakBefore w:val="0"/>
        <w:widowControl w:val="0"/>
        <w:tabs>
          <w:tab w:val="left" w:pos="1054"/>
          <w:tab w:val="center" w:pos="4693"/>
        </w:tabs>
        <w:kinsoku/>
        <w:wordWrap/>
        <w:overflowPunct/>
        <w:topLinePunct w:val="0"/>
        <w:autoSpaceDE/>
        <w:autoSpaceDN/>
        <w:bidi w:val="0"/>
        <w:adjustRightInd/>
        <w:snapToGrid/>
        <w:spacing w:after="313" w:afterLines="100" w:line="720" w:lineRule="exact"/>
        <w:jc w:val="center"/>
        <w:textAlignment w:val="auto"/>
        <w:rPr>
          <w:rFonts w:hint="eastAsia" w:ascii="方正粗宋简体" w:hAnsi="方正粗宋简体" w:eastAsia="方正粗宋简体" w:cs="方正粗宋简体"/>
          <w:b w:val="0"/>
          <w:bCs w:val="0"/>
          <w:color w:val="auto"/>
          <w:sz w:val="42"/>
          <w:szCs w:val="42"/>
          <w:highlight w:val="none"/>
        </w:rPr>
      </w:pPr>
      <w:r>
        <w:rPr>
          <w:rFonts w:hint="eastAsia" w:ascii="方正粗宋简体" w:hAnsi="方正粗宋简体" w:eastAsia="方正粗宋简体" w:cs="方正粗宋简体"/>
          <w:b w:val="0"/>
          <w:bCs w:val="0"/>
          <w:color w:val="auto"/>
          <w:sz w:val="42"/>
          <w:szCs w:val="42"/>
          <w:highlight w:val="none"/>
        </w:rPr>
        <w:t>武冈市国民经济和社会发展第十四个五年</w:t>
      </w:r>
    </w:p>
    <w:p w14:paraId="78CE8C42">
      <w:pPr>
        <w:keepNext w:val="0"/>
        <w:keepLines w:val="0"/>
        <w:pageBreakBefore w:val="0"/>
        <w:widowControl w:val="0"/>
        <w:tabs>
          <w:tab w:val="left" w:pos="1054"/>
          <w:tab w:val="center" w:pos="4693"/>
        </w:tabs>
        <w:kinsoku/>
        <w:wordWrap/>
        <w:overflowPunct/>
        <w:topLinePunct w:val="0"/>
        <w:autoSpaceDE/>
        <w:autoSpaceDN/>
        <w:bidi w:val="0"/>
        <w:adjustRightInd/>
        <w:snapToGrid/>
        <w:spacing w:after="313" w:afterLines="100" w:line="720" w:lineRule="exact"/>
        <w:jc w:val="center"/>
        <w:textAlignment w:val="auto"/>
        <w:rPr>
          <w:rFonts w:hint="eastAsia" w:ascii="方正粗宋简体" w:hAnsi="方正粗宋简体" w:eastAsia="方正粗宋简体" w:cs="方正粗宋简体"/>
          <w:b w:val="0"/>
          <w:bCs w:val="0"/>
          <w:color w:val="auto"/>
          <w:sz w:val="42"/>
          <w:szCs w:val="42"/>
          <w:highlight w:val="none"/>
        </w:rPr>
      </w:pPr>
      <w:r>
        <w:rPr>
          <w:rFonts w:hint="eastAsia" w:ascii="方正粗宋简体" w:hAnsi="方正粗宋简体" w:eastAsia="方正粗宋简体" w:cs="方正粗宋简体"/>
          <w:b w:val="0"/>
          <w:bCs w:val="0"/>
          <w:color w:val="auto"/>
          <w:sz w:val="42"/>
          <w:szCs w:val="42"/>
          <w:highlight w:val="none"/>
        </w:rPr>
        <w:t>规划和二〇三五年远景目标纲要</w:t>
      </w:r>
    </w:p>
    <w:p w14:paraId="1ED7646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both"/>
        <w:textAlignment w:val="auto"/>
        <w:rPr>
          <w:rFonts w:hint="eastAsia" w:ascii="仿宋" w:hAnsi="仿宋" w:eastAsia="仿宋" w:cs="仿宋"/>
          <w:color w:val="auto"/>
          <w:highlight w:val="none"/>
        </w:rPr>
      </w:pPr>
      <w:bookmarkStart w:id="15" w:name="_Toc30403"/>
      <w:bookmarkStart w:id="16" w:name="_Toc10435"/>
      <w:bookmarkStart w:id="17" w:name="_Toc16580"/>
      <w:r>
        <w:rPr>
          <w:rFonts w:hint="eastAsia" w:ascii="仿宋" w:hAnsi="仿宋" w:eastAsia="仿宋" w:cs="仿宋"/>
          <w:color w:val="auto"/>
          <w:highlight w:val="none"/>
        </w:rPr>
        <w:t>武冈市国民经济和社会发展第十四个五年</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2021-2025年</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规划</w:t>
      </w:r>
      <w:r>
        <w:rPr>
          <w:rFonts w:hint="eastAsia" w:ascii="仿宋" w:hAnsi="仿宋" w:eastAsia="仿宋" w:cs="仿宋"/>
          <w:color w:val="auto"/>
          <w:highlight w:val="none"/>
          <w:lang w:eastAsia="zh-CN"/>
        </w:rPr>
        <w:t>和二〇三五年远景目标纲要</w:t>
      </w:r>
      <w:r>
        <w:rPr>
          <w:rFonts w:hint="eastAsia" w:ascii="仿宋" w:hAnsi="仿宋" w:eastAsia="仿宋" w:cs="仿宋"/>
          <w:color w:val="auto"/>
          <w:highlight w:val="none"/>
        </w:rPr>
        <w:t>，根据《中共</w:t>
      </w:r>
      <w:r>
        <w:rPr>
          <w:rFonts w:hint="eastAsia" w:ascii="仿宋" w:hAnsi="仿宋" w:eastAsia="仿宋" w:cs="仿宋"/>
          <w:color w:val="auto"/>
          <w:highlight w:val="none"/>
          <w:lang w:eastAsia="zh-CN"/>
        </w:rPr>
        <w:t>武冈</w:t>
      </w:r>
      <w:r>
        <w:rPr>
          <w:rFonts w:hint="eastAsia" w:ascii="仿宋" w:hAnsi="仿宋" w:eastAsia="仿宋" w:cs="仿宋"/>
          <w:color w:val="auto"/>
          <w:highlight w:val="none"/>
        </w:rPr>
        <w:t>市委关于制定</w:t>
      </w:r>
      <w:r>
        <w:rPr>
          <w:rFonts w:hint="eastAsia" w:ascii="仿宋" w:hAnsi="仿宋" w:eastAsia="仿宋" w:cs="仿宋"/>
          <w:color w:val="auto"/>
          <w:highlight w:val="none"/>
          <w:lang w:eastAsia="zh-CN"/>
        </w:rPr>
        <w:t>武冈</w:t>
      </w:r>
      <w:r>
        <w:rPr>
          <w:rFonts w:hint="eastAsia" w:ascii="仿宋" w:hAnsi="仿宋" w:eastAsia="仿宋" w:cs="仿宋"/>
          <w:color w:val="auto"/>
          <w:highlight w:val="none"/>
        </w:rPr>
        <w:t>市国民经济和社会发展第十</w:t>
      </w:r>
      <w:r>
        <w:rPr>
          <w:rFonts w:hint="eastAsia" w:ascii="仿宋" w:hAnsi="仿宋" w:eastAsia="仿宋" w:cs="仿宋"/>
          <w:color w:val="auto"/>
          <w:highlight w:val="none"/>
          <w:lang w:eastAsia="zh-CN"/>
        </w:rPr>
        <w:t>四</w:t>
      </w:r>
      <w:r>
        <w:rPr>
          <w:rFonts w:hint="eastAsia" w:ascii="仿宋" w:hAnsi="仿宋" w:eastAsia="仿宋" w:cs="仿宋"/>
          <w:color w:val="auto"/>
          <w:highlight w:val="none"/>
        </w:rPr>
        <w:t>个五年规划</w:t>
      </w:r>
      <w:r>
        <w:rPr>
          <w:rFonts w:hint="eastAsia" w:ascii="仿宋" w:hAnsi="仿宋" w:eastAsia="仿宋" w:cs="仿宋"/>
          <w:color w:val="auto"/>
          <w:highlight w:val="none"/>
          <w:lang w:eastAsia="zh-CN"/>
        </w:rPr>
        <w:t>和二〇三五年远景目标</w:t>
      </w:r>
      <w:r>
        <w:rPr>
          <w:rFonts w:hint="eastAsia" w:ascii="仿宋" w:hAnsi="仿宋" w:eastAsia="仿宋" w:cs="仿宋"/>
          <w:color w:val="auto"/>
          <w:highlight w:val="none"/>
        </w:rPr>
        <w:t>的建议》编制</w:t>
      </w:r>
      <w:r>
        <w:rPr>
          <w:rFonts w:hint="eastAsia" w:ascii="仿宋" w:hAnsi="仿宋" w:eastAsia="仿宋" w:cs="仿宋"/>
          <w:color w:val="auto"/>
          <w:highlight w:val="none"/>
          <w:lang w:eastAsia="zh-CN"/>
        </w:rPr>
        <w:t>而成</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本规划</w:t>
      </w:r>
      <w:r>
        <w:rPr>
          <w:rFonts w:hint="eastAsia" w:ascii="仿宋" w:hAnsi="仿宋" w:eastAsia="仿宋" w:cs="仿宋"/>
          <w:color w:val="auto"/>
          <w:highlight w:val="none"/>
        </w:rPr>
        <w:t>主要阐明</w:t>
      </w:r>
      <w:r>
        <w:rPr>
          <w:rFonts w:hint="eastAsia" w:ascii="仿宋" w:hAnsi="仿宋" w:eastAsia="仿宋" w:cs="仿宋"/>
          <w:color w:val="auto"/>
          <w:highlight w:val="none"/>
          <w:lang w:eastAsia="zh-CN"/>
        </w:rPr>
        <w:t>全市</w:t>
      </w:r>
      <w:r>
        <w:rPr>
          <w:rFonts w:hint="eastAsia" w:ascii="仿宋" w:hAnsi="仿宋" w:eastAsia="仿宋" w:cs="仿宋"/>
          <w:color w:val="auto"/>
          <w:highlight w:val="none"/>
        </w:rPr>
        <w:t>战略意图，明确经济社会发展宏伟目标、主要任务和重大举措，是政府履责的重要依据，是市场主体的行为导向，是全市人民共同奋斗的行动纲领。</w:t>
      </w:r>
      <w:bookmarkEnd w:id="15"/>
      <w:bookmarkEnd w:id="16"/>
      <w:bookmarkEnd w:id="17"/>
    </w:p>
    <w:p w14:paraId="0C268823">
      <w:pPr>
        <w:pageBreakBefore w:val="0"/>
        <w:wordWrap/>
        <w:bidi w:val="0"/>
        <w:rPr>
          <w:rFonts w:hint="eastAsia"/>
          <w:highlight w:val="none"/>
          <w:lang w:val="en-US" w:eastAsia="zh-CN"/>
        </w:rPr>
      </w:pPr>
      <w:r>
        <w:rPr>
          <w:rFonts w:hint="eastAsia" w:ascii="仿宋" w:hAnsi="仿宋" w:eastAsia="仿宋" w:cs="仿宋"/>
          <w:color w:val="auto"/>
          <w:highlight w:val="none"/>
        </w:rPr>
        <w:br w:type="page"/>
      </w:r>
    </w:p>
    <w:p w14:paraId="71D0E454">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color w:val="auto"/>
          <w:highlight w:val="none"/>
        </w:rPr>
      </w:pPr>
      <w:bookmarkStart w:id="18" w:name="_Toc15345"/>
      <w:r>
        <w:rPr>
          <w:rFonts w:hint="eastAsia" w:ascii="黑体" w:hAnsi="黑体" w:eastAsia="黑体" w:cs="黑体"/>
          <w:color w:val="auto"/>
          <w:highlight w:val="none"/>
          <w:lang w:val="en-US" w:eastAsia="zh-CN"/>
        </w:rPr>
        <w:t xml:space="preserve">第一章  </w:t>
      </w:r>
      <w:r>
        <w:rPr>
          <w:rFonts w:hint="eastAsia" w:ascii="黑体" w:hAnsi="黑体" w:eastAsia="黑体" w:cs="黑体"/>
          <w:color w:val="auto"/>
          <w:highlight w:val="none"/>
        </w:rPr>
        <w:t>决胜全面小康</w:t>
      </w:r>
      <w:r>
        <w:rPr>
          <w:rFonts w:hint="eastAsia" w:ascii="黑体" w:hAnsi="黑体" w:eastAsia="黑体" w:cs="黑体"/>
          <w:color w:val="auto"/>
          <w:highlight w:val="none"/>
          <w:lang w:eastAsia="zh-CN"/>
        </w:rPr>
        <w:t>，</w:t>
      </w:r>
      <w:r>
        <w:rPr>
          <w:rFonts w:hint="eastAsia" w:ascii="黑体" w:hAnsi="黑体" w:eastAsia="黑体" w:cs="黑体"/>
          <w:color w:val="auto"/>
          <w:highlight w:val="none"/>
        </w:rPr>
        <w:t>开启现代化建设新征程</w:t>
      </w:r>
      <w:bookmarkEnd w:id="18"/>
    </w:p>
    <w:p w14:paraId="4EF3F39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“十三五”时期，</w:t>
      </w:r>
      <w:r>
        <w:rPr>
          <w:rFonts w:hint="eastAsia" w:ascii="仿宋" w:hAnsi="仿宋" w:eastAsia="仿宋" w:cs="仿宋"/>
          <w:color w:val="auto"/>
          <w:sz w:val="32"/>
          <w:szCs w:val="24"/>
          <w:highlight w:val="none"/>
          <w:lang w:eastAsia="zh-CN"/>
        </w:rPr>
        <w:t>全市</w:t>
      </w:r>
      <w:r>
        <w:rPr>
          <w:rFonts w:hint="eastAsia" w:ascii="仿宋" w:hAnsi="仿宋" w:eastAsia="仿宋" w:cs="仿宋"/>
          <w:color w:val="auto"/>
          <w:spacing w:val="0"/>
          <w:sz w:val="32"/>
          <w:szCs w:val="24"/>
          <w:highlight w:val="none"/>
          <w:lang w:eastAsia="zh-CN"/>
        </w:rPr>
        <w:t>高举中国特色社会主义伟大旗帜，坚持以习近平新时代中国特色社会主义思想为指导，</w:t>
      </w:r>
      <w:r>
        <w:rPr>
          <w:rFonts w:hint="eastAsia" w:ascii="仿宋" w:hAnsi="仿宋" w:eastAsia="仿宋" w:cs="仿宋"/>
          <w:color w:val="auto"/>
          <w:spacing w:val="0"/>
          <w:sz w:val="32"/>
          <w:szCs w:val="24"/>
          <w:highlight w:val="none"/>
        </w:rPr>
        <w:t>在</w:t>
      </w:r>
      <w:r>
        <w:rPr>
          <w:rFonts w:hint="eastAsia" w:ascii="仿宋" w:hAnsi="仿宋" w:eastAsia="仿宋" w:cs="仿宋"/>
          <w:color w:val="auto"/>
          <w:spacing w:val="0"/>
          <w:sz w:val="32"/>
          <w:szCs w:val="24"/>
          <w:highlight w:val="none"/>
          <w:lang w:eastAsia="zh-CN"/>
        </w:rPr>
        <w:t>上级党</w:t>
      </w:r>
      <w:r>
        <w:rPr>
          <w:rFonts w:hint="eastAsia" w:ascii="仿宋" w:hAnsi="仿宋" w:eastAsia="仿宋" w:cs="仿宋"/>
          <w:color w:val="auto"/>
          <w:spacing w:val="0"/>
          <w:sz w:val="32"/>
          <w:szCs w:val="24"/>
          <w:highlight w:val="none"/>
        </w:rPr>
        <w:t>委</w:t>
      </w:r>
      <w:r>
        <w:rPr>
          <w:rFonts w:hint="eastAsia" w:ascii="仿宋" w:hAnsi="仿宋" w:eastAsia="仿宋" w:cs="仿宋"/>
          <w:color w:val="auto"/>
          <w:spacing w:val="0"/>
          <w:sz w:val="32"/>
          <w:szCs w:val="24"/>
          <w:highlight w:val="none"/>
          <w:lang w:eastAsia="zh-CN"/>
        </w:rPr>
        <w:t>、政府和中共武冈市</w:t>
      </w:r>
      <w:r>
        <w:rPr>
          <w:rFonts w:hint="eastAsia" w:ascii="仿宋" w:hAnsi="仿宋" w:eastAsia="仿宋" w:cs="仿宋"/>
          <w:color w:val="auto"/>
          <w:spacing w:val="0"/>
          <w:sz w:val="32"/>
          <w:szCs w:val="24"/>
          <w:highlight w:val="none"/>
        </w:rPr>
        <w:t>委的正确领导下，在</w:t>
      </w:r>
      <w:r>
        <w:rPr>
          <w:rFonts w:hint="eastAsia" w:ascii="仿宋" w:hAnsi="仿宋" w:eastAsia="仿宋" w:cs="仿宋"/>
          <w:color w:val="auto"/>
          <w:spacing w:val="0"/>
          <w:sz w:val="32"/>
          <w:szCs w:val="24"/>
          <w:highlight w:val="none"/>
          <w:lang w:eastAsia="zh-CN"/>
        </w:rPr>
        <w:t>市</w:t>
      </w:r>
      <w:r>
        <w:rPr>
          <w:rFonts w:hint="eastAsia" w:ascii="仿宋" w:hAnsi="仿宋" w:eastAsia="仿宋" w:cs="仿宋"/>
          <w:color w:val="auto"/>
          <w:spacing w:val="0"/>
          <w:sz w:val="32"/>
          <w:szCs w:val="24"/>
          <w:highlight w:val="none"/>
        </w:rPr>
        <w:t>人大、</w:t>
      </w:r>
      <w:r>
        <w:rPr>
          <w:rFonts w:hint="eastAsia" w:ascii="仿宋" w:hAnsi="仿宋" w:eastAsia="仿宋" w:cs="仿宋"/>
          <w:color w:val="auto"/>
          <w:spacing w:val="0"/>
          <w:sz w:val="32"/>
          <w:szCs w:val="24"/>
          <w:highlight w:val="none"/>
          <w:lang w:eastAsia="zh-CN"/>
        </w:rPr>
        <w:t>市</w:t>
      </w:r>
      <w:r>
        <w:rPr>
          <w:rFonts w:hint="eastAsia" w:ascii="仿宋" w:hAnsi="仿宋" w:eastAsia="仿宋" w:cs="仿宋"/>
          <w:color w:val="auto"/>
          <w:spacing w:val="0"/>
          <w:sz w:val="32"/>
          <w:szCs w:val="24"/>
          <w:highlight w:val="none"/>
        </w:rPr>
        <w:t>政协的监督支持下，</w:t>
      </w:r>
      <w:r>
        <w:rPr>
          <w:rFonts w:hint="eastAsia" w:ascii="仿宋" w:hAnsi="仿宋" w:eastAsia="仿宋" w:cs="仿宋"/>
          <w:color w:val="auto"/>
          <w:sz w:val="32"/>
          <w:szCs w:val="24"/>
          <w:highlight w:val="none"/>
        </w:rPr>
        <w:t>坚持稳中求进工作总基调，贯彻落实新发展理念，以供给侧结构性改革为主线，打好三大攻坚战，</w:t>
      </w:r>
      <w:r>
        <w:rPr>
          <w:rFonts w:hint="eastAsia" w:ascii="仿宋" w:hAnsi="仿宋" w:eastAsia="仿宋" w:cs="仿宋"/>
          <w:color w:val="auto"/>
          <w:sz w:val="32"/>
          <w:szCs w:val="24"/>
          <w:highlight w:val="none"/>
          <w:lang w:eastAsia="zh-CN"/>
        </w:rPr>
        <w:t>扎实做好“六稳”工作，全面落实“六保”任务</w:t>
      </w:r>
      <w:r>
        <w:rPr>
          <w:rFonts w:hint="eastAsia" w:ascii="仿宋" w:hAnsi="仿宋" w:eastAsia="仿宋" w:cs="仿宋"/>
          <w:color w:val="auto"/>
          <w:spacing w:val="0"/>
          <w:sz w:val="32"/>
          <w:szCs w:val="24"/>
          <w:highlight w:val="none"/>
        </w:rPr>
        <w:t>，</w:t>
      </w:r>
      <w:r>
        <w:rPr>
          <w:rFonts w:hint="eastAsia" w:ascii="仿宋" w:hAnsi="仿宋" w:eastAsia="仿宋" w:cs="仿宋"/>
          <w:color w:val="auto"/>
          <w:spacing w:val="0"/>
          <w:sz w:val="32"/>
          <w:szCs w:val="24"/>
          <w:highlight w:val="none"/>
          <w:lang w:eastAsia="zh-CN"/>
        </w:rPr>
        <w:t>积极</w:t>
      </w:r>
      <w:r>
        <w:rPr>
          <w:rFonts w:hint="eastAsia" w:ascii="仿宋" w:hAnsi="仿宋" w:eastAsia="仿宋" w:cs="仿宋"/>
          <w:color w:val="auto"/>
          <w:spacing w:val="0"/>
          <w:sz w:val="32"/>
          <w:szCs w:val="24"/>
          <w:highlight w:val="none"/>
          <w:lang w:val="en-US" w:eastAsia="zh-CN"/>
        </w:rPr>
        <w:t>答</w:t>
      </w:r>
      <w:r>
        <w:rPr>
          <w:rFonts w:hint="eastAsia" w:ascii="仿宋" w:hAnsi="仿宋" w:eastAsia="仿宋" w:cs="仿宋"/>
          <w:color w:val="auto"/>
          <w:spacing w:val="0"/>
          <w:sz w:val="32"/>
          <w:szCs w:val="24"/>
          <w:highlight w:val="none"/>
          <w:lang w:eastAsia="zh-CN"/>
        </w:rPr>
        <w:t>好疫情影响“加试题”，绝对贫困问题历史性解决，“十三五”规划目标任务高质量完成，发展取得全方位历史性成就，</w:t>
      </w:r>
      <w:r>
        <w:rPr>
          <w:rFonts w:hint="eastAsia" w:ascii="仿宋" w:hAnsi="仿宋" w:eastAsia="仿宋" w:cs="仿宋"/>
          <w:color w:val="auto"/>
          <w:highlight w:val="none"/>
        </w:rPr>
        <w:t>为“十四五”期间开启</w:t>
      </w:r>
      <w:r>
        <w:rPr>
          <w:rFonts w:hint="eastAsia" w:ascii="仿宋" w:hAnsi="仿宋" w:eastAsia="仿宋" w:cs="仿宋"/>
          <w:color w:val="auto"/>
          <w:highlight w:val="none"/>
          <w:lang w:eastAsia="zh-CN"/>
        </w:rPr>
        <w:t>全面建设社会主义现代化国家新征程</w:t>
      </w:r>
      <w:r>
        <w:rPr>
          <w:rFonts w:hint="eastAsia" w:ascii="仿宋" w:hAnsi="仿宋" w:eastAsia="仿宋" w:cs="仿宋"/>
          <w:color w:val="auto"/>
          <w:highlight w:val="none"/>
        </w:rPr>
        <w:t>奠定了坚实基础。</w:t>
      </w:r>
    </w:p>
    <w:p w14:paraId="5AA2E736">
      <w:pPr>
        <w:pStyle w:val="4"/>
        <w:keepNext/>
        <w:keepLines/>
        <w:pageBreakBefore w:val="0"/>
        <w:widowControl w:val="0"/>
        <w:kinsoku/>
        <w:wordWrap/>
        <w:overflowPunct/>
        <w:topLinePunct w:val="0"/>
        <w:autoSpaceDE/>
        <w:autoSpaceDN/>
        <w:bidi w:val="0"/>
        <w:adjustRightInd/>
        <w:snapToGrid/>
        <w:spacing w:before="0" w:after="0" w:line="620" w:lineRule="exact"/>
        <w:jc w:val="center"/>
        <w:textAlignment w:val="auto"/>
        <w:rPr>
          <w:rFonts w:hint="eastAsia" w:ascii="黑体" w:hAnsi="黑体" w:eastAsia="黑体" w:cs="黑体"/>
          <w:b w:val="0"/>
          <w:bCs/>
          <w:color w:val="auto"/>
          <w:highlight w:val="none"/>
        </w:rPr>
      </w:pPr>
      <w:bookmarkStart w:id="19" w:name="_Toc10894"/>
      <w:bookmarkStart w:id="20" w:name="_Toc17470"/>
      <w:r>
        <w:rPr>
          <w:rFonts w:hint="eastAsia" w:ascii="黑体" w:hAnsi="黑体" w:eastAsia="黑体" w:cs="黑体"/>
          <w:b w:val="0"/>
          <w:bCs/>
          <w:color w:val="auto"/>
          <w:kern w:val="44"/>
          <w:sz w:val="32"/>
          <w:szCs w:val="32"/>
          <w:highlight w:val="none"/>
          <w:lang w:val="en-US" w:eastAsia="zh-CN" w:bidi="ar-SA"/>
        </w:rPr>
        <w:t>第一节 “十三五”发展成就</w:t>
      </w:r>
      <w:bookmarkEnd w:id="19"/>
      <w:bookmarkEnd w:id="20"/>
    </w:p>
    <w:p w14:paraId="2512797B">
      <w:pPr>
        <w:keepNext w:val="0"/>
        <w:keepLines w:val="0"/>
        <w:pageBreakBefore w:val="0"/>
        <w:widowControl w:val="0"/>
        <w:kinsoku/>
        <w:wordWrap/>
        <w:overflowPunct/>
        <w:topLinePunct w:val="0"/>
        <w:autoSpaceDE/>
        <w:autoSpaceDN/>
        <w:bidi w:val="0"/>
        <w:adjustRightInd/>
        <w:snapToGrid w:val="0"/>
        <w:spacing w:after="313" w:afterLines="100" w:line="630" w:lineRule="exact"/>
        <w:ind w:firstLine="643" w:firstLineChars="200"/>
        <w:jc w:val="both"/>
        <w:textAlignment w:val="auto"/>
        <w:rPr>
          <w:rFonts w:hint="eastAsia" w:ascii="仿宋" w:hAnsi="仿宋" w:eastAsia="仿宋" w:cs="仿宋"/>
          <w:color w:val="auto"/>
          <w:kern w:val="2"/>
          <w:sz w:val="32"/>
          <w:szCs w:val="24"/>
          <w:highlight w:val="none"/>
          <w:lang w:val="en-US" w:eastAsia="zh-CN" w:bidi="ar-SA"/>
        </w:rPr>
      </w:pPr>
      <w:bookmarkStart w:id="21" w:name="_Toc17364"/>
      <w:r>
        <w:rPr>
          <w:rFonts w:hint="eastAsia" w:ascii="楷体" w:hAnsi="楷体" w:eastAsia="楷体" w:cs="楷体"/>
          <w:b/>
          <w:bCs/>
          <w:color w:val="auto"/>
          <w:highlight w:val="none"/>
        </w:rPr>
        <w:t>综合实力</w:t>
      </w:r>
      <w:r>
        <w:rPr>
          <w:rFonts w:hint="eastAsia" w:ascii="楷体" w:hAnsi="楷体" w:eastAsia="楷体" w:cs="楷体"/>
          <w:b/>
          <w:bCs/>
          <w:color w:val="auto"/>
          <w:highlight w:val="none"/>
          <w:lang w:eastAsia="zh-CN"/>
        </w:rPr>
        <w:t>显著</w:t>
      </w:r>
      <w:r>
        <w:rPr>
          <w:rFonts w:hint="eastAsia" w:ascii="楷体" w:hAnsi="楷体" w:eastAsia="楷体" w:cs="楷体"/>
          <w:b/>
          <w:bCs/>
          <w:color w:val="auto"/>
          <w:highlight w:val="none"/>
        </w:rPr>
        <w:t>提升</w:t>
      </w:r>
      <w:bookmarkEnd w:id="21"/>
      <w:r>
        <w:rPr>
          <w:rFonts w:hint="eastAsia" w:ascii="楷体" w:hAnsi="楷体" w:eastAsia="楷体" w:cs="楷体"/>
          <w:b/>
          <w:bCs/>
          <w:color w:val="auto"/>
          <w:highlight w:val="none"/>
          <w:lang w:eastAsia="zh-CN"/>
        </w:rPr>
        <w:t>。</w:t>
      </w:r>
      <w:r>
        <w:rPr>
          <w:rFonts w:hint="eastAsia" w:ascii="仿宋" w:hAnsi="仿宋" w:eastAsia="仿宋" w:cs="仿宋"/>
          <w:b/>
          <w:bCs/>
          <w:color w:val="auto"/>
          <w:highlight w:val="none"/>
        </w:rPr>
        <w:t>经济实力</w:t>
      </w:r>
      <w:r>
        <w:rPr>
          <w:rFonts w:hint="eastAsia" w:ascii="仿宋" w:hAnsi="仿宋" w:eastAsia="仿宋" w:cs="仿宋"/>
          <w:b/>
          <w:bCs/>
          <w:color w:val="auto"/>
          <w:highlight w:val="none"/>
          <w:lang w:eastAsia="zh-CN"/>
        </w:rPr>
        <w:t>不断增强</w:t>
      </w:r>
      <w:r>
        <w:rPr>
          <w:rFonts w:hint="eastAsia" w:ascii="仿宋" w:hAnsi="仿宋" w:eastAsia="仿宋" w:cs="仿宋"/>
          <w:b/>
          <w:bCs/>
          <w:color w:val="auto"/>
          <w:highlight w:val="none"/>
        </w:rPr>
        <w:t>。</w:t>
      </w:r>
      <w:r>
        <w:rPr>
          <w:rFonts w:hint="eastAsia" w:ascii="仿宋" w:hAnsi="仿宋" w:eastAsia="仿宋" w:cs="仿宋"/>
          <w:color w:val="auto"/>
          <w:spacing w:val="0"/>
          <w:sz w:val="32"/>
          <w:szCs w:val="24"/>
          <w:highlight w:val="none"/>
          <w:lang w:eastAsia="zh-CN"/>
        </w:rPr>
        <w:t>2020年全市地区生产总值达172.2亿元，比2015年的119.4亿元增加52.8亿元，年均增长7.56%；全市财政总收入达11.2亿元；</w:t>
      </w:r>
      <w:r>
        <w:rPr>
          <w:rFonts w:hint="eastAsia" w:ascii="仿宋" w:hAnsi="仿宋" w:eastAsia="仿宋" w:cs="仿宋"/>
          <w:color w:val="auto"/>
          <w:spacing w:val="0"/>
          <w:sz w:val="32"/>
          <w:szCs w:val="24"/>
          <w:highlight w:val="none"/>
          <w:lang w:val="en-US" w:eastAsia="zh-CN"/>
        </w:rPr>
        <w:t>固定资产投资年均增长11.1%；累计完成社会消费品零售总额412.7亿元，年均增长10.5%；</w:t>
      </w:r>
      <w:r>
        <w:rPr>
          <w:rFonts w:hint="eastAsia" w:ascii="仿宋" w:hAnsi="仿宋" w:eastAsia="仿宋" w:cs="仿宋"/>
          <w:color w:val="auto"/>
          <w:spacing w:val="0"/>
          <w:sz w:val="32"/>
          <w:szCs w:val="24"/>
          <w:highlight w:val="none"/>
          <w:lang w:eastAsia="zh-CN"/>
        </w:rPr>
        <w:t>三次产业结构比由2015年的35.4:20:44.6调整为</w:t>
      </w:r>
      <w:r>
        <w:rPr>
          <w:rFonts w:hint="eastAsia" w:ascii="仿宋" w:hAnsi="仿宋" w:eastAsia="仿宋" w:cs="仿宋"/>
          <w:color w:val="auto"/>
          <w:spacing w:val="0"/>
          <w:sz w:val="32"/>
          <w:szCs w:val="24"/>
          <w:highlight w:val="none"/>
          <w:lang w:val="en-US" w:eastAsia="zh-CN"/>
        </w:rPr>
        <w:t>33.7:22.4:43.9</w:t>
      </w:r>
      <w:r>
        <w:rPr>
          <w:rFonts w:hint="eastAsia" w:ascii="仿宋" w:hAnsi="仿宋" w:eastAsia="仿宋" w:cs="仿宋"/>
          <w:color w:val="auto"/>
          <w:spacing w:val="0"/>
          <w:sz w:val="32"/>
          <w:szCs w:val="24"/>
          <w:highlight w:val="none"/>
          <w:lang w:eastAsia="zh-CN"/>
        </w:rPr>
        <w:t>；人民生活水平明显改善，全体居民人均可支配收入由2015年的12690元增加到2020年的</w:t>
      </w:r>
      <w:r>
        <w:rPr>
          <w:rFonts w:hint="eastAsia" w:ascii="仿宋" w:hAnsi="仿宋" w:eastAsia="仿宋" w:cs="仿宋"/>
          <w:color w:val="auto"/>
          <w:spacing w:val="0"/>
          <w:sz w:val="32"/>
          <w:szCs w:val="24"/>
          <w:highlight w:val="none"/>
          <w:lang w:val="en-US" w:eastAsia="zh-CN"/>
        </w:rPr>
        <w:t>20950</w:t>
      </w:r>
      <w:r>
        <w:rPr>
          <w:rFonts w:hint="eastAsia" w:ascii="仿宋" w:hAnsi="仿宋" w:eastAsia="仿宋" w:cs="仿宋"/>
          <w:color w:val="auto"/>
          <w:spacing w:val="0"/>
          <w:sz w:val="32"/>
          <w:szCs w:val="24"/>
          <w:highlight w:val="none"/>
          <w:lang w:eastAsia="zh-CN"/>
        </w:rPr>
        <w:t>元，年均增长</w:t>
      </w:r>
      <w:r>
        <w:rPr>
          <w:rFonts w:hint="eastAsia" w:ascii="仿宋" w:hAnsi="仿宋" w:eastAsia="仿宋" w:cs="仿宋"/>
          <w:color w:val="auto"/>
          <w:spacing w:val="0"/>
          <w:sz w:val="32"/>
          <w:szCs w:val="24"/>
          <w:highlight w:val="none"/>
          <w:lang w:val="en-US" w:eastAsia="zh-CN"/>
        </w:rPr>
        <w:t>9%</w:t>
      </w:r>
      <w:r>
        <w:rPr>
          <w:rFonts w:hint="eastAsia" w:ascii="仿宋" w:hAnsi="仿宋" w:eastAsia="仿宋" w:cs="仿宋"/>
          <w:color w:val="auto"/>
          <w:spacing w:val="0"/>
          <w:sz w:val="32"/>
          <w:szCs w:val="24"/>
          <w:highlight w:val="none"/>
          <w:lang w:eastAsia="zh-CN"/>
        </w:rPr>
        <w:t>。</w:t>
      </w:r>
      <w:r>
        <w:rPr>
          <w:rFonts w:hint="eastAsia" w:ascii="仿宋" w:hAnsi="仿宋" w:eastAsia="仿宋" w:cs="仿宋"/>
          <w:b/>
          <w:bCs/>
          <w:color w:val="auto"/>
          <w:highlight w:val="none"/>
          <w:lang w:val="en-US" w:eastAsia="zh-CN"/>
        </w:rPr>
        <w:t>新型工业加速发展。</w:t>
      </w:r>
      <w:r>
        <w:rPr>
          <w:rFonts w:hint="eastAsia" w:ascii="仿宋" w:hAnsi="仿宋" w:eastAsia="仿宋" w:cs="仿宋"/>
          <w:b w:val="0"/>
          <w:bCs w:val="0"/>
          <w:color w:val="auto"/>
          <w:sz w:val="32"/>
          <w:szCs w:val="24"/>
          <w:highlight w:val="none"/>
          <w:lang w:val="en-US" w:eastAsia="zh-CN"/>
        </w:rPr>
        <w:t>主动对接、积极</w:t>
      </w:r>
      <w:r>
        <w:rPr>
          <w:rFonts w:hint="eastAsia" w:ascii="仿宋" w:hAnsi="仿宋" w:eastAsia="仿宋" w:cs="仿宋"/>
          <w:i w:val="0"/>
          <w:caps w:val="0"/>
          <w:color w:val="auto"/>
          <w:spacing w:val="0"/>
          <w:sz w:val="32"/>
          <w:szCs w:val="24"/>
          <w:highlight w:val="none"/>
          <w:shd w:val="clear"/>
          <w:lang w:val="en-US" w:eastAsia="zh-CN"/>
        </w:rPr>
        <w:t>融入“135”工程升级版和建设沪昆高速百里工业走廊，</w:t>
      </w:r>
      <w:r>
        <w:rPr>
          <w:rFonts w:hint="eastAsia" w:ascii="仿宋" w:hAnsi="仿宋" w:eastAsia="仿宋" w:cs="仿宋"/>
          <w:b w:val="0"/>
          <w:bCs w:val="0"/>
          <w:color w:val="auto"/>
          <w:kern w:val="2"/>
          <w:sz w:val="32"/>
          <w:szCs w:val="24"/>
          <w:highlight w:val="none"/>
          <w:lang w:val="en-US" w:eastAsia="zh-CN" w:bidi="ar-SA"/>
        </w:rPr>
        <w:t>抢抓湘南湘西承接产业转移示范区建设机遇，</w:t>
      </w:r>
      <w:r>
        <w:rPr>
          <w:rFonts w:hint="eastAsia" w:ascii="仿宋" w:hAnsi="仿宋" w:eastAsia="仿宋" w:cs="仿宋"/>
          <w:color w:val="auto"/>
          <w:kern w:val="2"/>
          <w:sz w:val="32"/>
          <w:szCs w:val="24"/>
          <w:highlight w:val="none"/>
          <w:lang w:val="en-US" w:eastAsia="zh-CN" w:bidi="ar-SA"/>
        </w:rPr>
        <w:t>规模工业企业发展到97家，增加值达到19.88亿元，年均增长6.4%；工业税收由不足1亿元增长到3亿余元。完成园区基础设施投资8.9亿元，四纵四横道路全线拉通，园区面积由3.1平方公里拓展到5.1平方公里；建成标准化厂房90万平方米，入园企业发展到186家。</w:t>
      </w:r>
      <w:r>
        <w:rPr>
          <w:rFonts w:hint="eastAsia" w:ascii="仿宋" w:hAnsi="仿宋" w:eastAsia="仿宋" w:cs="仿宋"/>
          <w:color w:val="auto"/>
          <w:spacing w:val="0"/>
          <w:sz w:val="32"/>
          <w:szCs w:val="24"/>
          <w:highlight w:val="none"/>
          <w:lang w:eastAsia="zh-CN"/>
        </w:rPr>
        <w:t>百威英博、帝立德、云峰海螺等一批投资过</w:t>
      </w:r>
      <w:r>
        <w:rPr>
          <w:rFonts w:hint="eastAsia" w:ascii="仿宋" w:hAnsi="仿宋" w:eastAsia="仿宋" w:cs="仿宋"/>
          <w:color w:val="auto"/>
          <w:spacing w:val="0"/>
          <w:sz w:val="32"/>
          <w:szCs w:val="24"/>
          <w:highlight w:val="none"/>
          <w:lang w:val="en-US" w:eastAsia="zh-CN"/>
        </w:rPr>
        <w:t>10亿元的企业建成投产</w:t>
      </w:r>
      <w:r>
        <w:rPr>
          <w:rFonts w:hint="eastAsia" w:ascii="仿宋" w:hAnsi="仿宋" w:eastAsia="仿宋" w:cs="仿宋"/>
          <w:color w:val="auto"/>
          <w:spacing w:val="0"/>
          <w:sz w:val="32"/>
          <w:szCs w:val="24"/>
          <w:highlight w:val="none"/>
          <w:lang w:eastAsia="zh-CN"/>
        </w:rPr>
        <w:t>，</w:t>
      </w:r>
      <w:r>
        <w:rPr>
          <w:rFonts w:hint="eastAsia" w:ascii="仿宋" w:hAnsi="仿宋" w:eastAsia="仿宋" w:cs="仿宋"/>
          <w:color w:val="auto"/>
          <w:kern w:val="2"/>
          <w:sz w:val="32"/>
          <w:szCs w:val="24"/>
          <w:highlight w:val="none"/>
          <w:lang w:val="en-US" w:eastAsia="zh-CN" w:bidi="ar-SA"/>
        </w:rPr>
        <w:t>先进装备制</w:t>
      </w:r>
      <w:r>
        <w:rPr>
          <w:rFonts w:hint="eastAsia" w:ascii="仿宋" w:hAnsi="仿宋" w:eastAsia="仿宋" w:cs="仿宋"/>
          <w:color w:val="auto"/>
          <w:spacing w:val="0"/>
          <w:sz w:val="32"/>
          <w:szCs w:val="24"/>
          <w:highlight w:val="none"/>
          <w:lang w:eastAsia="zh-CN"/>
        </w:rPr>
        <w:t>造、特色食品加工</w:t>
      </w:r>
      <w:r>
        <w:rPr>
          <w:rFonts w:hint="eastAsia" w:ascii="仿宋" w:hAnsi="仿宋" w:eastAsia="仿宋" w:cs="仿宋"/>
          <w:color w:val="auto"/>
          <w:spacing w:val="0"/>
          <w:sz w:val="32"/>
          <w:szCs w:val="24"/>
          <w:highlight w:val="none"/>
          <w:lang w:val="en-US" w:eastAsia="zh-CN"/>
        </w:rPr>
        <w:t>、电子信息等特色“园中园”加快建设，食品加工、装备制造、电子信息、新型建材等实现产业集群发展，工业园进入省级园区综合评价前三十名</w:t>
      </w:r>
      <w:r>
        <w:rPr>
          <w:rFonts w:hint="eastAsia" w:ascii="仿宋" w:hAnsi="仿宋" w:eastAsia="仿宋" w:cs="仿宋"/>
          <w:color w:val="auto"/>
          <w:kern w:val="2"/>
          <w:sz w:val="32"/>
          <w:szCs w:val="24"/>
          <w:highlight w:val="none"/>
          <w:lang w:val="en-US" w:eastAsia="zh-CN" w:bidi="ar-SA"/>
        </w:rPr>
        <w:t>。</w:t>
      </w:r>
      <w:r>
        <w:rPr>
          <w:rFonts w:hint="eastAsia" w:ascii="仿宋" w:hAnsi="仿宋" w:eastAsia="仿宋" w:cs="仿宋"/>
          <w:b/>
          <w:bCs/>
          <w:color w:val="auto"/>
          <w:highlight w:val="none"/>
          <w:lang w:val="en-US" w:eastAsia="zh-CN"/>
        </w:rPr>
        <w:t>现代农业提质增效。</w:t>
      </w:r>
      <w:r>
        <w:rPr>
          <w:rFonts w:hint="eastAsia" w:ascii="仿宋" w:hAnsi="仿宋" w:eastAsia="仿宋" w:cs="仿宋"/>
          <w:color w:val="auto"/>
          <w:kern w:val="2"/>
          <w:sz w:val="32"/>
          <w:szCs w:val="24"/>
          <w:highlight w:val="none"/>
          <w:lang w:val="en-US" w:eastAsia="zh-CN" w:bidi="ar-SA"/>
        </w:rPr>
        <w:t>紧紧围绕粮食安全、菜篮子工程，重点抓好粮食生产、蔬菜基地和畜牧养殖，因地制宜发展粮油、果蔬、油茶、中药材等十大特色产业，建成高标准农田15.3万亩、整修山塘1935口、水库47座，标准化蔬菜种植基地1720亩，粮食年总产量稳定在45万吨左右。培育卤菜、铜鹅等特色品牌87个，建成省级特色产业示范园5个，年均实现产值30亿元以上。多次成功承办全省全程机械化制种现场会；农民专业合作社发展到749家，农产品加工企业发展到342家，其中省、邵农业产业化龙头企业分别达到8家、24家。温氏养鸡、大北农、家家康等重大项目顺利实施，刘少军院士工作室暨湖南师范大学鱼类健康养殖基地（雪峰山鱼种繁殖谷）顺利挂牌，工厂化循环水养鱼项目稳步推进，建成现代农业特色产业园14个。农作物病虫害防治全国百强、主要农作物全程机械化全国示范、县域数字农业全国先进，植保站站长廖用信获评“全国技术能手”。连续7年评为“全国豆制品加工50强县（市）”，“武冈卤菜”评为中国驰名商标。农业农村工作荣获全省先进表彰，获评2020实施乡村振兴战略先进县（市）和粮食生产标兵县（市）。</w:t>
      </w:r>
      <w:r>
        <w:rPr>
          <w:rFonts w:hint="eastAsia" w:ascii="仿宋" w:hAnsi="仿宋" w:eastAsia="仿宋" w:cs="仿宋"/>
          <w:b/>
          <w:bCs/>
          <w:color w:val="auto"/>
          <w:highlight w:val="none"/>
          <w:lang w:val="en-US" w:eastAsia="zh-CN"/>
        </w:rPr>
        <w:t>商贸旅游加速发展。</w:t>
      </w:r>
      <w:r>
        <w:rPr>
          <w:rFonts w:hint="eastAsia" w:ascii="仿宋" w:hAnsi="仿宋" w:eastAsia="仿宋" w:cs="仿宋"/>
          <w:color w:val="auto"/>
          <w:kern w:val="2"/>
          <w:sz w:val="32"/>
          <w:szCs w:val="24"/>
          <w:highlight w:val="none"/>
          <w:lang w:val="en-US" w:eastAsia="zh-CN" w:bidi="ar-SA"/>
        </w:rPr>
        <w:t>以新东路为轴线的中心商圈繁荣发展，全国电子商务进农村综合示范市项目成功实施，红星美凯龙、居然之家进驻武冈，农产品批发、汽车贸易、家居建材市场辐射周边数县。成功举办2018年湖南省春季乡村旅游节和湖南省第十三届运动会登山比赛（云山）；启动国家历史文化名城创建工作，都梁文旅休闲特色小镇项目开工建设；云山景区成功创建国家4A级景区；云山露营基地、嗨花弄、同保楼等3A景区建成开园，2+N旅游发展模式初步建成。累计接待游客1139.1万人次，收入73亿元以上。</w:t>
      </w:r>
    </w:p>
    <w:p w14:paraId="33FCE0AE">
      <w:pPr>
        <w:pStyle w:val="10"/>
        <w:pageBreakBefore w:val="0"/>
        <w:widowControl w:val="0"/>
        <w:kinsoku/>
        <w:wordWrap/>
        <w:overflowPunct/>
        <w:bidi w:val="0"/>
        <w:rPr>
          <w:rFonts w:hint="eastAsia" w:ascii="FangSong_GB2312" w:hAnsi="FangSong_GB2312" w:cs="FangSong_GB2312"/>
          <w:color w:val="auto"/>
          <w:sz w:val="32"/>
          <w:szCs w:val="32"/>
          <w:highlight w:val="none"/>
          <w:lang w:val="en-US" w:eastAsia="zh-CN"/>
        </w:rPr>
      </w:pPr>
      <w:r>
        <w:rPr>
          <w:color w:val="auto"/>
          <w:highlight w:val="none"/>
        </w:rPr>
        <w:drawing>
          <wp:inline distT="0" distB="0" distL="114300" distR="114300">
            <wp:extent cx="5419090" cy="2438400"/>
            <wp:effectExtent l="4445" t="4445" r="5715" b="14605"/>
            <wp:docPr id="1638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B07B3B">
      <w:pPr>
        <w:pStyle w:val="2"/>
        <w:pageBreakBefore w:val="0"/>
        <w:widowControl w:val="0"/>
        <w:kinsoku/>
        <w:wordWrap/>
        <w:overflowPunct/>
        <w:bidi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图</w:t>
      </w:r>
      <w:r>
        <w:rPr>
          <w:rFonts w:hint="eastAsia" w:ascii="仿宋" w:hAnsi="仿宋" w:eastAsia="仿宋" w:cs="仿宋"/>
          <w:color w:val="auto"/>
          <w:sz w:val="24"/>
          <w:szCs w:val="24"/>
          <w:highlight w:val="none"/>
          <w:lang w:val="en-US" w:eastAsia="zh-CN"/>
        </w:rPr>
        <w:t>1：武冈市地区生产总值增长图</w:t>
      </w:r>
    </w:p>
    <w:p w14:paraId="5CB0EEC4">
      <w:pPr>
        <w:pStyle w:val="2"/>
        <w:pageBreakBefore w:val="0"/>
        <w:widowControl w:val="0"/>
        <w:kinsoku/>
        <w:wordWrap/>
        <w:overflowPunct/>
        <w:bidi w:val="0"/>
        <w:jc w:val="center"/>
        <w:rPr>
          <w:rFonts w:hint="eastAsia" w:ascii="FangSong_GB2312" w:hAnsi="FangSong_GB2312" w:eastAsia="FangSong_GB2312" w:cs="FangSong_GB2312"/>
          <w:color w:val="auto"/>
          <w:sz w:val="28"/>
          <w:szCs w:val="28"/>
          <w:highlight w:val="none"/>
        </w:rPr>
      </w:pPr>
      <w:r>
        <w:rPr>
          <w:color w:val="auto"/>
          <w:highlight w:val="none"/>
        </w:rPr>
        <w:drawing>
          <wp:inline distT="0" distB="0" distL="114300" distR="114300">
            <wp:extent cx="5400040" cy="2733675"/>
            <wp:effectExtent l="4445" t="4445" r="5715" b="5080"/>
            <wp:docPr id="418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576C5C">
      <w:pPr>
        <w:keepNext w:val="0"/>
        <w:keepLines w:val="0"/>
        <w:pageBreakBefore w:val="0"/>
        <w:widowControl w:val="0"/>
        <w:kinsoku/>
        <w:wordWrap/>
        <w:overflowPunct/>
        <w:topLinePunct w:val="0"/>
        <w:autoSpaceDE/>
        <w:autoSpaceDN/>
        <w:bidi w:val="0"/>
        <w:adjustRightInd/>
        <w:snapToGrid/>
        <w:spacing w:before="188" w:beforeLines="60" w:after="157" w:afterLines="50" w:line="42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图</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：武冈市</w:t>
      </w:r>
      <w:r>
        <w:rPr>
          <w:rFonts w:hint="eastAsia" w:ascii="仿宋" w:hAnsi="仿宋" w:eastAsia="仿宋" w:cs="仿宋"/>
          <w:color w:val="auto"/>
          <w:sz w:val="24"/>
          <w:szCs w:val="24"/>
          <w:highlight w:val="none"/>
          <w:lang w:eastAsia="zh-CN"/>
        </w:rPr>
        <w:t>全体居民可支配收入增长图</w:t>
      </w:r>
    </w:p>
    <w:p w14:paraId="116A4195">
      <w:pPr>
        <w:pStyle w:val="2"/>
        <w:pageBreakBefore w:val="0"/>
        <w:widowControl w:val="0"/>
        <w:kinsoku/>
        <w:wordWrap/>
        <w:overflowPunct/>
        <w:bidi w:val="0"/>
        <w:jc w:val="center"/>
        <w:rPr>
          <w:rFonts w:hint="eastAsia" w:ascii="FangSong_GB2312" w:hAnsi="FangSong_GB2312" w:eastAsia="FangSong_GB2312" w:cs="FangSong_GB2312"/>
          <w:color w:val="auto"/>
          <w:sz w:val="28"/>
          <w:szCs w:val="28"/>
          <w:highlight w:val="none"/>
        </w:rPr>
      </w:pPr>
      <w:r>
        <w:rPr>
          <w:color w:val="auto"/>
          <w:highlight w:val="none"/>
        </w:rPr>
        <w:drawing>
          <wp:inline distT="0" distB="0" distL="114300" distR="114300">
            <wp:extent cx="5401310" cy="2998470"/>
            <wp:effectExtent l="4445" t="4445" r="23495" b="6985"/>
            <wp:docPr id="113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EA2E1D">
      <w:pPr>
        <w:keepNext w:val="0"/>
        <w:keepLines w:val="0"/>
        <w:pageBreakBefore w:val="0"/>
        <w:widowControl w:val="0"/>
        <w:kinsoku/>
        <w:wordWrap/>
        <w:overflowPunct/>
        <w:topLinePunct w:val="0"/>
        <w:autoSpaceDE/>
        <w:autoSpaceDN/>
        <w:bidi w:val="0"/>
        <w:adjustRightInd/>
        <w:snapToGrid/>
        <w:spacing w:after="157" w:afterLines="50" w:line="42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图3：武冈市三次产业结构变动趋势图</w:t>
      </w:r>
      <w:bookmarkStart w:id="22" w:name="_Toc4850"/>
    </w:p>
    <w:p w14:paraId="431BD8FD">
      <w:pPr>
        <w:keepNext w:val="0"/>
        <w:keepLines w:val="0"/>
        <w:pageBreakBefore w:val="0"/>
        <w:widowControl w:val="0"/>
        <w:kinsoku/>
        <w:wordWrap/>
        <w:overflowPunct/>
        <w:topLinePunct w:val="0"/>
        <w:autoSpaceDE/>
        <w:autoSpaceDN/>
        <w:bidi w:val="0"/>
        <w:adjustRightInd/>
        <w:snapToGrid w:val="0"/>
        <w:spacing w:line="610" w:lineRule="exact"/>
        <w:ind w:firstLine="641"/>
        <w:jc w:val="both"/>
        <w:textAlignment w:val="auto"/>
        <w:rPr>
          <w:rFonts w:hint="eastAsia" w:ascii="仿宋" w:hAnsi="仿宋" w:eastAsia="仿宋" w:cs="仿宋"/>
          <w:color w:val="auto"/>
          <w:kern w:val="2"/>
          <w:sz w:val="32"/>
          <w:szCs w:val="24"/>
          <w:highlight w:val="none"/>
          <w:lang w:val="en-US" w:eastAsia="zh-CN" w:bidi="ar-SA"/>
        </w:rPr>
      </w:pPr>
      <w:r>
        <w:rPr>
          <w:rFonts w:hint="eastAsia" w:ascii="楷体" w:hAnsi="楷体" w:eastAsia="楷体" w:cs="楷体"/>
          <w:b/>
          <w:bCs/>
          <w:color w:val="auto"/>
          <w:spacing w:val="0"/>
          <w:sz w:val="32"/>
          <w:szCs w:val="32"/>
          <w:highlight w:val="none"/>
          <w:lang w:val="en-US" w:eastAsia="zh-CN"/>
        </w:rPr>
        <w:t>三大攻坚战成效显著。</w:t>
      </w:r>
      <w:r>
        <w:rPr>
          <w:rFonts w:hint="eastAsia" w:ascii="仿宋" w:hAnsi="仿宋" w:eastAsia="仿宋" w:cs="仿宋"/>
          <w:color w:val="auto"/>
          <w:kern w:val="2"/>
          <w:sz w:val="32"/>
          <w:szCs w:val="24"/>
          <w:highlight w:val="none"/>
          <w:lang w:val="en-US" w:eastAsia="zh-CN" w:bidi="ar-SA"/>
        </w:rPr>
        <w:t>三大类36项小康监测指标，全面达到或超过标准。</w:t>
      </w:r>
      <w:r>
        <w:rPr>
          <w:rFonts w:hint="eastAsia" w:ascii="仿宋" w:hAnsi="仿宋" w:eastAsia="仿宋" w:cs="仿宋"/>
          <w:b/>
          <w:bCs/>
          <w:color w:val="auto"/>
          <w:highlight w:val="none"/>
          <w:lang w:val="en-US" w:eastAsia="zh-CN"/>
        </w:rPr>
        <w:t>精准脱贫成绩斐然。</w:t>
      </w:r>
      <w:r>
        <w:rPr>
          <w:rFonts w:hint="eastAsia" w:ascii="仿宋" w:hAnsi="仿宋" w:eastAsia="仿宋" w:cs="仿宋"/>
          <w:color w:val="auto"/>
          <w:kern w:val="2"/>
          <w:sz w:val="32"/>
          <w:szCs w:val="24"/>
          <w:highlight w:val="none"/>
          <w:lang w:val="en-US" w:eastAsia="zh-CN" w:bidi="ar-SA"/>
        </w:rPr>
        <w:t>“三级作战”体系指挥有力，“一体两翼”战略支撑调度有方，“19+2”行业部门精准施策，300余支驻村工作队、1100多名驻村队员、300余名包村科级干部、近7000余名帮扶责任人，数年如一日奋战帮扶一线，21个异地商会、252家企业奔赴脱贫战场建功立业。85个贫困村全部出列，如期实现脱贫摘帽，建档立卡26177户91523名贫困人口全部脱贫退出，农村居民人均可支配收入由2015年的8540元增长到14669元。易地扶贫搬迁、危房改造、健康扶贫模式、四好农村路、城乡供水一体化、电子商务进农村、义务教育学校薄弱工程改造、贫困村致富带头人培育等一批“武冈经验”全国全省推介。扶贫车间巩固脱贫成果工作经验在人民日报《壮丽70年·奋斗新时代 共和国发展成就——精准脱贫》</w:t>
      </w:r>
      <w:r>
        <w:rPr>
          <w:rFonts w:hint="eastAsia" w:ascii="仿宋" w:hAnsi="仿宋" w:eastAsia="仿宋" w:cs="仿宋"/>
          <w:color w:val="auto"/>
          <w:sz w:val="32"/>
          <w:szCs w:val="32"/>
          <w:highlight w:val="none"/>
        </w:rPr>
        <w:t>专栏推介。武冈市就业服务中心被评为湖南省事业单位脱贫攻坚专项奖励记大功集体。</w:t>
      </w:r>
      <w:r>
        <w:rPr>
          <w:rFonts w:hint="eastAsia" w:ascii="仿宋" w:hAnsi="仿宋" w:eastAsia="仿宋" w:cs="仿宋"/>
          <w:color w:val="auto"/>
          <w:spacing w:val="0"/>
          <w:sz w:val="32"/>
          <w:szCs w:val="32"/>
          <w:highlight w:val="none"/>
          <w:lang w:val="en-US" w:eastAsia="zh-CN"/>
        </w:rPr>
        <w:t>湾头桥善星小区列入全国“美丽搬迁安置区”。</w:t>
      </w:r>
      <w:r>
        <w:rPr>
          <w:rFonts w:hint="eastAsia" w:ascii="仿宋" w:hAnsi="仿宋" w:eastAsia="仿宋" w:cs="仿宋"/>
          <w:b/>
          <w:bCs/>
          <w:color w:val="auto"/>
          <w:highlight w:val="none"/>
          <w:lang w:val="en-US" w:eastAsia="zh-CN"/>
        </w:rPr>
        <w:t>污染防治取得实效。</w:t>
      </w:r>
      <w:r>
        <w:rPr>
          <w:rFonts w:hint="eastAsia" w:ascii="仿宋" w:hAnsi="仿宋" w:eastAsia="仿宋" w:cs="仿宋"/>
          <w:color w:val="auto"/>
          <w:kern w:val="2"/>
          <w:sz w:val="32"/>
          <w:szCs w:val="24"/>
          <w:highlight w:val="none"/>
          <w:lang w:val="en-US" w:eastAsia="zh-CN" w:bidi="ar-SA"/>
        </w:rPr>
        <w:t>104件中央、省环保督察反馈和交办问题全部办结，立案查处涉污企业65家。投入资金6.5亿元，深度发力蓝天、碧水、净土保卫战，严格落实河湖库长制，整治饮用水保护区环境问题，推行水源水质管护“三长三员制”，威溪水库水源地水质达标100%，主要河道水质Ⅱ、Ⅲ类保持100%。深入开展“十村示范、百村整治”行动，“六治一提”工作成效显著；编制赧水河流域污染治理规划，完成55条5公里以上河段“一河一策”；打造人居环境示范村30个、整治重点村150个。</w:t>
      </w:r>
      <w:r>
        <w:rPr>
          <w:rFonts w:hint="eastAsia" w:ascii="仿宋" w:hAnsi="仿宋" w:eastAsia="仿宋" w:cs="仿宋"/>
          <w:b/>
          <w:bCs/>
          <w:color w:val="auto"/>
          <w:highlight w:val="none"/>
          <w:lang w:val="en-US" w:eastAsia="zh-CN"/>
        </w:rPr>
        <w:t>重大风险有效防控。</w:t>
      </w:r>
      <w:r>
        <w:rPr>
          <w:rFonts w:hint="eastAsia" w:ascii="仿宋" w:hAnsi="仿宋" w:eastAsia="仿宋" w:cs="仿宋"/>
          <w:color w:val="auto"/>
          <w:kern w:val="2"/>
          <w:sz w:val="32"/>
          <w:szCs w:val="24"/>
          <w:highlight w:val="none"/>
          <w:lang w:val="en-US" w:eastAsia="zh-CN" w:bidi="ar-SA"/>
        </w:rPr>
        <w:t>着力抓好了经济社会、安全生产、金融等领域风险排查防范工作。综合运用清理盘活资产、化解债务存量、推进平台公司整合转型、设立偿债准备金等措施，五年化解债务45.35亿元，政府债务率严格控制在绿色安全区域，债务化解工作排名全省前列。完成平台公司市场化转型改革，新组建的庆丰投资公司、创新投资公司运营良好。严厉打击非法集资和多发性侵财型犯罪，金融风险得到有效防范。</w:t>
      </w:r>
      <w:bookmarkStart w:id="23" w:name="_Toc6005"/>
      <w:r>
        <w:rPr>
          <w:rFonts w:hint="eastAsia" w:ascii="仿宋" w:hAnsi="仿宋" w:eastAsia="仿宋" w:cs="仿宋"/>
          <w:color w:val="auto"/>
          <w:kern w:val="2"/>
          <w:sz w:val="32"/>
          <w:szCs w:val="24"/>
          <w:highlight w:val="none"/>
          <w:lang w:val="en-US" w:eastAsia="zh-CN" w:bidi="ar-SA"/>
        </w:rPr>
        <w:t xml:space="preserve">  </w:t>
      </w:r>
    </w:p>
    <w:p w14:paraId="6E86453E">
      <w:pPr>
        <w:keepNext w:val="0"/>
        <w:keepLines w:val="0"/>
        <w:pageBreakBefore w:val="0"/>
        <w:widowControl w:val="0"/>
        <w:kinsoku/>
        <w:wordWrap/>
        <w:overflowPunct/>
        <w:topLinePunct w:val="0"/>
        <w:autoSpaceDE/>
        <w:autoSpaceDN/>
        <w:bidi w:val="0"/>
        <w:adjustRightInd/>
        <w:snapToGrid w:val="0"/>
        <w:spacing w:line="610" w:lineRule="exact"/>
        <w:ind w:firstLine="641"/>
        <w:jc w:val="both"/>
        <w:textAlignment w:val="auto"/>
        <w:rPr>
          <w:rFonts w:hint="eastAsia" w:ascii="仿宋" w:hAnsi="仿宋" w:eastAsia="仿宋" w:cs="仿宋"/>
          <w:color w:val="auto"/>
          <w:kern w:val="2"/>
          <w:sz w:val="32"/>
          <w:szCs w:val="24"/>
          <w:highlight w:val="none"/>
          <w:lang w:val="en-US" w:eastAsia="zh-CN" w:bidi="ar-SA"/>
        </w:rPr>
      </w:pPr>
      <w:r>
        <w:rPr>
          <w:rFonts w:hint="eastAsia" w:ascii="楷体" w:hAnsi="楷体" w:eastAsia="楷体" w:cs="楷体"/>
          <w:b/>
          <w:bCs/>
          <w:color w:val="auto"/>
          <w:szCs w:val="32"/>
          <w:highlight w:val="none"/>
        </w:rPr>
        <w:t>城乡</w:t>
      </w:r>
      <w:bookmarkEnd w:id="23"/>
      <w:r>
        <w:rPr>
          <w:rFonts w:hint="eastAsia" w:ascii="楷体" w:hAnsi="楷体" w:eastAsia="楷体" w:cs="楷体"/>
          <w:b/>
          <w:bCs/>
          <w:color w:val="auto"/>
          <w:szCs w:val="32"/>
          <w:highlight w:val="none"/>
          <w:lang w:eastAsia="zh-CN"/>
        </w:rPr>
        <w:t>面貌持续改善。</w:t>
      </w:r>
      <w:r>
        <w:rPr>
          <w:rFonts w:hint="eastAsia" w:ascii="仿宋" w:hAnsi="仿宋" w:eastAsia="仿宋" w:cs="仿宋"/>
          <w:b/>
          <w:bCs/>
          <w:color w:val="auto"/>
          <w:highlight w:val="none"/>
          <w:lang w:val="en-US" w:eastAsia="zh-CN"/>
        </w:rPr>
        <w:t>城市布局得到优化。</w:t>
      </w:r>
      <w:r>
        <w:rPr>
          <w:rFonts w:hint="eastAsia" w:ascii="仿宋" w:hAnsi="仿宋" w:eastAsia="仿宋" w:cs="仿宋"/>
          <w:color w:val="auto"/>
          <w:kern w:val="2"/>
          <w:sz w:val="32"/>
          <w:szCs w:val="24"/>
          <w:highlight w:val="none"/>
          <w:lang w:val="en-US" w:eastAsia="zh-CN" w:bidi="ar-SA"/>
        </w:rPr>
        <w:t>深入实施“一核两翼三中心镇五示范镇百特色村”的城乡布局，发力“五个中心”，精心铺排“五大片区”项目，打造城市街区重要节点，“一园一山一镇一城一基地一中心”产城融合发展格局得以形成。城市建成区面积由18.03平方公里扩大到23.4平方公里，城镇化率由40.12%提高到45.45%。</w:t>
      </w:r>
      <w:r>
        <w:rPr>
          <w:rFonts w:hint="eastAsia" w:ascii="仿宋" w:hAnsi="仿宋" w:eastAsia="仿宋" w:cs="仿宋"/>
          <w:b/>
          <w:bCs/>
          <w:color w:val="auto"/>
          <w:highlight w:val="none"/>
          <w:lang w:val="en-US" w:eastAsia="zh-CN"/>
        </w:rPr>
        <w:t>城镇功能宜业宜居。</w:t>
      </w:r>
      <w:r>
        <w:rPr>
          <w:rFonts w:hint="eastAsia" w:ascii="仿宋" w:hAnsi="仿宋" w:eastAsia="仿宋" w:cs="仿宋"/>
          <w:color w:val="auto"/>
          <w:kern w:val="2"/>
          <w:sz w:val="32"/>
          <w:szCs w:val="24"/>
          <w:highlight w:val="none"/>
          <w:lang w:val="en-US" w:eastAsia="zh-CN" w:bidi="ar-SA"/>
        </w:rPr>
        <w:t>武靖高速建成通车、武冈机场通航全国12个重要城市，新东路、春光北路、机场连接线、南塔至五里牌、东升北路、云山大道等城市干道建成通车，资南路、迎春路、庆丰西路等一批道路改造提质，武马、泉迎、清法、邓家铺至新宁狮子寨、稠法等通乡通县公路建成提质，交通实现内畅外联。</w:t>
      </w:r>
      <w:r>
        <w:rPr>
          <w:rStyle w:val="24"/>
          <w:rFonts w:hint="eastAsia" w:ascii="仿宋" w:hAnsi="仿宋" w:eastAsia="仿宋" w:cs="仿宋"/>
          <w:b w:val="0"/>
          <w:bCs/>
          <w:i w:val="0"/>
          <w:caps w:val="0"/>
          <w:color w:val="auto"/>
          <w:spacing w:val="0"/>
          <w:sz w:val="32"/>
          <w:szCs w:val="32"/>
          <w:highlight w:val="none"/>
          <w:vertAlign w:val="baseline"/>
        </w:rPr>
        <w:t>公路水路交通建设年度目标完成情况好，</w:t>
      </w:r>
      <w:r>
        <w:rPr>
          <w:rStyle w:val="24"/>
          <w:rFonts w:hint="eastAsia" w:ascii="仿宋" w:hAnsi="仿宋" w:eastAsia="仿宋" w:cs="仿宋"/>
          <w:b w:val="0"/>
          <w:bCs/>
          <w:i w:val="0"/>
          <w:caps w:val="0"/>
          <w:color w:val="auto"/>
          <w:spacing w:val="0"/>
          <w:sz w:val="32"/>
          <w:szCs w:val="32"/>
          <w:highlight w:val="none"/>
          <w:vertAlign w:val="baseline"/>
          <w:lang w:eastAsia="zh-CN"/>
        </w:rPr>
        <w:t>获评</w:t>
      </w:r>
      <w:r>
        <w:rPr>
          <w:rStyle w:val="24"/>
          <w:rFonts w:hint="eastAsia" w:ascii="仿宋" w:hAnsi="仿宋" w:eastAsia="仿宋" w:cs="仿宋"/>
          <w:b w:val="0"/>
          <w:bCs/>
          <w:i w:val="0"/>
          <w:caps w:val="0"/>
          <w:color w:val="auto"/>
          <w:spacing w:val="0"/>
          <w:sz w:val="32"/>
          <w:szCs w:val="32"/>
          <w:highlight w:val="none"/>
          <w:vertAlign w:val="baseline"/>
        </w:rPr>
        <w:t>“四好”交通成效明显</w:t>
      </w:r>
      <w:r>
        <w:rPr>
          <w:rStyle w:val="24"/>
          <w:rFonts w:hint="eastAsia" w:ascii="仿宋" w:hAnsi="仿宋" w:eastAsia="仿宋" w:cs="仿宋"/>
          <w:b w:val="0"/>
          <w:bCs/>
          <w:i w:val="0"/>
          <w:caps w:val="0"/>
          <w:color w:val="auto"/>
          <w:spacing w:val="0"/>
          <w:sz w:val="32"/>
          <w:szCs w:val="32"/>
          <w:highlight w:val="none"/>
          <w:vertAlign w:val="baseline"/>
          <w:lang w:eastAsia="zh-CN"/>
        </w:rPr>
        <w:t>县</w:t>
      </w:r>
      <w:r>
        <w:rPr>
          <w:rStyle w:val="24"/>
          <w:rFonts w:hint="eastAsia" w:ascii="仿宋" w:hAnsi="仿宋" w:eastAsia="仿宋" w:cs="仿宋"/>
          <w:b w:val="0"/>
          <w:bCs/>
          <w:i w:val="0"/>
          <w:caps w:val="0"/>
          <w:color w:val="auto"/>
          <w:spacing w:val="0"/>
          <w:sz w:val="32"/>
          <w:szCs w:val="32"/>
          <w:highlight w:val="none"/>
          <w:vertAlign w:val="baseline"/>
          <w:lang w:val="en-US" w:eastAsia="zh-CN"/>
        </w:rPr>
        <w:t>(</w:t>
      </w:r>
      <w:r>
        <w:rPr>
          <w:rStyle w:val="24"/>
          <w:rFonts w:hint="eastAsia" w:ascii="仿宋" w:hAnsi="仿宋" w:eastAsia="仿宋" w:cs="仿宋"/>
          <w:b w:val="0"/>
          <w:bCs/>
          <w:i w:val="0"/>
          <w:caps w:val="0"/>
          <w:color w:val="auto"/>
          <w:spacing w:val="0"/>
          <w:sz w:val="32"/>
          <w:szCs w:val="32"/>
          <w:highlight w:val="none"/>
          <w:vertAlign w:val="baseline"/>
          <w:lang w:eastAsia="zh-CN"/>
        </w:rPr>
        <w:t>市</w:t>
      </w:r>
      <w:r>
        <w:rPr>
          <w:rStyle w:val="24"/>
          <w:rFonts w:hint="eastAsia" w:ascii="仿宋" w:hAnsi="仿宋" w:eastAsia="仿宋" w:cs="仿宋"/>
          <w:b w:val="0"/>
          <w:bCs/>
          <w:i w:val="0"/>
          <w:caps w:val="0"/>
          <w:color w:val="auto"/>
          <w:spacing w:val="0"/>
          <w:sz w:val="32"/>
          <w:szCs w:val="32"/>
          <w:highlight w:val="none"/>
          <w:vertAlign w:val="baseline"/>
          <w:lang w:val="en-US" w:eastAsia="zh-CN"/>
        </w:rPr>
        <w:t>)</w:t>
      </w:r>
      <w:r>
        <w:rPr>
          <w:rStyle w:val="24"/>
          <w:rFonts w:hint="eastAsia" w:ascii="仿宋" w:hAnsi="仿宋" w:eastAsia="仿宋" w:cs="仿宋"/>
          <w:b w:val="0"/>
          <w:bCs/>
          <w:i w:val="0"/>
          <w:caps w:val="0"/>
          <w:color w:val="auto"/>
          <w:spacing w:val="0"/>
          <w:sz w:val="32"/>
          <w:szCs w:val="32"/>
          <w:highlight w:val="none"/>
          <w:vertAlign w:val="baseline"/>
          <w:lang w:eastAsia="zh-CN"/>
        </w:rPr>
        <w:t>。</w:t>
      </w:r>
      <w:r>
        <w:rPr>
          <w:rFonts w:hint="eastAsia" w:ascii="仿宋" w:hAnsi="仿宋" w:eastAsia="仿宋" w:cs="仿宋"/>
          <w:color w:val="auto"/>
          <w:kern w:val="2"/>
          <w:sz w:val="32"/>
          <w:szCs w:val="24"/>
          <w:highlight w:val="none"/>
          <w:lang w:val="en-US" w:eastAsia="zh-CN" w:bidi="ar-SA"/>
        </w:rPr>
        <w:t>整治马路市场31处、交通顽瘴痼疾441处，城乡垃圾清运全域覆盖。全面实行城区禁炮，城市管理重心下移，数字城管和智能交通等项目推进实施，城镇精细化管理水平大幅提升。</w:t>
      </w:r>
      <w:r>
        <w:rPr>
          <w:rFonts w:hint="eastAsia" w:ascii="仿宋" w:hAnsi="仿宋" w:eastAsia="仿宋" w:cs="仿宋"/>
          <w:b/>
          <w:bCs/>
          <w:color w:val="auto"/>
          <w:highlight w:val="none"/>
          <w:lang w:val="en-US" w:eastAsia="zh-CN"/>
        </w:rPr>
        <w:t>乡村条件大为改观。</w:t>
      </w:r>
      <w:r>
        <w:rPr>
          <w:rFonts w:hint="eastAsia" w:ascii="仿宋" w:hAnsi="仿宋" w:eastAsia="仿宋" w:cs="仿宋"/>
          <w:color w:val="auto"/>
          <w:kern w:val="2"/>
          <w:sz w:val="32"/>
          <w:szCs w:val="24"/>
          <w:highlight w:val="none"/>
          <w:lang w:val="en-US" w:eastAsia="zh-CN" w:bidi="ar-SA"/>
        </w:rPr>
        <w:t>六项改革在乡村全面打响，完成农村危房改造13336户、163所农村义务教育薄弱学校改造，新建村级卫生室299所、村级综合服务平台299个、乡镇政务服务中心18个。率先在全省实施城乡供水一体化PPP项目，实现自来水城乡同网、同质、同价。所有村组通水泥路，行政村通班车、有路灯，村级综合服务平台等公共服务能力显著提升。成功创建湖南省森林城市，农村卫生厕所普及82.27%，建成秀美村庄66个，省级美丽乡村3个，国家级森林乡村3个。湾头桥镇、邓元泰镇等5个美丽乡村示范镇，司马冲镇杨梅村、邓家铺镇扶峰村等37个美丽乡村</w:t>
      </w:r>
      <w:r>
        <w:rPr>
          <w:rFonts w:hint="eastAsia" w:ascii="仿宋" w:hAnsi="仿宋" w:eastAsia="仿宋" w:cs="仿宋"/>
          <w:color w:val="auto"/>
          <w:spacing w:val="-6"/>
          <w:kern w:val="2"/>
          <w:sz w:val="32"/>
          <w:szCs w:val="24"/>
          <w:highlight w:val="none"/>
          <w:lang w:val="en-US" w:eastAsia="zh-CN" w:bidi="ar-SA"/>
        </w:rPr>
        <w:t>示范村建设顺利开展，“四边五年”绿色行动造林及抚育19万亩。</w:t>
      </w:r>
    </w:p>
    <w:p w14:paraId="2E9370A4">
      <w:pPr>
        <w:keepNext w:val="0"/>
        <w:keepLines w:val="0"/>
        <w:pageBreakBefore w:val="0"/>
        <w:widowControl w:val="0"/>
        <w:kinsoku/>
        <w:wordWrap/>
        <w:overflowPunct/>
        <w:topLinePunct w:val="0"/>
        <w:autoSpaceDE/>
        <w:autoSpaceDN/>
        <w:bidi w:val="0"/>
        <w:adjustRightInd/>
        <w:snapToGrid w:val="0"/>
        <w:spacing w:line="610" w:lineRule="exact"/>
        <w:ind w:firstLine="641"/>
        <w:jc w:val="both"/>
        <w:textAlignment w:val="auto"/>
        <w:rPr>
          <w:rFonts w:hint="eastAsia" w:ascii="仿宋" w:hAnsi="仿宋" w:eastAsia="仿宋" w:cs="仿宋"/>
          <w:color w:val="auto"/>
          <w:kern w:val="2"/>
          <w:sz w:val="32"/>
          <w:szCs w:val="24"/>
          <w:highlight w:val="none"/>
          <w:lang w:val="en-US" w:eastAsia="zh-CN" w:bidi="ar-SA"/>
        </w:rPr>
      </w:pPr>
      <w:r>
        <w:rPr>
          <w:rFonts w:hint="eastAsia" w:ascii="楷体" w:hAnsi="楷体" w:eastAsia="楷体" w:cs="楷体"/>
          <w:b/>
          <w:bCs/>
          <w:color w:val="auto"/>
          <w:szCs w:val="32"/>
          <w:highlight w:val="none"/>
        </w:rPr>
        <w:t>发展动能加速集聚</w:t>
      </w:r>
      <w:bookmarkEnd w:id="22"/>
      <w:r>
        <w:rPr>
          <w:rFonts w:hint="eastAsia" w:ascii="楷体" w:hAnsi="楷体" w:eastAsia="楷体" w:cs="楷体"/>
          <w:b/>
          <w:bCs/>
          <w:color w:val="auto"/>
          <w:szCs w:val="32"/>
          <w:highlight w:val="none"/>
          <w:lang w:eastAsia="zh-CN"/>
        </w:rPr>
        <w:t>。</w:t>
      </w:r>
      <w:r>
        <w:rPr>
          <w:rFonts w:hint="eastAsia" w:ascii="仿宋" w:hAnsi="仿宋" w:eastAsia="仿宋" w:cs="仿宋"/>
          <w:b/>
          <w:bCs/>
          <w:color w:val="auto"/>
          <w:highlight w:val="none"/>
          <w:lang w:val="en-US" w:eastAsia="zh-CN"/>
        </w:rPr>
        <w:t>供给侧结构性改革不断深化。</w:t>
      </w:r>
      <w:r>
        <w:rPr>
          <w:rFonts w:hint="eastAsia" w:ascii="仿宋" w:hAnsi="仿宋" w:eastAsia="仿宋" w:cs="仿宋"/>
          <w:color w:val="auto"/>
          <w:kern w:val="2"/>
          <w:sz w:val="32"/>
          <w:szCs w:val="24"/>
          <w:highlight w:val="none"/>
          <w:lang w:val="en-US" w:eastAsia="zh-CN" w:bidi="ar-SA"/>
        </w:rPr>
        <w:t>坚决淘汰落后产能，关停退出造纸、煤炭、烟花爆竹、采砂等企业74家。实施清洁能源替代工程，天然气、液化气普及率达87.93%，园区大部分企业实现煤改气。商品房预售总量达173.5万平方米，房地产市场供需保持总体平稳。</w:t>
      </w:r>
      <w:r>
        <w:rPr>
          <w:rFonts w:hint="eastAsia" w:ascii="仿宋" w:hAnsi="仿宋" w:eastAsia="仿宋" w:cs="仿宋"/>
          <w:b/>
          <w:bCs/>
          <w:color w:val="auto"/>
          <w:highlight w:val="none"/>
          <w:lang w:val="en-US" w:eastAsia="zh-CN"/>
        </w:rPr>
        <w:t>重点领域改革加速推进。</w:t>
      </w:r>
      <w:r>
        <w:rPr>
          <w:rFonts w:hint="eastAsia" w:ascii="仿宋" w:hAnsi="仿宋" w:eastAsia="仿宋" w:cs="仿宋"/>
          <w:color w:val="auto"/>
          <w:kern w:val="2"/>
          <w:sz w:val="32"/>
          <w:szCs w:val="24"/>
          <w:highlight w:val="none"/>
          <w:lang w:val="en-US" w:eastAsia="zh-CN" w:bidi="ar-SA"/>
        </w:rPr>
        <w:t>深化“放管服”改革，367项行政权力和公共服务事项下放至乡镇，181个事项实现“一件事一次办”，办结提速50%。巩固和深化机构改革成果，调整职能职责125项，减少科级事业单位14个，8个经营类事业单位改革全面完成，顺利完成公务用车制度改革。农村集体土地承包经营权确权颁证工作全国先进，供销社综合改革后成为“全国百强县级社”。</w:t>
      </w:r>
      <w:r>
        <w:rPr>
          <w:rFonts w:hint="eastAsia" w:ascii="仿宋" w:hAnsi="仿宋" w:eastAsia="仿宋" w:cs="仿宋"/>
          <w:b/>
          <w:bCs/>
          <w:color w:val="auto"/>
          <w:highlight w:val="none"/>
          <w:lang w:val="en-US" w:eastAsia="zh-CN"/>
        </w:rPr>
        <w:t>开放活力持续增强。</w:t>
      </w:r>
      <w:r>
        <w:rPr>
          <w:rFonts w:hint="eastAsia" w:ascii="仿宋" w:hAnsi="仿宋" w:eastAsia="仿宋" w:cs="仿宋"/>
          <w:color w:val="auto"/>
          <w:kern w:val="2"/>
          <w:sz w:val="32"/>
          <w:szCs w:val="24"/>
          <w:highlight w:val="none"/>
          <w:lang w:val="en-US" w:eastAsia="zh-CN" w:bidi="ar-SA"/>
        </w:rPr>
        <w:t>充分发挥异地武冈商会、乡镇（街道）商会作用，完善招商引资激励机制。累计利用内资319.9亿元，年均增长19.4%；累计利用外资19400万美元，年均增长13.6%；出口额增加到2160万美元，年均增长78.24%，位居邵阳首位；引进投资10亿元以上项目12个、世界500强企业3家、中国500强企业2家、民营500强企业2家；市场主体由2015年的1239家发展到4212家，年均增长28%。</w:t>
      </w:r>
      <w:bookmarkStart w:id="24" w:name="_Toc11332"/>
    </w:p>
    <w:p w14:paraId="141E0A78">
      <w:pPr>
        <w:pStyle w:val="1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10" w:lineRule="exact"/>
        <w:ind w:left="0" w:right="0" w:firstLine="643" w:firstLineChars="200"/>
        <w:jc w:val="both"/>
        <w:textAlignment w:val="baseline"/>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sz w:val="32"/>
          <w:szCs w:val="32"/>
          <w:highlight w:val="none"/>
        </w:rPr>
        <w:t>民生福祉不断增进</w:t>
      </w:r>
      <w:bookmarkEnd w:id="24"/>
      <w:r>
        <w:rPr>
          <w:rFonts w:hint="eastAsia" w:ascii="楷体" w:hAnsi="楷体" w:eastAsia="楷体" w:cs="楷体"/>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教育事业全面进步。</w:t>
      </w:r>
      <w:r>
        <w:rPr>
          <w:rFonts w:hint="eastAsia" w:ascii="仿宋" w:hAnsi="仿宋" w:eastAsia="仿宋" w:cs="仿宋"/>
          <w:color w:val="auto"/>
          <w:kern w:val="2"/>
          <w:sz w:val="32"/>
          <w:szCs w:val="32"/>
          <w:highlight w:val="none"/>
          <w:lang w:val="en-US" w:eastAsia="zh-CN" w:bidi="ar-SA"/>
        </w:rPr>
        <w:t>教育均衡发展不断实现，提质改造新东中心小学、武冈二中、职业中专等学校，思源实验学校、湖南师大附中、武冈市实验中学、武冈市第二实验小学投入使用，849个城乡大班额全面消除。两所芙蓉学校建设有序推进，3个公办中心幼儿园全面建成。职业教育培训及就业帮扶14.7万人。先后获得国家“义务教育基本均衡县市”、“义务教育质量监测工作先进单位”、湖南省“教育强县市”和“职业教育先进县市”称号。</w:t>
      </w:r>
      <w:r>
        <w:rPr>
          <w:rFonts w:hint="eastAsia" w:ascii="仿宋" w:hAnsi="仿宋" w:eastAsia="仿宋" w:cs="仿宋"/>
          <w:b/>
          <w:bCs/>
          <w:color w:val="auto"/>
          <w:sz w:val="32"/>
          <w:szCs w:val="32"/>
          <w:highlight w:val="none"/>
        </w:rPr>
        <w:t>医疗卫生事业全面发展。</w:t>
      </w:r>
      <w:r>
        <w:rPr>
          <w:rFonts w:hint="eastAsia" w:ascii="仿宋" w:hAnsi="仿宋" w:eastAsia="仿宋" w:cs="仿宋"/>
          <w:color w:val="auto"/>
          <w:kern w:val="2"/>
          <w:sz w:val="32"/>
          <w:szCs w:val="32"/>
          <w:highlight w:val="none"/>
          <w:lang w:val="en-US" w:eastAsia="zh-CN" w:bidi="ar-SA"/>
        </w:rPr>
        <w:t>投入14.4亿元用于医疗基础设施建设，建成299个标准卫生室，14个乡镇卫生院和7个社区卫生服务中心。市疾控中心综合楼、市人民医院门诊医技楼、市中医医院综合楼建成投入使用。市人民医院获批全省首批县级三级综合医院，市中医医院成功创建二甲中医院</w:t>
      </w:r>
      <w:r>
        <w:rPr>
          <w:rFonts w:hint="eastAsia" w:ascii="仿宋" w:hAnsi="仿宋" w:eastAsia="仿宋" w:cs="仿宋"/>
          <w:color w:val="auto"/>
          <w:kern w:val="2"/>
          <w:sz w:val="32"/>
          <w:szCs w:val="32"/>
          <w:highlight w:val="none"/>
          <w:lang w:val="zh-CN" w:eastAsia="zh-CN" w:bidi="ar-SA"/>
        </w:rPr>
        <w:t>，市乡村三级联动医疗服务体系基本建成，实现“小病不出村、常见病不出乡、大病不出市”</w:t>
      </w:r>
      <w:r>
        <w:rPr>
          <w:rFonts w:hint="eastAsia" w:ascii="仿宋" w:hAnsi="仿宋" w:eastAsia="仿宋" w:cs="仿宋"/>
          <w:color w:val="auto"/>
          <w:kern w:val="2"/>
          <w:sz w:val="32"/>
          <w:szCs w:val="32"/>
          <w:highlight w:val="none"/>
          <w:lang w:val="en-US" w:eastAsia="zh-CN" w:bidi="ar-SA"/>
        </w:rPr>
        <w:t>。特别是新冠肺炎疫情发生后，建成核酸检测中心6个，全面构建起“点、线、面”网格化立体防控体系和村“1+4”、社区“1+8”工作力量体系，外防输入、内防扩散，取得了抗击新冠肺炎疫情斗争重大胜利。在</w:t>
      </w:r>
      <w:r>
        <w:rPr>
          <w:rStyle w:val="24"/>
          <w:rFonts w:hint="eastAsia" w:ascii="仿宋" w:hAnsi="仿宋" w:eastAsia="仿宋" w:cs="仿宋"/>
          <w:b w:val="0"/>
          <w:bCs/>
          <w:i w:val="0"/>
          <w:caps w:val="0"/>
          <w:color w:val="auto"/>
          <w:spacing w:val="0"/>
          <w:sz w:val="32"/>
          <w:szCs w:val="32"/>
          <w:highlight w:val="none"/>
          <w:vertAlign w:val="baseline"/>
        </w:rPr>
        <w:t>扎实开展突发公共卫生事件应急响应和公共卫生防治体系建设，推进公立医院综合改革、医保重点改革和“互联网+医疗健康”成效明显</w:t>
      </w:r>
      <w:r>
        <w:rPr>
          <w:rStyle w:val="24"/>
          <w:rFonts w:hint="eastAsia" w:ascii="仿宋" w:hAnsi="仿宋" w:eastAsia="仿宋" w:cs="仿宋"/>
          <w:b w:val="0"/>
          <w:bCs/>
          <w:i w:val="0"/>
          <w:caps w:val="0"/>
          <w:color w:val="auto"/>
          <w:spacing w:val="0"/>
          <w:sz w:val="32"/>
          <w:szCs w:val="32"/>
          <w:highlight w:val="none"/>
          <w:vertAlign w:val="baseline"/>
          <w:lang w:eastAsia="zh-CN"/>
        </w:rPr>
        <w:t>，获省政府真抓实干表扬激励。</w:t>
      </w:r>
      <w:r>
        <w:rPr>
          <w:rFonts w:hint="eastAsia" w:ascii="仿宋" w:hAnsi="仿宋" w:eastAsia="仿宋" w:cs="仿宋"/>
          <w:b/>
          <w:bCs/>
          <w:color w:val="auto"/>
          <w:sz w:val="32"/>
          <w:szCs w:val="32"/>
          <w:highlight w:val="none"/>
        </w:rPr>
        <w:t>文体事业</w:t>
      </w:r>
      <w:r>
        <w:rPr>
          <w:rFonts w:hint="eastAsia" w:ascii="仿宋" w:hAnsi="仿宋" w:eastAsia="仿宋" w:cs="仿宋"/>
          <w:b/>
          <w:bCs/>
          <w:color w:val="auto"/>
          <w:sz w:val="32"/>
          <w:szCs w:val="32"/>
          <w:highlight w:val="none"/>
          <w:lang w:eastAsia="zh-CN"/>
        </w:rPr>
        <w:t>繁荣发展</w:t>
      </w:r>
      <w:r>
        <w:rPr>
          <w:rFonts w:hint="eastAsia" w:ascii="仿宋" w:hAnsi="仿宋" w:eastAsia="仿宋" w:cs="仿宋"/>
          <w:b/>
          <w:bCs/>
          <w:color w:val="auto"/>
          <w:sz w:val="32"/>
          <w:szCs w:val="32"/>
          <w:highlight w:val="none"/>
        </w:rPr>
        <w:t>。</w:t>
      </w:r>
      <w:r>
        <w:rPr>
          <w:rFonts w:hint="eastAsia" w:ascii="仿宋" w:hAnsi="仿宋" w:eastAsia="仿宋" w:cs="仿宋"/>
          <w:color w:val="auto"/>
          <w:kern w:val="2"/>
          <w:sz w:val="32"/>
          <w:szCs w:val="32"/>
          <w:highlight w:val="none"/>
          <w:lang w:val="en-US" w:eastAsia="zh-CN" w:bidi="ar-SA"/>
        </w:rPr>
        <w:t>村级文化广场、农家书屋、村村响全覆盖。建成留守儿童之家315个，农家书屋藏书达157.5万册。文物保护和非遗传承扎实有效，“春晚进农家”、广场舞大赛、职工篮球</w:t>
      </w:r>
      <w:r>
        <w:rPr>
          <w:rFonts w:hint="eastAsia" w:ascii="仿宋" w:hAnsi="仿宋" w:eastAsia="仿宋" w:cs="仿宋"/>
          <w:color w:val="auto"/>
          <w:kern w:val="2"/>
          <w:sz w:val="32"/>
          <w:szCs w:val="24"/>
          <w:highlight w:val="none"/>
          <w:lang w:val="en-US" w:eastAsia="zh-CN" w:bidi="ar-SA"/>
        </w:rPr>
        <w:t>赛等群众文体活动深入民心，田径、摔跤等竞技体育在全国大型赛事中取得好成绩。获评</w:t>
      </w:r>
      <w:r>
        <w:rPr>
          <w:rStyle w:val="24"/>
          <w:rFonts w:hint="eastAsia" w:ascii="仿宋" w:hAnsi="仿宋" w:eastAsia="仿宋" w:cs="仿宋"/>
          <w:b w:val="0"/>
          <w:bCs/>
          <w:i w:val="0"/>
          <w:caps w:val="0"/>
          <w:color w:val="auto"/>
          <w:spacing w:val="0"/>
          <w:sz w:val="32"/>
          <w:szCs w:val="32"/>
          <w:highlight w:val="none"/>
          <w:vertAlign w:val="baseline"/>
        </w:rPr>
        <w:t>完成现代公共文化服务体系建设三年行动计划和全域旅游示范区创建等工作成效明显</w:t>
      </w:r>
      <w:r>
        <w:rPr>
          <w:rStyle w:val="24"/>
          <w:rFonts w:hint="eastAsia" w:ascii="仿宋" w:hAnsi="仿宋" w:eastAsia="仿宋" w:cs="仿宋"/>
          <w:b w:val="0"/>
          <w:bCs/>
          <w:i w:val="0"/>
          <w:caps w:val="0"/>
          <w:color w:val="auto"/>
          <w:spacing w:val="0"/>
          <w:sz w:val="32"/>
          <w:szCs w:val="32"/>
          <w:highlight w:val="none"/>
          <w:vertAlign w:val="baseline"/>
          <w:lang w:eastAsia="zh-CN"/>
        </w:rPr>
        <w:t>市。</w:t>
      </w:r>
      <w:r>
        <w:rPr>
          <w:rFonts w:hint="eastAsia" w:ascii="仿宋" w:hAnsi="仿宋" w:eastAsia="仿宋" w:cs="仿宋"/>
          <w:b/>
          <w:bCs/>
          <w:color w:val="auto"/>
          <w:sz w:val="32"/>
          <w:szCs w:val="32"/>
          <w:highlight w:val="none"/>
        </w:rPr>
        <w:t>社会保障坚实有力。</w:t>
      </w:r>
      <w:r>
        <w:rPr>
          <w:rFonts w:hint="eastAsia" w:ascii="仿宋" w:hAnsi="仿宋" w:eastAsia="仿宋" w:cs="仿宋"/>
          <w:color w:val="auto"/>
          <w:kern w:val="2"/>
          <w:sz w:val="32"/>
          <w:szCs w:val="32"/>
          <w:highlight w:val="none"/>
          <w:lang w:val="en-US" w:eastAsia="zh-CN" w:bidi="ar-SA"/>
        </w:rPr>
        <w:t>跻身“中国社会保障百佳县市”。新增城镇就业、新增农村劳动力转移就业等指标均超额完成，困难群体就业途径多样，得到充分保障，城镇登记失业率控制在4.5%以内，被评为</w:t>
      </w:r>
      <w:r>
        <w:rPr>
          <w:rStyle w:val="24"/>
          <w:rFonts w:hint="eastAsia" w:ascii="仿宋" w:hAnsi="仿宋" w:eastAsia="仿宋" w:cs="仿宋"/>
          <w:b w:val="0"/>
          <w:bCs/>
          <w:i w:val="0"/>
          <w:caps w:val="0"/>
          <w:color w:val="auto"/>
          <w:spacing w:val="0"/>
          <w:sz w:val="32"/>
          <w:szCs w:val="32"/>
          <w:highlight w:val="none"/>
          <w:vertAlign w:val="baseline"/>
        </w:rPr>
        <w:t>落实促进就业和“双创”等政策措施成效明显</w:t>
      </w:r>
      <w:r>
        <w:rPr>
          <w:rFonts w:hint="eastAsia" w:ascii="仿宋" w:hAnsi="仿宋" w:eastAsia="仿宋" w:cs="仿宋"/>
          <w:color w:val="auto"/>
          <w:kern w:val="2"/>
          <w:sz w:val="32"/>
          <w:szCs w:val="32"/>
          <w:highlight w:val="none"/>
          <w:lang w:val="en-US" w:eastAsia="zh-CN" w:bidi="ar-SA"/>
        </w:rPr>
        <w:t>县(</w:t>
      </w:r>
      <w:r>
        <w:rPr>
          <w:rStyle w:val="24"/>
          <w:rFonts w:hint="eastAsia" w:ascii="仿宋" w:hAnsi="仿宋" w:eastAsia="仿宋" w:cs="仿宋"/>
          <w:b w:val="0"/>
          <w:bCs/>
          <w:i w:val="0"/>
          <w:caps w:val="0"/>
          <w:color w:val="auto"/>
          <w:spacing w:val="0"/>
          <w:sz w:val="32"/>
          <w:szCs w:val="32"/>
          <w:highlight w:val="none"/>
          <w:vertAlign w:val="baseline"/>
        </w:rPr>
        <w:t>市</w:t>
      </w:r>
      <w:r>
        <w:rPr>
          <w:rStyle w:val="24"/>
          <w:rFonts w:hint="eastAsia" w:ascii="仿宋" w:hAnsi="仿宋" w:eastAsia="仿宋" w:cs="仿宋"/>
          <w:b w:val="0"/>
          <w:bCs/>
          <w:i w:val="0"/>
          <w:caps w:val="0"/>
          <w:color w:val="auto"/>
          <w:spacing w:val="0"/>
          <w:sz w:val="32"/>
          <w:szCs w:val="32"/>
          <w:highlight w:val="none"/>
          <w:vertAlign w:val="baseline"/>
          <w:lang w:val="en-US" w:eastAsia="zh-CN"/>
        </w:rPr>
        <w:t>)</w:t>
      </w:r>
      <w:r>
        <w:rPr>
          <w:rStyle w:val="24"/>
          <w:rFonts w:hint="eastAsia" w:ascii="仿宋" w:hAnsi="仿宋" w:eastAsia="仿宋" w:cs="仿宋"/>
          <w:b w:val="0"/>
          <w:bCs/>
          <w:i w:val="0"/>
          <w:caps w:val="0"/>
          <w:color w:val="auto"/>
          <w:spacing w:val="0"/>
          <w:sz w:val="32"/>
          <w:szCs w:val="32"/>
          <w:highlight w:val="none"/>
          <w:vertAlign w:val="baseline"/>
          <w:lang w:eastAsia="zh-CN"/>
        </w:rPr>
        <w:t>。</w:t>
      </w:r>
      <w:r>
        <w:rPr>
          <w:rFonts w:hint="eastAsia" w:ascii="仿宋" w:hAnsi="仿宋" w:eastAsia="仿宋" w:cs="仿宋"/>
          <w:color w:val="auto"/>
          <w:kern w:val="2"/>
          <w:sz w:val="32"/>
          <w:szCs w:val="32"/>
          <w:highlight w:val="none"/>
          <w:lang w:val="en-US" w:eastAsia="zh-CN" w:bidi="ar-SA"/>
        </w:rPr>
        <w:t>深入实施全民参保登记计划，“两险”覆盖人数和基金规模实现同步增长。社会保障体系实现城乡全覆盖，社会救助机制更加完善，符合低保标准的家庭实现“应保尽保”。积极构筑养老、孝老、敬老政策体系和社会环境，完成湾头桥镇等5个中心敬老院和福利中心建设，提质改造14家敬老院，养老床位增加到4768张。完成城中村和棚户区改造12580户、农村危房改造13336户、易地搬迁3192户，建成公共租赁住房1038套，困难群众住房需求得到保障。</w:t>
      </w:r>
    </w:p>
    <w:p w14:paraId="433DEB2C">
      <w:pPr>
        <w:keepNext w:val="0"/>
        <w:keepLines w:val="0"/>
        <w:pageBreakBefore w:val="0"/>
        <w:widowControl w:val="0"/>
        <w:kinsoku/>
        <w:wordWrap/>
        <w:overflowPunct/>
        <w:topLinePunct w:val="0"/>
        <w:autoSpaceDE/>
        <w:autoSpaceDN/>
        <w:bidi w:val="0"/>
        <w:adjustRightInd/>
        <w:snapToGrid w:val="0"/>
        <w:spacing w:line="610" w:lineRule="exact"/>
        <w:ind w:firstLine="641"/>
        <w:jc w:val="both"/>
        <w:textAlignment w:val="auto"/>
        <w:rPr>
          <w:rFonts w:hint="eastAsia" w:ascii="仿宋" w:hAnsi="仿宋" w:eastAsia="仿宋" w:cs="仿宋"/>
          <w:color w:val="auto"/>
          <w:spacing w:val="0"/>
          <w:sz w:val="32"/>
          <w:szCs w:val="32"/>
          <w:highlight w:val="none"/>
          <w:lang w:eastAsia="zh-CN"/>
        </w:rPr>
      </w:pPr>
      <w:r>
        <w:rPr>
          <w:rFonts w:hint="eastAsia" w:ascii="楷体" w:hAnsi="楷体" w:eastAsia="楷体" w:cs="楷体"/>
          <w:b/>
          <w:bCs/>
          <w:color w:val="auto"/>
          <w:spacing w:val="0"/>
          <w:sz w:val="32"/>
          <w:szCs w:val="32"/>
          <w:highlight w:val="none"/>
          <w:lang w:eastAsia="zh-CN"/>
        </w:rPr>
        <w:t>社会大局和谐稳定。</w:t>
      </w:r>
      <w:r>
        <w:rPr>
          <w:rFonts w:hint="eastAsia" w:ascii="仿宋" w:hAnsi="仿宋" w:eastAsia="仿宋" w:cs="仿宋"/>
          <w:b/>
          <w:bCs/>
          <w:color w:val="auto"/>
          <w:sz w:val="32"/>
          <w:szCs w:val="32"/>
          <w:highlight w:val="none"/>
          <w:lang w:val="en-US" w:eastAsia="zh-CN"/>
        </w:rPr>
        <w:t>法治建设迈出新步伐。</w:t>
      </w:r>
      <w:r>
        <w:rPr>
          <w:rFonts w:hint="eastAsia" w:ascii="仿宋" w:hAnsi="仿宋" w:eastAsia="仿宋" w:cs="仿宋"/>
          <w:color w:val="auto"/>
          <w:kern w:val="2"/>
          <w:sz w:val="32"/>
          <w:szCs w:val="24"/>
          <w:highlight w:val="none"/>
          <w:lang w:val="en-US" w:eastAsia="zh-CN" w:bidi="ar-SA"/>
        </w:rPr>
        <w:t>创新推行“三个一线”工作法，信访矛盾当年化解率达99%。稳妥处置裕轮燃气等非法集资案，金融陈案100%化解。农商行实现公职人员不良贷款和小额扶贫信贷“清零”。新时代文明实践“三三三四六”武冈模式在《人民日报》等主流媒体报道推介。</w:t>
      </w:r>
      <w:r>
        <w:rPr>
          <w:rFonts w:hint="eastAsia" w:ascii="仿宋" w:hAnsi="仿宋" w:eastAsia="仿宋" w:cs="仿宋"/>
          <w:b/>
          <w:bCs/>
          <w:color w:val="auto"/>
          <w:kern w:val="2"/>
          <w:sz w:val="32"/>
          <w:szCs w:val="32"/>
          <w:highlight w:val="none"/>
          <w:lang w:val="en-US" w:eastAsia="zh-CN" w:bidi="ar-SA"/>
        </w:rPr>
        <w:t>社会治理有效加强。</w:t>
      </w:r>
      <w:r>
        <w:rPr>
          <w:rFonts w:hint="eastAsia" w:ascii="仿宋" w:hAnsi="仿宋" w:eastAsia="仿宋" w:cs="仿宋"/>
          <w:color w:val="auto"/>
          <w:spacing w:val="0"/>
          <w:sz w:val="32"/>
          <w:szCs w:val="32"/>
          <w:highlight w:val="none"/>
          <w:lang w:val="en-US" w:eastAsia="zh-CN"/>
        </w:rPr>
        <w:t>深入开展全国市域社会治理现代化合格城市试点，市、乡、村三级综治中心、综治视联网、公共法律服务平台基本建成。深入开展扫黑除恶专项斗争和打好禁毒人民战争，公众安全感满意度保持在90%以上，荣获全省平安县（市）。“一村一辅警”工作经验全国推介。</w:t>
      </w:r>
      <w:r>
        <w:rPr>
          <w:rFonts w:hint="eastAsia" w:ascii="仿宋" w:hAnsi="仿宋" w:eastAsia="仿宋" w:cs="仿宋"/>
          <w:b/>
          <w:bCs/>
          <w:color w:val="auto"/>
          <w:kern w:val="2"/>
          <w:sz w:val="32"/>
          <w:szCs w:val="32"/>
          <w:highlight w:val="none"/>
          <w:lang w:val="en-US" w:eastAsia="zh-CN" w:bidi="ar-SA"/>
        </w:rPr>
        <w:t>公共安全有效保障。</w:t>
      </w:r>
      <w:r>
        <w:rPr>
          <w:rFonts w:hint="eastAsia" w:ascii="仿宋" w:hAnsi="仿宋" w:eastAsia="仿宋" w:cs="仿宋"/>
          <w:color w:val="auto"/>
          <w:spacing w:val="0"/>
          <w:sz w:val="32"/>
          <w:szCs w:val="32"/>
          <w:highlight w:val="none"/>
          <w:lang w:val="en-US" w:eastAsia="zh-CN"/>
        </w:rPr>
        <w:t>落实网络意识形态、网络安全工作责任制，意识形态阵地建设得到增强。全面推行安全生产“3533+1”、“三张清单”和森林防火“十个一”工作机制，安全生产形势总体稳定，石牌坊社区被评为“全国综合减灾示范社区”。国家税务总局武冈市税务局被评为全</w:t>
      </w:r>
      <w:r>
        <w:rPr>
          <w:rFonts w:hint="eastAsia" w:ascii="仿宋" w:hAnsi="仿宋" w:eastAsia="仿宋" w:cs="仿宋"/>
          <w:color w:val="auto"/>
          <w:sz w:val="32"/>
          <w:szCs w:val="32"/>
          <w:highlight w:val="none"/>
        </w:rPr>
        <w:t>国文明单位，文坪镇双龙兴村被评为全国文明村。</w:t>
      </w:r>
      <w:r>
        <w:rPr>
          <w:rFonts w:hint="eastAsia" w:ascii="仿宋" w:hAnsi="仿宋" w:eastAsia="仿宋" w:cs="仿宋"/>
          <w:color w:val="auto"/>
          <w:sz w:val="32"/>
          <w:szCs w:val="32"/>
          <w:highlight w:val="none"/>
          <w:lang w:eastAsia="zh-CN"/>
        </w:rPr>
        <w:t>高质量完成第三次全国农业普查、第四次全国经济普查，第七次全国人口普查顺利推进。</w:t>
      </w:r>
      <w:r>
        <w:rPr>
          <w:rFonts w:hint="eastAsia" w:ascii="仿宋" w:hAnsi="仿宋" w:eastAsia="仿宋" w:cs="仿宋"/>
          <w:color w:val="auto"/>
          <w:spacing w:val="0"/>
          <w:sz w:val="32"/>
          <w:szCs w:val="32"/>
          <w:highlight w:val="none"/>
          <w:lang w:eastAsia="zh-CN"/>
        </w:rPr>
        <w:t>国防教育、民兵预备役和党管武装工作进一步加强。审计、统战、民宗、移民、广电、市管、史志、档案、密码、老干、烟草、盐业、石油、气象、邮政、保险等各项事业都有新的发展。工会、妇联、共青团、侨联、科协、工商联等群团组织作用进一步发挥。</w:t>
      </w:r>
    </w:p>
    <w:p w14:paraId="1F054A95">
      <w:pPr>
        <w:pStyle w:val="2"/>
        <w:rPr>
          <w:rFonts w:hint="eastAsia" w:ascii="仿宋" w:hAnsi="仿宋" w:eastAsia="仿宋" w:cs="仿宋"/>
          <w:color w:val="auto"/>
          <w:spacing w:val="0"/>
          <w:sz w:val="32"/>
          <w:szCs w:val="32"/>
          <w:highlight w:val="none"/>
          <w:lang w:eastAsia="zh-CN"/>
        </w:rPr>
      </w:pPr>
    </w:p>
    <w:p w14:paraId="5E6DBA5C">
      <w:pPr>
        <w:pStyle w:val="2"/>
        <w:rPr>
          <w:rFonts w:hint="eastAsia" w:ascii="仿宋" w:hAnsi="仿宋" w:eastAsia="仿宋" w:cs="仿宋"/>
          <w:color w:val="auto"/>
          <w:spacing w:val="0"/>
          <w:sz w:val="32"/>
          <w:szCs w:val="32"/>
          <w:highlight w:val="none"/>
          <w:lang w:eastAsia="zh-CN"/>
        </w:rPr>
      </w:pPr>
    </w:p>
    <w:p w14:paraId="4FAD4E22">
      <w:pPr>
        <w:pStyle w:val="2"/>
        <w:pageBreakBefore w:val="0"/>
        <w:wordWrap/>
        <w:bidi w:val="0"/>
        <w:rPr>
          <w:rFonts w:hint="eastAsia"/>
          <w:highlight w:val="none"/>
          <w:lang w:val="zh-CN"/>
        </w:rPr>
      </w:pP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623"/>
        <w:gridCol w:w="457"/>
        <w:gridCol w:w="1066"/>
        <w:gridCol w:w="2100"/>
        <w:gridCol w:w="825"/>
        <w:gridCol w:w="780"/>
        <w:gridCol w:w="1035"/>
        <w:gridCol w:w="960"/>
        <w:gridCol w:w="967"/>
      </w:tblGrid>
      <w:tr w14:paraId="5F94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trPr>
        <w:tc>
          <w:tcPr>
            <w:tcW w:w="5000" w:type="pct"/>
            <w:gridSpan w:val="9"/>
            <w:shd w:val="clear" w:color="auto" w:fill="FFFFFF" w:themeFill="background1"/>
            <w:tcMar>
              <w:top w:w="15" w:type="dxa"/>
              <w:left w:w="15" w:type="dxa"/>
              <w:right w:w="15" w:type="dxa"/>
            </w:tcMar>
            <w:vAlign w:val="center"/>
          </w:tcPr>
          <w:p w14:paraId="24BF5E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16"/>
                <w:szCs w:val="16"/>
                <w:highlight w:val="none"/>
                <w:lang w:bidi="ar"/>
              </w:rPr>
            </w:pPr>
            <w:r>
              <w:rPr>
                <w:rFonts w:hint="eastAsia" w:ascii="宋体" w:hAnsi="宋体" w:eastAsia="宋体" w:cs="宋体"/>
                <w:b/>
                <w:bCs/>
                <w:color w:val="auto"/>
                <w:kern w:val="0"/>
                <w:sz w:val="28"/>
                <w:szCs w:val="28"/>
                <w:highlight w:val="none"/>
                <w:lang w:bidi="ar"/>
              </w:rPr>
              <w:t>专栏1：“十三五”规划《纲要》主要指标完成情况</w:t>
            </w:r>
          </w:p>
        </w:tc>
      </w:tr>
      <w:tr w14:paraId="0DAB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353" w:type="pct"/>
            <w:vMerge w:val="restart"/>
            <w:shd w:val="clear" w:color="auto" w:fill="FFFFFF" w:themeFill="background1"/>
            <w:tcMar>
              <w:top w:w="15" w:type="dxa"/>
              <w:left w:w="15" w:type="dxa"/>
              <w:right w:w="15" w:type="dxa"/>
            </w:tcMar>
            <w:vAlign w:val="center"/>
          </w:tcPr>
          <w:p w14:paraId="1E12B2DD">
            <w:pPr>
              <w:pageBreakBefore w:val="0"/>
              <w:widowControl w:val="0"/>
              <w:kinsoku/>
              <w:wordWrap/>
              <w:overflowPunct/>
              <w:bidi w:val="0"/>
              <w:jc w:val="center"/>
              <w:textAlignment w:val="center"/>
              <w:rPr>
                <w:rFonts w:ascii="宋体" w:hAnsi="宋体" w:eastAsia="宋体" w:cs="宋体"/>
                <w:color w:val="auto"/>
                <w:sz w:val="21"/>
                <w:szCs w:val="21"/>
                <w:highlight w:val="none"/>
              </w:rPr>
            </w:pPr>
            <w:bookmarkStart w:id="25" w:name="_Toc6856"/>
            <w:bookmarkStart w:id="26" w:name="_Toc10165"/>
            <w:bookmarkStart w:id="27" w:name="_Toc32672"/>
            <w:r>
              <w:rPr>
                <w:rFonts w:hint="eastAsia" w:ascii="宋体" w:hAnsi="宋体" w:eastAsia="宋体" w:cs="宋体"/>
                <w:color w:val="auto"/>
                <w:kern w:val="0"/>
                <w:sz w:val="21"/>
                <w:szCs w:val="21"/>
                <w:highlight w:val="none"/>
                <w:lang w:bidi="ar"/>
              </w:rPr>
              <w:t>类别</w:t>
            </w:r>
          </w:p>
        </w:tc>
        <w:tc>
          <w:tcPr>
            <w:tcW w:w="259" w:type="pct"/>
            <w:vMerge w:val="restart"/>
            <w:shd w:val="clear" w:color="auto" w:fill="FFFFFF" w:themeFill="background1"/>
            <w:tcMar>
              <w:top w:w="15" w:type="dxa"/>
              <w:left w:w="15" w:type="dxa"/>
              <w:right w:w="15" w:type="dxa"/>
            </w:tcMar>
            <w:vAlign w:val="center"/>
          </w:tcPr>
          <w:p w14:paraId="42731466">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序号</w:t>
            </w:r>
          </w:p>
        </w:tc>
        <w:tc>
          <w:tcPr>
            <w:tcW w:w="1796" w:type="pct"/>
            <w:gridSpan w:val="2"/>
            <w:vMerge w:val="restart"/>
            <w:shd w:val="clear" w:color="auto" w:fill="FFFFFF" w:themeFill="background1"/>
            <w:tcMar>
              <w:top w:w="15" w:type="dxa"/>
              <w:left w:w="15" w:type="dxa"/>
              <w:right w:w="15" w:type="dxa"/>
            </w:tcMar>
            <w:vAlign w:val="center"/>
          </w:tcPr>
          <w:p w14:paraId="7895E22A">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指标</w:t>
            </w:r>
          </w:p>
        </w:tc>
        <w:tc>
          <w:tcPr>
            <w:tcW w:w="468" w:type="pct"/>
            <w:vMerge w:val="restart"/>
            <w:shd w:val="clear" w:color="auto" w:fill="FFFFFF" w:themeFill="background1"/>
            <w:tcMar>
              <w:top w:w="15" w:type="dxa"/>
              <w:left w:w="15" w:type="dxa"/>
              <w:right w:w="15" w:type="dxa"/>
            </w:tcMar>
            <w:vAlign w:val="center"/>
          </w:tcPr>
          <w:p w14:paraId="4D5C3A32">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属性</w:t>
            </w:r>
          </w:p>
        </w:tc>
        <w:tc>
          <w:tcPr>
            <w:tcW w:w="1029" w:type="pct"/>
            <w:gridSpan w:val="2"/>
            <w:shd w:val="clear" w:color="auto" w:fill="FFFFFF" w:themeFill="background1"/>
            <w:tcMar>
              <w:top w:w="15" w:type="dxa"/>
              <w:left w:w="15" w:type="dxa"/>
              <w:right w:w="15" w:type="dxa"/>
            </w:tcMar>
            <w:vAlign w:val="center"/>
          </w:tcPr>
          <w:p w14:paraId="16DBCF72">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规划目标(2020年)</w:t>
            </w:r>
          </w:p>
        </w:tc>
        <w:tc>
          <w:tcPr>
            <w:tcW w:w="1093" w:type="pct"/>
            <w:gridSpan w:val="2"/>
            <w:shd w:val="clear" w:color="auto" w:fill="FFFFFF" w:themeFill="background1"/>
            <w:tcMar>
              <w:top w:w="15" w:type="dxa"/>
              <w:left w:w="15" w:type="dxa"/>
              <w:right w:w="15" w:type="dxa"/>
            </w:tcMar>
            <w:vAlign w:val="center"/>
          </w:tcPr>
          <w:p w14:paraId="4C3F0187">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实现情况</w:t>
            </w:r>
          </w:p>
        </w:tc>
      </w:tr>
      <w:tr w14:paraId="1EB4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18878F02">
            <w:pPr>
              <w:pageBreakBefore w:val="0"/>
              <w:widowControl w:val="0"/>
              <w:kinsoku/>
              <w:wordWrap/>
              <w:overflowPunct/>
              <w:bidi w:val="0"/>
              <w:jc w:val="center"/>
              <w:rPr>
                <w:rFonts w:ascii="宋体" w:hAnsi="宋体" w:eastAsia="宋体" w:cs="宋体"/>
                <w:color w:val="auto"/>
                <w:sz w:val="21"/>
                <w:szCs w:val="21"/>
                <w:highlight w:val="none"/>
              </w:rPr>
            </w:pPr>
          </w:p>
        </w:tc>
        <w:tc>
          <w:tcPr>
            <w:tcW w:w="259" w:type="pct"/>
            <w:vMerge w:val="continue"/>
            <w:shd w:val="clear" w:color="auto" w:fill="FFFFFF" w:themeFill="background1"/>
            <w:tcMar>
              <w:top w:w="15" w:type="dxa"/>
              <w:left w:w="15" w:type="dxa"/>
              <w:right w:w="15" w:type="dxa"/>
            </w:tcMar>
            <w:vAlign w:val="center"/>
          </w:tcPr>
          <w:p w14:paraId="2BD7E8DA">
            <w:pPr>
              <w:pageBreakBefore w:val="0"/>
              <w:widowControl w:val="0"/>
              <w:kinsoku/>
              <w:wordWrap/>
              <w:overflowPunct/>
              <w:bidi w:val="0"/>
              <w:jc w:val="center"/>
              <w:rPr>
                <w:rFonts w:ascii="宋体" w:hAnsi="宋体" w:eastAsia="宋体" w:cs="宋体"/>
                <w:color w:val="auto"/>
                <w:sz w:val="21"/>
                <w:szCs w:val="21"/>
                <w:highlight w:val="none"/>
              </w:rPr>
            </w:pPr>
          </w:p>
        </w:tc>
        <w:tc>
          <w:tcPr>
            <w:tcW w:w="1796" w:type="pct"/>
            <w:gridSpan w:val="2"/>
            <w:vMerge w:val="continue"/>
            <w:shd w:val="clear" w:color="auto" w:fill="FFFFFF" w:themeFill="background1"/>
            <w:tcMar>
              <w:top w:w="15" w:type="dxa"/>
              <w:left w:w="15" w:type="dxa"/>
              <w:right w:w="15" w:type="dxa"/>
            </w:tcMar>
            <w:vAlign w:val="center"/>
          </w:tcPr>
          <w:p w14:paraId="5D50B83B">
            <w:pPr>
              <w:pageBreakBefore w:val="0"/>
              <w:widowControl w:val="0"/>
              <w:kinsoku/>
              <w:wordWrap/>
              <w:overflowPunct/>
              <w:bidi w:val="0"/>
              <w:jc w:val="center"/>
              <w:rPr>
                <w:rFonts w:ascii="宋体" w:hAnsi="宋体" w:eastAsia="宋体" w:cs="宋体"/>
                <w:color w:val="auto"/>
                <w:sz w:val="21"/>
                <w:szCs w:val="21"/>
                <w:highlight w:val="none"/>
              </w:rPr>
            </w:pPr>
          </w:p>
        </w:tc>
        <w:tc>
          <w:tcPr>
            <w:tcW w:w="468" w:type="pct"/>
            <w:vMerge w:val="continue"/>
            <w:shd w:val="clear" w:color="auto" w:fill="FFFFFF" w:themeFill="background1"/>
            <w:tcMar>
              <w:top w:w="15" w:type="dxa"/>
              <w:left w:w="15" w:type="dxa"/>
              <w:right w:w="15" w:type="dxa"/>
            </w:tcMar>
            <w:vAlign w:val="center"/>
          </w:tcPr>
          <w:p w14:paraId="1A812E25">
            <w:pPr>
              <w:pageBreakBefore w:val="0"/>
              <w:widowControl w:val="0"/>
              <w:kinsoku/>
              <w:wordWrap/>
              <w:overflowPunct/>
              <w:bidi w:val="0"/>
              <w:jc w:val="center"/>
              <w:rPr>
                <w:rFonts w:ascii="宋体" w:hAnsi="宋体" w:eastAsia="宋体" w:cs="宋体"/>
                <w:color w:val="auto"/>
                <w:sz w:val="21"/>
                <w:szCs w:val="21"/>
                <w:highlight w:val="none"/>
              </w:rPr>
            </w:pPr>
          </w:p>
        </w:tc>
        <w:tc>
          <w:tcPr>
            <w:tcW w:w="442" w:type="pct"/>
            <w:vMerge w:val="restart"/>
            <w:shd w:val="clear" w:color="auto" w:fill="FFFFFF" w:themeFill="background1"/>
            <w:tcMar>
              <w:top w:w="15" w:type="dxa"/>
              <w:left w:w="15" w:type="dxa"/>
              <w:right w:w="15" w:type="dxa"/>
            </w:tcMar>
            <w:vAlign w:val="center"/>
          </w:tcPr>
          <w:p w14:paraId="34758739">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绝对值</w:t>
            </w:r>
          </w:p>
        </w:tc>
        <w:tc>
          <w:tcPr>
            <w:tcW w:w="587" w:type="pct"/>
            <w:vMerge w:val="restart"/>
            <w:shd w:val="clear" w:color="auto" w:fill="FFFFFF" w:themeFill="background1"/>
            <w:tcMar>
              <w:top w:w="15" w:type="dxa"/>
              <w:left w:w="15" w:type="dxa"/>
              <w:right w:w="15" w:type="dxa"/>
            </w:tcMar>
            <w:vAlign w:val="center"/>
          </w:tcPr>
          <w:p w14:paraId="2DB84F01">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年均增长</w:t>
            </w:r>
          </w:p>
          <w:p w14:paraId="2055E0BB">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[累计]</w:t>
            </w:r>
          </w:p>
        </w:tc>
        <w:tc>
          <w:tcPr>
            <w:tcW w:w="544" w:type="pct"/>
            <w:vMerge w:val="restart"/>
            <w:shd w:val="clear" w:color="auto" w:fill="FFFFFF" w:themeFill="background1"/>
            <w:tcMar>
              <w:top w:w="15" w:type="dxa"/>
              <w:left w:w="15" w:type="dxa"/>
              <w:right w:w="15" w:type="dxa"/>
            </w:tcMar>
            <w:vAlign w:val="center"/>
          </w:tcPr>
          <w:p w14:paraId="70822AD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2020年</w:t>
            </w:r>
          </w:p>
        </w:tc>
        <w:tc>
          <w:tcPr>
            <w:tcW w:w="548" w:type="pct"/>
            <w:vMerge w:val="restart"/>
            <w:shd w:val="clear" w:color="auto" w:fill="FFFFFF" w:themeFill="background1"/>
            <w:tcMar>
              <w:top w:w="15" w:type="dxa"/>
              <w:left w:w="15" w:type="dxa"/>
              <w:right w:w="15" w:type="dxa"/>
            </w:tcMar>
            <w:vAlign w:val="center"/>
          </w:tcPr>
          <w:p w14:paraId="16E7BF0C">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年均增长</w:t>
            </w:r>
          </w:p>
          <w:p w14:paraId="56BE3AC4">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[累计]</w:t>
            </w:r>
          </w:p>
        </w:tc>
      </w:tr>
      <w:tr w14:paraId="223E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53" w:type="pct"/>
            <w:vMerge w:val="continue"/>
            <w:shd w:val="clear" w:color="auto" w:fill="FFFFFF" w:themeFill="background1"/>
            <w:tcMar>
              <w:top w:w="15" w:type="dxa"/>
              <w:left w:w="15" w:type="dxa"/>
              <w:right w:w="15" w:type="dxa"/>
            </w:tcMar>
            <w:vAlign w:val="center"/>
          </w:tcPr>
          <w:p w14:paraId="32E18E36">
            <w:pPr>
              <w:pageBreakBefore w:val="0"/>
              <w:widowControl w:val="0"/>
              <w:kinsoku/>
              <w:wordWrap/>
              <w:overflowPunct/>
              <w:bidi w:val="0"/>
              <w:jc w:val="center"/>
              <w:rPr>
                <w:rFonts w:ascii="宋体" w:hAnsi="宋体" w:eastAsia="宋体" w:cs="宋体"/>
                <w:color w:val="auto"/>
                <w:sz w:val="18"/>
                <w:szCs w:val="18"/>
                <w:highlight w:val="none"/>
              </w:rPr>
            </w:pPr>
          </w:p>
        </w:tc>
        <w:tc>
          <w:tcPr>
            <w:tcW w:w="259" w:type="pct"/>
            <w:vMerge w:val="continue"/>
            <w:shd w:val="clear" w:color="auto" w:fill="FFFFFF" w:themeFill="background1"/>
            <w:tcMar>
              <w:top w:w="15" w:type="dxa"/>
              <w:left w:w="15" w:type="dxa"/>
              <w:right w:w="15" w:type="dxa"/>
            </w:tcMar>
            <w:vAlign w:val="center"/>
          </w:tcPr>
          <w:p w14:paraId="363F41CE">
            <w:pPr>
              <w:pageBreakBefore w:val="0"/>
              <w:widowControl w:val="0"/>
              <w:kinsoku/>
              <w:wordWrap/>
              <w:overflowPunct/>
              <w:bidi w:val="0"/>
              <w:jc w:val="center"/>
              <w:rPr>
                <w:rFonts w:ascii="宋体" w:hAnsi="宋体" w:eastAsia="宋体" w:cs="宋体"/>
                <w:color w:val="auto"/>
                <w:sz w:val="18"/>
                <w:szCs w:val="18"/>
                <w:highlight w:val="none"/>
              </w:rPr>
            </w:pPr>
          </w:p>
        </w:tc>
        <w:tc>
          <w:tcPr>
            <w:tcW w:w="1796" w:type="pct"/>
            <w:gridSpan w:val="2"/>
            <w:vMerge w:val="continue"/>
            <w:shd w:val="clear" w:color="auto" w:fill="FFFFFF" w:themeFill="background1"/>
            <w:tcMar>
              <w:top w:w="15" w:type="dxa"/>
              <w:left w:w="15" w:type="dxa"/>
              <w:right w:w="15" w:type="dxa"/>
            </w:tcMar>
            <w:vAlign w:val="center"/>
          </w:tcPr>
          <w:p w14:paraId="300F1833">
            <w:pPr>
              <w:pageBreakBefore w:val="0"/>
              <w:widowControl w:val="0"/>
              <w:kinsoku/>
              <w:wordWrap/>
              <w:overflowPunct/>
              <w:bidi w:val="0"/>
              <w:jc w:val="center"/>
              <w:rPr>
                <w:rFonts w:ascii="宋体" w:hAnsi="宋体" w:eastAsia="宋体" w:cs="宋体"/>
                <w:color w:val="auto"/>
                <w:sz w:val="18"/>
                <w:szCs w:val="18"/>
                <w:highlight w:val="none"/>
              </w:rPr>
            </w:pPr>
          </w:p>
        </w:tc>
        <w:tc>
          <w:tcPr>
            <w:tcW w:w="468" w:type="pct"/>
            <w:vMerge w:val="continue"/>
            <w:shd w:val="clear" w:color="auto" w:fill="FFFFFF" w:themeFill="background1"/>
            <w:tcMar>
              <w:top w:w="15" w:type="dxa"/>
              <w:left w:w="15" w:type="dxa"/>
              <w:right w:w="15" w:type="dxa"/>
            </w:tcMar>
            <w:vAlign w:val="center"/>
          </w:tcPr>
          <w:p w14:paraId="5A22360F">
            <w:pPr>
              <w:pageBreakBefore w:val="0"/>
              <w:widowControl w:val="0"/>
              <w:kinsoku/>
              <w:wordWrap/>
              <w:overflowPunct/>
              <w:bidi w:val="0"/>
              <w:jc w:val="center"/>
              <w:rPr>
                <w:rFonts w:ascii="宋体" w:hAnsi="宋体" w:eastAsia="宋体" w:cs="宋体"/>
                <w:color w:val="auto"/>
                <w:sz w:val="18"/>
                <w:szCs w:val="18"/>
                <w:highlight w:val="none"/>
              </w:rPr>
            </w:pPr>
          </w:p>
        </w:tc>
        <w:tc>
          <w:tcPr>
            <w:tcW w:w="442" w:type="pct"/>
            <w:vMerge w:val="continue"/>
            <w:shd w:val="clear" w:color="auto" w:fill="FFFFFF" w:themeFill="background1"/>
            <w:tcMar>
              <w:top w:w="15" w:type="dxa"/>
              <w:left w:w="15" w:type="dxa"/>
              <w:right w:w="15" w:type="dxa"/>
            </w:tcMar>
            <w:vAlign w:val="center"/>
          </w:tcPr>
          <w:p w14:paraId="30450276">
            <w:pPr>
              <w:pageBreakBefore w:val="0"/>
              <w:widowControl w:val="0"/>
              <w:kinsoku/>
              <w:wordWrap/>
              <w:overflowPunct/>
              <w:bidi w:val="0"/>
              <w:jc w:val="center"/>
              <w:rPr>
                <w:rFonts w:ascii="宋体" w:hAnsi="宋体" w:eastAsia="宋体" w:cs="宋体"/>
                <w:color w:val="auto"/>
                <w:sz w:val="18"/>
                <w:szCs w:val="18"/>
                <w:highlight w:val="none"/>
              </w:rPr>
            </w:pPr>
          </w:p>
        </w:tc>
        <w:tc>
          <w:tcPr>
            <w:tcW w:w="587" w:type="pct"/>
            <w:vMerge w:val="continue"/>
            <w:shd w:val="clear" w:color="auto" w:fill="FFFFFF" w:themeFill="background1"/>
            <w:tcMar>
              <w:top w:w="15" w:type="dxa"/>
              <w:left w:w="15" w:type="dxa"/>
              <w:right w:w="15" w:type="dxa"/>
            </w:tcMar>
            <w:vAlign w:val="center"/>
          </w:tcPr>
          <w:p w14:paraId="086D11EB">
            <w:pPr>
              <w:pageBreakBefore w:val="0"/>
              <w:widowControl w:val="0"/>
              <w:kinsoku/>
              <w:wordWrap/>
              <w:overflowPunct/>
              <w:bidi w:val="0"/>
              <w:jc w:val="center"/>
              <w:rPr>
                <w:rFonts w:ascii="宋体" w:hAnsi="宋体" w:eastAsia="宋体" w:cs="宋体"/>
                <w:color w:val="auto"/>
                <w:sz w:val="18"/>
                <w:szCs w:val="18"/>
                <w:highlight w:val="none"/>
              </w:rPr>
            </w:pPr>
          </w:p>
        </w:tc>
        <w:tc>
          <w:tcPr>
            <w:tcW w:w="544" w:type="pct"/>
            <w:vMerge w:val="continue"/>
            <w:shd w:val="clear" w:color="auto" w:fill="FFFFFF" w:themeFill="background1"/>
            <w:tcMar>
              <w:top w:w="15" w:type="dxa"/>
              <w:left w:w="15" w:type="dxa"/>
              <w:right w:w="15" w:type="dxa"/>
            </w:tcMar>
            <w:vAlign w:val="center"/>
          </w:tcPr>
          <w:p w14:paraId="0D43D0A3">
            <w:pPr>
              <w:pageBreakBefore w:val="0"/>
              <w:widowControl w:val="0"/>
              <w:kinsoku/>
              <w:wordWrap/>
              <w:overflowPunct/>
              <w:bidi w:val="0"/>
              <w:jc w:val="center"/>
              <w:rPr>
                <w:rFonts w:ascii="宋体" w:hAnsi="宋体" w:eastAsia="宋体" w:cs="宋体"/>
                <w:color w:val="auto"/>
                <w:sz w:val="18"/>
                <w:szCs w:val="18"/>
                <w:highlight w:val="none"/>
              </w:rPr>
            </w:pPr>
          </w:p>
        </w:tc>
        <w:tc>
          <w:tcPr>
            <w:tcW w:w="548" w:type="pct"/>
            <w:vMerge w:val="continue"/>
            <w:shd w:val="clear" w:color="auto" w:fill="FFFFFF" w:themeFill="background1"/>
            <w:tcMar>
              <w:top w:w="15" w:type="dxa"/>
              <w:left w:w="15" w:type="dxa"/>
              <w:right w:w="15" w:type="dxa"/>
            </w:tcMar>
            <w:vAlign w:val="center"/>
          </w:tcPr>
          <w:p w14:paraId="0001CEE6">
            <w:pPr>
              <w:pageBreakBefore w:val="0"/>
              <w:widowControl w:val="0"/>
              <w:kinsoku/>
              <w:wordWrap/>
              <w:overflowPunct/>
              <w:bidi w:val="0"/>
              <w:jc w:val="center"/>
              <w:rPr>
                <w:rFonts w:ascii="宋体" w:hAnsi="宋体" w:eastAsia="宋体" w:cs="宋体"/>
                <w:color w:val="auto"/>
                <w:sz w:val="18"/>
                <w:szCs w:val="18"/>
                <w:highlight w:val="none"/>
              </w:rPr>
            </w:pPr>
          </w:p>
        </w:tc>
      </w:tr>
      <w:tr w14:paraId="491F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353" w:type="pct"/>
            <w:vMerge w:val="restart"/>
            <w:shd w:val="clear" w:color="auto" w:fill="FFFFFF" w:themeFill="background1"/>
            <w:tcMar>
              <w:top w:w="15" w:type="dxa"/>
              <w:left w:w="15" w:type="dxa"/>
              <w:right w:w="15" w:type="dxa"/>
            </w:tcMar>
            <w:vAlign w:val="center"/>
          </w:tcPr>
          <w:p w14:paraId="5B9A9762">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经济发展</w:t>
            </w:r>
          </w:p>
        </w:tc>
        <w:tc>
          <w:tcPr>
            <w:tcW w:w="259" w:type="pct"/>
            <w:shd w:val="clear" w:color="auto" w:fill="FFFFFF" w:themeFill="background1"/>
            <w:tcMar>
              <w:top w:w="15" w:type="dxa"/>
              <w:left w:w="15" w:type="dxa"/>
              <w:right w:w="15" w:type="dxa"/>
            </w:tcMar>
            <w:vAlign w:val="center"/>
          </w:tcPr>
          <w:p w14:paraId="35305C5F">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c>
          <w:tcPr>
            <w:tcW w:w="1796" w:type="pct"/>
            <w:gridSpan w:val="2"/>
            <w:shd w:val="clear" w:color="auto" w:fill="FFFFFF" w:themeFill="background1"/>
            <w:tcMar>
              <w:top w:w="15" w:type="dxa"/>
              <w:left w:w="15" w:type="dxa"/>
              <w:right w:w="15" w:type="dxa"/>
            </w:tcMar>
            <w:vAlign w:val="center"/>
          </w:tcPr>
          <w:p w14:paraId="20A458CC">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地区生产总值(亿元)</w:t>
            </w:r>
          </w:p>
        </w:tc>
        <w:tc>
          <w:tcPr>
            <w:tcW w:w="468" w:type="pct"/>
            <w:shd w:val="clear" w:color="auto" w:fill="FFFFFF" w:themeFill="background1"/>
            <w:tcMar>
              <w:top w:w="15" w:type="dxa"/>
              <w:left w:w="15" w:type="dxa"/>
              <w:right w:w="15" w:type="dxa"/>
            </w:tcMar>
            <w:vAlign w:val="center"/>
          </w:tcPr>
          <w:p w14:paraId="768572C8">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5109A5A8">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186</w:t>
            </w:r>
          </w:p>
        </w:tc>
        <w:tc>
          <w:tcPr>
            <w:tcW w:w="587" w:type="pct"/>
            <w:shd w:val="clear" w:color="auto" w:fill="FFFFFF" w:themeFill="background1"/>
            <w:tcMar>
              <w:top w:w="15" w:type="dxa"/>
              <w:left w:w="15" w:type="dxa"/>
              <w:right w:w="15" w:type="dxa"/>
            </w:tcMar>
            <w:vAlign w:val="center"/>
          </w:tcPr>
          <w:p w14:paraId="01309E57">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7.2</w:t>
            </w:r>
            <w:r>
              <w:rPr>
                <w:rFonts w:hint="eastAsia" w:ascii="宋体" w:hAnsi="宋体" w:eastAsia="宋体" w:cs="宋体"/>
                <w:color w:val="auto"/>
                <w:kern w:val="0"/>
                <w:sz w:val="21"/>
                <w:szCs w:val="21"/>
                <w:highlight w:val="none"/>
                <w:lang w:val="en-US" w:eastAsia="zh-CN" w:bidi="ar"/>
              </w:rPr>
              <w:t>%</w:t>
            </w:r>
          </w:p>
        </w:tc>
        <w:tc>
          <w:tcPr>
            <w:tcW w:w="544" w:type="pct"/>
            <w:shd w:val="clear" w:color="auto" w:fill="FFFFFF" w:themeFill="background1"/>
            <w:tcMar>
              <w:top w:w="15" w:type="dxa"/>
              <w:left w:w="15" w:type="dxa"/>
              <w:right w:w="15" w:type="dxa"/>
            </w:tcMar>
            <w:vAlign w:val="center"/>
          </w:tcPr>
          <w:p w14:paraId="799AA18C">
            <w:pPr>
              <w:pageBreakBefore w:val="0"/>
              <w:widowControl w:val="0"/>
              <w:kinsoku/>
              <w:wordWrap/>
              <w:overflowPunct/>
              <w:bidi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172.2</w:t>
            </w:r>
          </w:p>
        </w:tc>
        <w:tc>
          <w:tcPr>
            <w:tcW w:w="548" w:type="pct"/>
            <w:shd w:val="clear" w:color="auto" w:fill="FFFFFF" w:themeFill="background1"/>
            <w:tcMar>
              <w:top w:w="15" w:type="dxa"/>
              <w:left w:w="15" w:type="dxa"/>
              <w:right w:w="15" w:type="dxa"/>
            </w:tcMar>
            <w:vAlign w:val="center"/>
          </w:tcPr>
          <w:p w14:paraId="6504438D">
            <w:pPr>
              <w:pageBreakBefore w:val="0"/>
              <w:widowControl w:val="0"/>
              <w:kinsoku/>
              <w:wordWrap/>
              <w:overflowPunct/>
              <w:bidi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7.56%</w:t>
            </w:r>
          </w:p>
        </w:tc>
      </w:tr>
      <w:tr w14:paraId="1770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353" w:type="pct"/>
            <w:vMerge w:val="continue"/>
            <w:shd w:val="clear" w:color="auto" w:fill="FFFFFF" w:themeFill="background1"/>
            <w:tcMar>
              <w:top w:w="15" w:type="dxa"/>
              <w:left w:w="15" w:type="dxa"/>
              <w:right w:w="15" w:type="dxa"/>
            </w:tcMar>
            <w:vAlign w:val="center"/>
          </w:tcPr>
          <w:p w14:paraId="56878040">
            <w:pPr>
              <w:pageBreakBefore w:val="0"/>
              <w:widowControl w:val="0"/>
              <w:kinsoku/>
              <w:wordWrap/>
              <w:overflowPunct/>
              <w:bidi w:val="0"/>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49B3EC34">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c>
          <w:tcPr>
            <w:tcW w:w="1796" w:type="pct"/>
            <w:gridSpan w:val="2"/>
            <w:shd w:val="clear" w:color="auto" w:fill="FFFFFF" w:themeFill="background1"/>
            <w:tcMar>
              <w:top w:w="15" w:type="dxa"/>
              <w:left w:w="15" w:type="dxa"/>
              <w:right w:w="15" w:type="dxa"/>
            </w:tcMar>
            <w:vAlign w:val="center"/>
          </w:tcPr>
          <w:p w14:paraId="70BA2CBA">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规模工业增加值(亿元)</w:t>
            </w:r>
          </w:p>
        </w:tc>
        <w:tc>
          <w:tcPr>
            <w:tcW w:w="468" w:type="pct"/>
            <w:shd w:val="clear" w:color="auto" w:fill="FFFFFF" w:themeFill="background1"/>
            <w:tcMar>
              <w:top w:w="15" w:type="dxa"/>
              <w:left w:w="15" w:type="dxa"/>
              <w:right w:w="15" w:type="dxa"/>
            </w:tcMar>
            <w:vAlign w:val="center"/>
          </w:tcPr>
          <w:p w14:paraId="512E7E0F">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6F882343">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w:t>
            </w:r>
          </w:p>
        </w:tc>
        <w:tc>
          <w:tcPr>
            <w:tcW w:w="587" w:type="pct"/>
            <w:shd w:val="clear" w:color="auto" w:fill="FFFFFF" w:themeFill="background1"/>
            <w:tcMar>
              <w:top w:w="15" w:type="dxa"/>
              <w:left w:w="15" w:type="dxa"/>
              <w:right w:w="15" w:type="dxa"/>
            </w:tcMar>
            <w:vAlign w:val="center"/>
          </w:tcPr>
          <w:p w14:paraId="7ACB8101">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8</w:t>
            </w:r>
            <w:r>
              <w:rPr>
                <w:rFonts w:hint="eastAsia" w:ascii="宋体" w:hAnsi="宋体" w:eastAsia="宋体" w:cs="宋体"/>
                <w:color w:val="auto"/>
                <w:kern w:val="0"/>
                <w:sz w:val="21"/>
                <w:szCs w:val="21"/>
                <w:highlight w:val="none"/>
                <w:lang w:val="en-US" w:eastAsia="zh-CN" w:bidi="ar"/>
              </w:rPr>
              <w:t>%</w:t>
            </w:r>
          </w:p>
        </w:tc>
        <w:tc>
          <w:tcPr>
            <w:tcW w:w="544" w:type="pct"/>
            <w:shd w:val="clear" w:color="auto" w:fill="FFFFFF" w:themeFill="background1"/>
            <w:tcMar>
              <w:top w:w="15" w:type="dxa"/>
              <w:left w:w="15" w:type="dxa"/>
              <w:right w:w="15" w:type="dxa"/>
            </w:tcMar>
            <w:vAlign w:val="center"/>
          </w:tcPr>
          <w:p w14:paraId="4D074DDB">
            <w:pPr>
              <w:pageBreakBefore w:val="0"/>
              <w:widowControl w:val="0"/>
              <w:kinsoku/>
              <w:wordWrap/>
              <w:overflowPunct/>
              <w:bidi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19.88</w:t>
            </w:r>
          </w:p>
        </w:tc>
        <w:tc>
          <w:tcPr>
            <w:tcW w:w="548" w:type="pct"/>
            <w:shd w:val="clear" w:color="auto" w:fill="FFFFFF" w:themeFill="background1"/>
            <w:tcMar>
              <w:top w:w="15" w:type="dxa"/>
              <w:left w:w="15" w:type="dxa"/>
              <w:right w:w="15" w:type="dxa"/>
            </w:tcMar>
            <w:vAlign w:val="center"/>
          </w:tcPr>
          <w:p w14:paraId="3B302D17">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6.4</w:t>
            </w:r>
            <w:r>
              <w:rPr>
                <w:rFonts w:hint="eastAsia" w:ascii="宋体" w:hAnsi="宋体" w:eastAsia="宋体" w:cs="宋体"/>
                <w:color w:val="auto"/>
                <w:kern w:val="0"/>
                <w:sz w:val="21"/>
                <w:szCs w:val="21"/>
                <w:highlight w:val="none"/>
                <w:lang w:val="en-US" w:eastAsia="zh-CN" w:bidi="ar"/>
              </w:rPr>
              <w:t>%</w:t>
            </w:r>
          </w:p>
        </w:tc>
      </w:tr>
      <w:tr w14:paraId="1F2A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581871C1">
            <w:pPr>
              <w:pageBreakBefore w:val="0"/>
              <w:widowControl w:val="0"/>
              <w:kinsoku/>
              <w:wordWrap/>
              <w:overflowPunct/>
              <w:bidi w:val="0"/>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5D6C93CE">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c>
          <w:tcPr>
            <w:tcW w:w="1796" w:type="pct"/>
            <w:gridSpan w:val="2"/>
            <w:shd w:val="clear" w:color="auto" w:fill="FFFFFF" w:themeFill="background1"/>
            <w:tcMar>
              <w:top w:w="15" w:type="dxa"/>
              <w:left w:w="15" w:type="dxa"/>
              <w:right w:w="15" w:type="dxa"/>
            </w:tcMar>
            <w:vAlign w:val="center"/>
          </w:tcPr>
          <w:p w14:paraId="5CB59C5D">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财政总收入(亿元)</w:t>
            </w:r>
          </w:p>
        </w:tc>
        <w:tc>
          <w:tcPr>
            <w:tcW w:w="468" w:type="pct"/>
            <w:shd w:val="clear" w:color="auto" w:fill="FFFFFF" w:themeFill="background1"/>
            <w:tcMar>
              <w:top w:w="15" w:type="dxa"/>
              <w:left w:w="15" w:type="dxa"/>
              <w:right w:w="15" w:type="dxa"/>
            </w:tcMar>
            <w:vAlign w:val="center"/>
          </w:tcPr>
          <w:p w14:paraId="606D648E">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4FDDDECF">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12.6</w:t>
            </w:r>
          </w:p>
        </w:tc>
        <w:tc>
          <w:tcPr>
            <w:tcW w:w="587" w:type="pct"/>
            <w:shd w:val="clear" w:color="auto" w:fill="FFFFFF" w:themeFill="background1"/>
            <w:tcMar>
              <w:top w:w="15" w:type="dxa"/>
              <w:left w:w="15" w:type="dxa"/>
              <w:right w:w="15" w:type="dxa"/>
            </w:tcMar>
            <w:vAlign w:val="center"/>
          </w:tcPr>
          <w:p w14:paraId="375805D5">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8</w:t>
            </w:r>
            <w:r>
              <w:rPr>
                <w:rFonts w:hint="eastAsia" w:ascii="宋体" w:hAnsi="宋体" w:eastAsia="宋体" w:cs="宋体"/>
                <w:color w:val="auto"/>
                <w:kern w:val="0"/>
                <w:sz w:val="21"/>
                <w:szCs w:val="21"/>
                <w:highlight w:val="none"/>
                <w:lang w:val="en-US" w:eastAsia="zh-CN" w:bidi="ar"/>
              </w:rPr>
              <w:t>%</w:t>
            </w:r>
          </w:p>
        </w:tc>
        <w:tc>
          <w:tcPr>
            <w:tcW w:w="544" w:type="pct"/>
            <w:shd w:val="clear" w:color="auto" w:fill="FFFFFF" w:themeFill="background1"/>
            <w:tcMar>
              <w:top w:w="15" w:type="dxa"/>
              <w:left w:w="15" w:type="dxa"/>
              <w:right w:w="15" w:type="dxa"/>
            </w:tcMar>
            <w:vAlign w:val="center"/>
          </w:tcPr>
          <w:p w14:paraId="33AB4AF3">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11.</w:t>
            </w:r>
            <w:r>
              <w:rPr>
                <w:rFonts w:hint="eastAsia" w:ascii="宋体" w:hAnsi="宋体" w:eastAsia="宋体" w:cs="宋体"/>
                <w:color w:val="auto"/>
                <w:kern w:val="0"/>
                <w:sz w:val="21"/>
                <w:szCs w:val="21"/>
                <w:highlight w:val="none"/>
                <w:lang w:val="en-US" w:eastAsia="zh-CN" w:bidi="ar"/>
              </w:rPr>
              <w:t>2</w:t>
            </w:r>
          </w:p>
        </w:tc>
        <w:tc>
          <w:tcPr>
            <w:tcW w:w="548" w:type="pct"/>
            <w:shd w:val="clear" w:color="auto" w:fill="FFFFFF" w:themeFill="background1"/>
            <w:tcMar>
              <w:top w:w="15" w:type="dxa"/>
              <w:left w:w="15" w:type="dxa"/>
              <w:right w:w="15" w:type="dxa"/>
            </w:tcMar>
            <w:vAlign w:val="center"/>
          </w:tcPr>
          <w:p w14:paraId="17596CC8">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6.1</w:t>
            </w:r>
            <w:r>
              <w:rPr>
                <w:rFonts w:hint="eastAsia" w:ascii="宋体" w:hAnsi="宋体" w:eastAsia="宋体" w:cs="宋体"/>
                <w:color w:val="auto"/>
                <w:kern w:val="0"/>
                <w:sz w:val="21"/>
                <w:szCs w:val="21"/>
                <w:highlight w:val="none"/>
                <w:lang w:val="en-US" w:eastAsia="zh-CN" w:bidi="ar"/>
              </w:rPr>
              <w:t>%</w:t>
            </w:r>
          </w:p>
        </w:tc>
      </w:tr>
      <w:tr w14:paraId="52F4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5D67E593">
            <w:pPr>
              <w:pageBreakBefore w:val="0"/>
              <w:widowControl w:val="0"/>
              <w:kinsoku/>
              <w:wordWrap/>
              <w:overflowPunct/>
              <w:bidi w:val="0"/>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7A596C01">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c>
          <w:tcPr>
            <w:tcW w:w="1796" w:type="pct"/>
            <w:gridSpan w:val="2"/>
            <w:shd w:val="clear" w:color="auto" w:fill="FFFFFF" w:themeFill="background1"/>
            <w:tcMar>
              <w:top w:w="15" w:type="dxa"/>
              <w:left w:w="15" w:type="dxa"/>
              <w:right w:w="15" w:type="dxa"/>
            </w:tcMar>
            <w:vAlign w:val="center"/>
          </w:tcPr>
          <w:p w14:paraId="67A2273E">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固定资产投资(亿元)</w:t>
            </w:r>
          </w:p>
        </w:tc>
        <w:tc>
          <w:tcPr>
            <w:tcW w:w="468" w:type="pct"/>
            <w:shd w:val="clear" w:color="auto" w:fill="FFFFFF" w:themeFill="background1"/>
            <w:tcMar>
              <w:top w:w="15" w:type="dxa"/>
              <w:left w:w="15" w:type="dxa"/>
              <w:right w:w="15" w:type="dxa"/>
            </w:tcMar>
            <w:vAlign w:val="center"/>
          </w:tcPr>
          <w:p w14:paraId="4BE67CAD">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1A769AB2">
            <w:pPr>
              <w:pageBreakBefore w:val="0"/>
              <w:widowControl w:val="0"/>
              <w:kinsoku/>
              <w:wordWrap/>
              <w:overflowPunct/>
              <w:bidi w:val="0"/>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32410839">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13.5</w:t>
            </w:r>
            <w:r>
              <w:rPr>
                <w:rFonts w:hint="eastAsia" w:ascii="宋体" w:hAnsi="宋体" w:eastAsia="宋体" w:cs="宋体"/>
                <w:color w:val="auto"/>
                <w:kern w:val="0"/>
                <w:sz w:val="21"/>
                <w:szCs w:val="21"/>
                <w:highlight w:val="none"/>
                <w:lang w:val="en-US" w:eastAsia="zh-CN" w:bidi="ar"/>
              </w:rPr>
              <w:t>%</w:t>
            </w:r>
          </w:p>
        </w:tc>
        <w:tc>
          <w:tcPr>
            <w:tcW w:w="544" w:type="pct"/>
            <w:shd w:val="clear" w:color="auto" w:fill="FFFFFF" w:themeFill="background1"/>
            <w:tcMar>
              <w:top w:w="15" w:type="dxa"/>
              <w:left w:w="15" w:type="dxa"/>
              <w:right w:w="15" w:type="dxa"/>
            </w:tcMar>
            <w:vAlign w:val="center"/>
          </w:tcPr>
          <w:p w14:paraId="0913E77E">
            <w:pPr>
              <w:pageBreakBefore w:val="0"/>
              <w:widowControl w:val="0"/>
              <w:kinsoku/>
              <w:wordWrap/>
              <w:overflowPunct/>
              <w:bidi w:val="0"/>
              <w:jc w:val="center"/>
              <w:rPr>
                <w:rFonts w:ascii="宋体" w:hAnsi="宋体" w:eastAsia="宋体" w:cs="宋体"/>
                <w:color w:val="auto"/>
                <w:sz w:val="21"/>
                <w:szCs w:val="21"/>
                <w:highlight w:val="none"/>
              </w:rPr>
            </w:pPr>
          </w:p>
        </w:tc>
        <w:tc>
          <w:tcPr>
            <w:tcW w:w="548" w:type="pct"/>
            <w:shd w:val="clear" w:color="auto" w:fill="FFFFFF" w:themeFill="background1"/>
            <w:tcMar>
              <w:top w:w="15" w:type="dxa"/>
              <w:left w:w="15" w:type="dxa"/>
              <w:right w:w="15" w:type="dxa"/>
            </w:tcMar>
            <w:vAlign w:val="center"/>
          </w:tcPr>
          <w:p w14:paraId="6147ACF5">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11.1</w:t>
            </w:r>
            <w:r>
              <w:rPr>
                <w:rFonts w:hint="eastAsia" w:ascii="宋体" w:hAnsi="宋体" w:eastAsia="宋体" w:cs="宋体"/>
                <w:color w:val="auto"/>
                <w:kern w:val="0"/>
                <w:sz w:val="21"/>
                <w:szCs w:val="21"/>
                <w:highlight w:val="none"/>
                <w:lang w:val="en-US" w:eastAsia="zh-CN" w:bidi="ar"/>
              </w:rPr>
              <w:t>%</w:t>
            </w:r>
          </w:p>
        </w:tc>
      </w:tr>
      <w:tr w14:paraId="5B4B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539C682E">
            <w:pPr>
              <w:pageBreakBefore w:val="0"/>
              <w:widowControl w:val="0"/>
              <w:kinsoku/>
              <w:wordWrap/>
              <w:overflowPunct/>
              <w:bidi w:val="0"/>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391F7D09">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1796" w:type="pct"/>
            <w:gridSpan w:val="2"/>
            <w:shd w:val="clear" w:color="auto" w:fill="FFFFFF" w:themeFill="background1"/>
            <w:tcMar>
              <w:top w:w="15" w:type="dxa"/>
              <w:left w:w="15" w:type="dxa"/>
              <w:right w:w="15" w:type="dxa"/>
            </w:tcMar>
            <w:vAlign w:val="center"/>
          </w:tcPr>
          <w:p w14:paraId="6F37581D">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社会消费品零售总额(亿元)</w:t>
            </w:r>
          </w:p>
        </w:tc>
        <w:tc>
          <w:tcPr>
            <w:tcW w:w="468" w:type="pct"/>
            <w:shd w:val="clear" w:color="auto" w:fill="FFFFFF" w:themeFill="background1"/>
            <w:tcMar>
              <w:top w:w="15" w:type="dxa"/>
              <w:left w:w="15" w:type="dxa"/>
              <w:right w:w="15" w:type="dxa"/>
            </w:tcMar>
            <w:vAlign w:val="center"/>
          </w:tcPr>
          <w:p w14:paraId="433515DF">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023BAC5E">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85</w:t>
            </w:r>
          </w:p>
        </w:tc>
        <w:tc>
          <w:tcPr>
            <w:tcW w:w="587" w:type="pct"/>
            <w:shd w:val="clear" w:color="auto" w:fill="FFFFFF" w:themeFill="background1"/>
            <w:tcMar>
              <w:top w:w="15" w:type="dxa"/>
              <w:left w:w="15" w:type="dxa"/>
              <w:right w:w="15" w:type="dxa"/>
            </w:tcMar>
            <w:vAlign w:val="center"/>
          </w:tcPr>
          <w:p w14:paraId="7B45814B">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13</w:t>
            </w:r>
            <w:r>
              <w:rPr>
                <w:rFonts w:hint="eastAsia" w:ascii="宋体" w:hAnsi="宋体" w:eastAsia="宋体" w:cs="宋体"/>
                <w:color w:val="auto"/>
                <w:kern w:val="0"/>
                <w:sz w:val="21"/>
                <w:szCs w:val="21"/>
                <w:highlight w:val="none"/>
                <w:lang w:val="en-US" w:eastAsia="zh-CN" w:bidi="ar"/>
              </w:rPr>
              <w:t>%</w:t>
            </w:r>
          </w:p>
        </w:tc>
        <w:tc>
          <w:tcPr>
            <w:tcW w:w="544" w:type="pct"/>
            <w:shd w:val="clear" w:color="auto" w:fill="FFFFFF" w:themeFill="background1"/>
            <w:tcMar>
              <w:top w:w="15" w:type="dxa"/>
              <w:left w:w="15" w:type="dxa"/>
              <w:right w:w="15" w:type="dxa"/>
            </w:tcMar>
            <w:vAlign w:val="center"/>
          </w:tcPr>
          <w:p w14:paraId="4C25A779">
            <w:pPr>
              <w:pageBreakBefore w:val="0"/>
              <w:widowControl w:val="0"/>
              <w:kinsoku/>
              <w:wordWrap/>
              <w:overflowPunct/>
              <w:bidi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83.25</w:t>
            </w:r>
          </w:p>
        </w:tc>
        <w:tc>
          <w:tcPr>
            <w:tcW w:w="548" w:type="pct"/>
            <w:shd w:val="clear" w:color="auto" w:fill="FFFFFF" w:themeFill="background1"/>
            <w:tcMar>
              <w:top w:w="15" w:type="dxa"/>
              <w:left w:w="15" w:type="dxa"/>
              <w:right w:w="15" w:type="dxa"/>
            </w:tcMar>
            <w:vAlign w:val="center"/>
          </w:tcPr>
          <w:p w14:paraId="47734CD9">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10.5</w:t>
            </w:r>
            <w:r>
              <w:rPr>
                <w:rFonts w:hint="eastAsia" w:ascii="宋体" w:hAnsi="宋体" w:eastAsia="宋体" w:cs="宋体"/>
                <w:color w:val="auto"/>
                <w:kern w:val="0"/>
                <w:sz w:val="21"/>
                <w:szCs w:val="21"/>
                <w:highlight w:val="none"/>
                <w:lang w:val="en-US" w:eastAsia="zh-CN" w:bidi="ar"/>
              </w:rPr>
              <w:t>%</w:t>
            </w:r>
          </w:p>
        </w:tc>
      </w:tr>
      <w:tr w14:paraId="1C03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385949C8">
            <w:pPr>
              <w:pageBreakBefore w:val="0"/>
              <w:widowControl w:val="0"/>
              <w:kinsoku/>
              <w:wordWrap/>
              <w:overflowPunct/>
              <w:bidi w:val="0"/>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6DB57197">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c>
          <w:tcPr>
            <w:tcW w:w="1796" w:type="pct"/>
            <w:gridSpan w:val="2"/>
            <w:shd w:val="clear" w:color="auto" w:fill="FFFFFF" w:themeFill="background1"/>
            <w:tcMar>
              <w:top w:w="15" w:type="dxa"/>
              <w:left w:w="15" w:type="dxa"/>
              <w:right w:w="15" w:type="dxa"/>
            </w:tcMar>
            <w:vAlign w:val="center"/>
          </w:tcPr>
          <w:p w14:paraId="4D809CB2">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进出口总额(亿美元)</w:t>
            </w:r>
          </w:p>
        </w:tc>
        <w:tc>
          <w:tcPr>
            <w:tcW w:w="468" w:type="pct"/>
            <w:shd w:val="clear" w:color="auto" w:fill="FFFFFF" w:themeFill="background1"/>
            <w:tcMar>
              <w:top w:w="15" w:type="dxa"/>
              <w:left w:w="15" w:type="dxa"/>
              <w:right w:w="15" w:type="dxa"/>
            </w:tcMar>
            <w:vAlign w:val="center"/>
          </w:tcPr>
          <w:p w14:paraId="6B32FAAB">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4EF4161F">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0.132</w:t>
            </w:r>
          </w:p>
        </w:tc>
        <w:tc>
          <w:tcPr>
            <w:tcW w:w="587" w:type="pct"/>
            <w:shd w:val="clear" w:color="auto" w:fill="FFFFFF" w:themeFill="background1"/>
            <w:tcMar>
              <w:top w:w="15" w:type="dxa"/>
              <w:left w:w="15" w:type="dxa"/>
              <w:right w:w="15" w:type="dxa"/>
            </w:tcMar>
            <w:vAlign w:val="center"/>
          </w:tcPr>
          <w:p w14:paraId="0533CA35">
            <w:pPr>
              <w:pageBreakBefore w:val="0"/>
              <w:widowControl w:val="0"/>
              <w:kinsoku/>
              <w:wordWrap/>
              <w:overflowPunct/>
              <w:bidi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15</w:t>
            </w:r>
            <w:r>
              <w:rPr>
                <w:rFonts w:hint="eastAsia" w:ascii="宋体" w:hAnsi="宋体" w:eastAsia="宋体" w:cs="宋体"/>
                <w:color w:val="auto"/>
                <w:kern w:val="0"/>
                <w:sz w:val="21"/>
                <w:szCs w:val="21"/>
                <w:highlight w:val="none"/>
                <w:lang w:val="en-US" w:eastAsia="zh-CN" w:bidi="ar"/>
              </w:rPr>
              <w:t>%</w:t>
            </w:r>
          </w:p>
        </w:tc>
        <w:tc>
          <w:tcPr>
            <w:tcW w:w="544" w:type="pct"/>
            <w:shd w:val="clear" w:color="auto" w:fill="FFFFFF" w:themeFill="background1"/>
            <w:tcMar>
              <w:top w:w="15" w:type="dxa"/>
              <w:left w:w="15" w:type="dxa"/>
              <w:right w:w="15" w:type="dxa"/>
            </w:tcMar>
            <w:vAlign w:val="center"/>
          </w:tcPr>
          <w:p w14:paraId="3A558B5D">
            <w:pPr>
              <w:pageBreakBefore w:val="0"/>
              <w:widowControl w:val="0"/>
              <w:kinsoku/>
              <w:wordWrap/>
              <w:overflowPunct/>
              <w:bidi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0.216</w:t>
            </w:r>
          </w:p>
        </w:tc>
        <w:tc>
          <w:tcPr>
            <w:tcW w:w="548" w:type="pct"/>
            <w:shd w:val="clear" w:color="auto" w:fill="FFFFFF" w:themeFill="background1"/>
            <w:tcMar>
              <w:top w:w="15" w:type="dxa"/>
              <w:left w:w="15" w:type="dxa"/>
              <w:right w:w="15" w:type="dxa"/>
            </w:tcMar>
            <w:vAlign w:val="center"/>
          </w:tcPr>
          <w:p w14:paraId="669297F0">
            <w:pPr>
              <w:pageBreakBefore w:val="0"/>
              <w:widowControl w:val="0"/>
              <w:kinsoku/>
              <w:wordWrap/>
              <w:overflowPunct/>
              <w:bidi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78.2%</w:t>
            </w:r>
          </w:p>
        </w:tc>
      </w:tr>
      <w:tr w14:paraId="2CCD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2B87D07C">
            <w:pPr>
              <w:pageBreakBefore w:val="0"/>
              <w:widowControl w:val="0"/>
              <w:kinsoku/>
              <w:wordWrap/>
              <w:overflowPunct/>
              <w:bidi w:val="0"/>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1735DAC1">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w:t>
            </w:r>
          </w:p>
        </w:tc>
        <w:tc>
          <w:tcPr>
            <w:tcW w:w="1796" w:type="pct"/>
            <w:gridSpan w:val="2"/>
            <w:shd w:val="clear" w:color="auto" w:fill="FFFFFF" w:themeFill="background1"/>
            <w:tcMar>
              <w:top w:w="15" w:type="dxa"/>
              <w:left w:w="15" w:type="dxa"/>
              <w:right w:w="15" w:type="dxa"/>
            </w:tcMar>
            <w:vAlign w:val="center"/>
          </w:tcPr>
          <w:p w14:paraId="4E36854D">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服务业增加值比重(%)</w:t>
            </w:r>
          </w:p>
        </w:tc>
        <w:tc>
          <w:tcPr>
            <w:tcW w:w="468" w:type="pct"/>
            <w:shd w:val="clear" w:color="auto" w:fill="FFFFFF" w:themeFill="background1"/>
            <w:tcMar>
              <w:top w:w="15" w:type="dxa"/>
              <w:left w:w="15" w:type="dxa"/>
              <w:right w:w="15" w:type="dxa"/>
            </w:tcMar>
            <w:vAlign w:val="center"/>
          </w:tcPr>
          <w:p w14:paraId="013309D2">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1B4383DD">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47.6</w:t>
            </w:r>
          </w:p>
        </w:tc>
        <w:tc>
          <w:tcPr>
            <w:tcW w:w="587" w:type="pct"/>
            <w:shd w:val="clear" w:color="auto" w:fill="FFFFFF" w:themeFill="background1"/>
            <w:tcMar>
              <w:top w:w="15" w:type="dxa"/>
              <w:left w:w="15" w:type="dxa"/>
              <w:right w:w="15" w:type="dxa"/>
            </w:tcMar>
            <w:vAlign w:val="center"/>
          </w:tcPr>
          <w:p w14:paraId="5DFEEFA7">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c>
          <w:tcPr>
            <w:tcW w:w="544" w:type="pct"/>
            <w:shd w:val="clear" w:color="auto" w:fill="FFFFFF" w:themeFill="background1"/>
            <w:noWrap/>
            <w:tcMar>
              <w:top w:w="15" w:type="dxa"/>
              <w:left w:w="15" w:type="dxa"/>
              <w:right w:w="15" w:type="dxa"/>
            </w:tcMar>
            <w:vAlign w:val="center"/>
          </w:tcPr>
          <w:p w14:paraId="347528FE">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55.2</w:t>
            </w:r>
          </w:p>
        </w:tc>
        <w:tc>
          <w:tcPr>
            <w:tcW w:w="548" w:type="pct"/>
            <w:shd w:val="clear" w:color="auto" w:fill="FFFFFF" w:themeFill="background1"/>
            <w:noWrap/>
            <w:tcMar>
              <w:top w:w="15" w:type="dxa"/>
              <w:left w:w="15" w:type="dxa"/>
              <w:right w:w="15" w:type="dxa"/>
            </w:tcMar>
            <w:vAlign w:val="center"/>
          </w:tcPr>
          <w:p w14:paraId="3D1F8DDE">
            <w:pPr>
              <w:pageBreakBefore w:val="0"/>
              <w:widowControl w:val="0"/>
              <w:kinsoku/>
              <w:wordWrap/>
              <w:overflowPunct/>
              <w:bidi w:val="0"/>
              <w:jc w:val="center"/>
              <w:rPr>
                <w:rFonts w:ascii="宋体" w:hAnsi="宋体" w:eastAsia="宋体" w:cs="宋体"/>
                <w:color w:val="auto"/>
                <w:sz w:val="21"/>
                <w:szCs w:val="21"/>
                <w:highlight w:val="none"/>
              </w:rPr>
            </w:pPr>
          </w:p>
        </w:tc>
      </w:tr>
      <w:tr w14:paraId="1264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3C64BD0A">
            <w:pPr>
              <w:pageBreakBefore w:val="0"/>
              <w:widowControl w:val="0"/>
              <w:kinsoku/>
              <w:wordWrap/>
              <w:overflowPunct/>
              <w:bidi w:val="0"/>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053D5FAF">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w:t>
            </w:r>
          </w:p>
        </w:tc>
        <w:tc>
          <w:tcPr>
            <w:tcW w:w="1796" w:type="pct"/>
            <w:gridSpan w:val="2"/>
            <w:shd w:val="clear" w:color="auto" w:fill="FFFFFF" w:themeFill="background1"/>
            <w:tcMar>
              <w:top w:w="15" w:type="dxa"/>
              <w:left w:w="15" w:type="dxa"/>
              <w:right w:w="15" w:type="dxa"/>
            </w:tcMar>
            <w:vAlign w:val="center"/>
          </w:tcPr>
          <w:p w14:paraId="16AA3954">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spacing w:val="-6"/>
                <w:kern w:val="0"/>
                <w:sz w:val="21"/>
                <w:szCs w:val="21"/>
                <w:highlight w:val="none"/>
                <w:lang w:bidi="ar"/>
              </w:rPr>
              <w:t>高新技术产业增加值占GDP比重(%)</w:t>
            </w:r>
          </w:p>
        </w:tc>
        <w:tc>
          <w:tcPr>
            <w:tcW w:w="468" w:type="pct"/>
            <w:shd w:val="clear" w:color="auto" w:fill="FFFFFF" w:themeFill="background1"/>
            <w:tcMar>
              <w:top w:w="15" w:type="dxa"/>
              <w:left w:w="15" w:type="dxa"/>
              <w:right w:w="15" w:type="dxa"/>
            </w:tcMar>
            <w:vAlign w:val="center"/>
          </w:tcPr>
          <w:p w14:paraId="3916C9DB">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1788853E">
            <w:pPr>
              <w:pageBreakBefore w:val="0"/>
              <w:widowControl w:val="0"/>
              <w:kinsoku/>
              <w:wordWrap/>
              <w:overflowPunct/>
              <w:bidi w:val="0"/>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4D2A517D">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[4.5]</w:t>
            </w:r>
          </w:p>
        </w:tc>
        <w:tc>
          <w:tcPr>
            <w:tcW w:w="544" w:type="pct"/>
            <w:shd w:val="clear" w:color="auto" w:fill="FFFFFF" w:themeFill="background1"/>
            <w:noWrap/>
            <w:tcMar>
              <w:top w:w="15" w:type="dxa"/>
              <w:left w:w="15" w:type="dxa"/>
              <w:right w:w="15" w:type="dxa"/>
            </w:tcMar>
            <w:vAlign w:val="center"/>
          </w:tcPr>
          <w:p w14:paraId="3204FD9C">
            <w:pPr>
              <w:pageBreakBefore w:val="0"/>
              <w:widowControl w:val="0"/>
              <w:kinsoku/>
              <w:wordWrap/>
              <w:overflowPunct/>
              <w:bidi w:val="0"/>
              <w:jc w:val="center"/>
              <w:rPr>
                <w:rFonts w:ascii="宋体" w:hAnsi="宋体" w:eastAsia="宋体" w:cs="宋体"/>
                <w:color w:val="auto"/>
                <w:sz w:val="21"/>
                <w:szCs w:val="21"/>
                <w:highlight w:val="none"/>
              </w:rPr>
            </w:pPr>
          </w:p>
        </w:tc>
        <w:tc>
          <w:tcPr>
            <w:tcW w:w="548" w:type="pct"/>
            <w:shd w:val="clear" w:color="auto" w:fill="FFFFFF" w:themeFill="background1"/>
            <w:noWrap/>
            <w:tcMar>
              <w:top w:w="15" w:type="dxa"/>
              <w:left w:w="15" w:type="dxa"/>
              <w:right w:w="15" w:type="dxa"/>
            </w:tcMar>
            <w:vAlign w:val="center"/>
          </w:tcPr>
          <w:p w14:paraId="78471EC3">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5.86</w:t>
            </w:r>
          </w:p>
        </w:tc>
      </w:tr>
      <w:tr w14:paraId="7A42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04A3E701">
            <w:pPr>
              <w:pageBreakBefore w:val="0"/>
              <w:widowControl w:val="0"/>
              <w:kinsoku/>
              <w:wordWrap/>
              <w:overflowPunct/>
              <w:bidi w:val="0"/>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3B4835BA">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w:t>
            </w:r>
          </w:p>
        </w:tc>
        <w:tc>
          <w:tcPr>
            <w:tcW w:w="1796" w:type="pct"/>
            <w:gridSpan w:val="2"/>
            <w:shd w:val="clear" w:color="auto" w:fill="FFFFFF" w:themeFill="background1"/>
            <w:tcMar>
              <w:top w:w="15" w:type="dxa"/>
              <w:left w:w="15" w:type="dxa"/>
              <w:right w:w="15" w:type="dxa"/>
            </w:tcMar>
            <w:vAlign w:val="center"/>
          </w:tcPr>
          <w:p w14:paraId="0B5D5D78">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城镇化率(%)</w:t>
            </w:r>
          </w:p>
        </w:tc>
        <w:tc>
          <w:tcPr>
            <w:tcW w:w="468" w:type="pct"/>
            <w:shd w:val="clear" w:color="auto" w:fill="FFFFFF" w:themeFill="background1"/>
            <w:tcMar>
              <w:top w:w="15" w:type="dxa"/>
              <w:left w:w="15" w:type="dxa"/>
              <w:right w:w="15" w:type="dxa"/>
            </w:tcMar>
            <w:vAlign w:val="center"/>
          </w:tcPr>
          <w:p w14:paraId="3AA20203">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5F00D9B1">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45</w:t>
            </w:r>
          </w:p>
        </w:tc>
        <w:tc>
          <w:tcPr>
            <w:tcW w:w="587" w:type="pct"/>
            <w:shd w:val="clear" w:color="auto" w:fill="FFFFFF" w:themeFill="background1"/>
            <w:tcMar>
              <w:top w:w="15" w:type="dxa"/>
              <w:left w:w="15" w:type="dxa"/>
              <w:right w:w="15" w:type="dxa"/>
            </w:tcMar>
            <w:vAlign w:val="center"/>
          </w:tcPr>
          <w:p w14:paraId="684609EB">
            <w:pPr>
              <w:pageBreakBefore w:val="0"/>
              <w:widowControl w:val="0"/>
              <w:kinsoku/>
              <w:wordWrap/>
              <w:overflowPunct/>
              <w:bidi w:val="0"/>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4.88</w:t>
            </w:r>
          </w:p>
        </w:tc>
        <w:tc>
          <w:tcPr>
            <w:tcW w:w="544" w:type="pct"/>
            <w:shd w:val="clear" w:color="auto" w:fill="FFFFFF" w:themeFill="background1"/>
            <w:noWrap/>
            <w:tcMar>
              <w:top w:w="15" w:type="dxa"/>
              <w:left w:w="15" w:type="dxa"/>
              <w:right w:w="15" w:type="dxa"/>
            </w:tcMar>
            <w:vAlign w:val="center"/>
          </w:tcPr>
          <w:p w14:paraId="6FFE92BD">
            <w:pPr>
              <w:pageBreakBefore w:val="0"/>
              <w:widowControl w:val="0"/>
              <w:kinsoku/>
              <w:wordWrap/>
              <w:overflowPunct/>
              <w:bidi w:val="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45.45</w:t>
            </w:r>
          </w:p>
        </w:tc>
        <w:tc>
          <w:tcPr>
            <w:tcW w:w="548" w:type="pct"/>
            <w:shd w:val="clear" w:color="auto" w:fill="FFFFFF" w:themeFill="background1"/>
            <w:noWrap/>
            <w:tcMar>
              <w:top w:w="15" w:type="dxa"/>
              <w:left w:w="15" w:type="dxa"/>
              <w:right w:w="15" w:type="dxa"/>
            </w:tcMar>
            <w:vAlign w:val="center"/>
          </w:tcPr>
          <w:p w14:paraId="1AB84F41">
            <w:pPr>
              <w:pageBreakBefore w:val="0"/>
              <w:widowControl w:val="0"/>
              <w:kinsoku/>
              <w:wordWrap/>
              <w:overflowPunct/>
              <w:bidi w:val="0"/>
              <w:jc w:val="center"/>
              <w:textAlignment w:val="center"/>
              <w:rPr>
                <w:rFonts w:ascii="宋体" w:hAnsi="宋体" w:eastAsia="宋体" w:cs="宋体"/>
                <w:color w:val="auto"/>
                <w:sz w:val="21"/>
                <w:szCs w:val="21"/>
                <w:highlight w:val="none"/>
              </w:rPr>
            </w:pPr>
          </w:p>
        </w:tc>
      </w:tr>
      <w:tr w14:paraId="2D13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84" w:hRule="atLeast"/>
        </w:trPr>
        <w:tc>
          <w:tcPr>
            <w:tcW w:w="353" w:type="pct"/>
            <w:vMerge w:val="restart"/>
            <w:shd w:val="clear" w:color="auto" w:fill="FFFFFF" w:themeFill="background1"/>
            <w:tcMar>
              <w:top w:w="15" w:type="dxa"/>
              <w:left w:w="15" w:type="dxa"/>
              <w:right w:w="15" w:type="dxa"/>
            </w:tcMar>
            <w:vAlign w:val="center"/>
          </w:tcPr>
          <w:p w14:paraId="0BCB9161">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创新驱动</w:t>
            </w:r>
          </w:p>
        </w:tc>
        <w:tc>
          <w:tcPr>
            <w:tcW w:w="259" w:type="pct"/>
            <w:shd w:val="clear" w:color="auto" w:fill="FFFFFF" w:themeFill="background1"/>
            <w:tcMar>
              <w:top w:w="15" w:type="dxa"/>
              <w:left w:w="15" w:type="dxa"/>
              <w:right w:w="15" w:type="dxa"/>
            </w:tcMar>
            <w:vAlign w:val="center"/>
          </w:tcPr>
          <w:p w14:paraId="45C3AA3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c>
          <w:tcPr>
            <w:tcW w:w="1796" w:type="pct"/>
            <w:gridSpan w:val="2"/>
            <w:shd w:val="clear" w:color="auto" w:fill="FFFFFF" w:themeFill="background1"/>
            <w:tcMar>
              <w:top w:w="15" w:type="dxa"/>
              <w:left w:w="15" w:type="dxa"/>
              <w:right w:w="15" w:type="dxa"/>
            </w:tcMar>
            <w:vAlign w:val="center"/>
          </w:tcPr>
          <w:p w14:paraId="48FD4B4C">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九年义务教育巩固率(%)</w:t>
            </w:r>
          </w:p>
        </w:tc>
        <w:tc>
          <w:tcPr>
            <w:tcW w:w="468" w:type="pct"/>
            <w:shd w:val="clear" w:color="auto" w:fill="FFFFFF" w:themeFill="background1"/>
            <w:tcMar>
              <w:top w:w="15" w:type="dxa"/>
              <w:left w:w="15" w:type="dxa"/>
              <w:right w:w="15" w:type="dxa"/>
            </w:tcMar>
            <w:vAlign w:val="center"/>
          </w:tcPr>
          <w:p w14:paraId="21D46C4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40D72D13">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98</w:t>
            </w:r>
          </w:p>
        </w:tc>
        <w:tc>
          <w:tcPr>
            <w:tcW w:w="587" w:type="pct"/>
            <w:shd w:val="clear" w:color="auto" w:fill="FFFFFF" w:themeFill="background1"/>
            <w:tcMar>
              <w:top w:w="15" w:type="dxa"/>
              <w:left w:w="15" w:type="dxa"/>
              <w:right w:w="15" w:type="dxa"/>
            </w:tcMar>
            <w:vAlign w:val="center"/>
          </w:tcPr>
          <w:p w14:paraId="30A436EA">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315FA7D1">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99</w:t>
            </w:r>
          </w:p>
        </w:tc>
        <w:tc>
          <w:tcPr>
            <w:tcW w:w="548" w:type="pct"/>
            <w:shd w:val="clear" w:color="auto" w:fill="FFFFFF" w:themeFill="background1"/>
            <w:noWrap/>
            <w:tcMar>
              <w:top w:w="15" w:type="dxa"/>
              <w:left w:w="15" w:type="dxa"/>
              <w:right w:w="15" w:type="dxa"/>
            </w:tcMar>
            <w:vAlign w:val="center"/>
          </w:tcPr>
          <w:p w14:paraId="78FCF806">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7F5D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7D4ECD83">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05643F8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w:t>
            </w:r>
          </w:p>
        </w:tc>
        <w:tc>
          <w:tcPr>
            <w:tcW w:w="1796" w:type="pct"/>
            <w:gridSpan w:val="2"/>
            <w:shd w:val="clear" w:color="auto" w:fill="FFFFFF" w:themeFill="background1"/>
            <w:tcMar>
              <w:top w:w="15" w:type="dxa"/>
              <w:left w:w="15" w:type="dxa"/>
              <w:right w:w="15" w:type="dxa"/>
            </w:tcMar>
            <w:vAlign w:val="center"/>
          </w:tcPr>
          <w:p w14:paraId="642240C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高中阶段教育毛入学率(%)</w:t>
            </w:r>
          </w:p>
        </w:tc>
        <w:tc>
          <w:tcPr>
            <w:tcW w:w="468" w:type="pct"/>
            <w:shd w:val="clear" w:color="auto" w:fill="FFFFFF" w:themeFill="background1"/>
            <w:tcMar>
              <w:top w:w="15" w:type="dxa"/>
              <w:left w:w="15" w:type="dxa"/>
              <w:right w:w="15" w:type="dxa"/>
            </w:tcMar>
            <w:vAlign w:val="center"/>
          </w:tcPr>
          <w:p w14:paraId="6E77E222">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716B8938">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90</w:t>
            </w:r>
          </w:p>
        </w:tc>
        <w:tc>
          <w:tcPr>
            <w:tcW w:w="587" w:type="pct"/>
            <w:shd w:val="clear" w:color="auto" w:fill="FFFFFF" w:themeFill="background1"/>
            <w:tcMar>
              <w:top w:w="15" w:type="dxa"/>
              <w:left w:w="15" w:type="dxa"/>
              <w:right w:w="15" w:type="dxa"/>
            </w:tcMar>
            <w:vAlign w:val="center"/>
          </w:tcPr>
          <w:p w14:paraId="36EB879A">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5147D5DB">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98</w:t>
            </w:r>
          </w:p>
        </w:tc>
        <w:tc>
          <w:tcPr>
            <w:tcW w:w="548" w:type="pct"/>
            <w:shd w:val="clear" w:color="auto" w:fill="FFFFFF" w:themeFill="background1"/>
            <w:noWrap/>
            <w:tcMar>
              <w:top w:w="15" w:type="dxa"/>
              <w:left w:w="15" w:type="dxa"/>
              <w:right w:w="15" w:type="dxa"/>
            </w:tcMar>
            <w:vAlign w:val="center"/>
          </w:tcPr>
          <w:p w14:paraId="59E52598">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54F1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59AB4064">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66597C7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w:t>
            </w:r>
          </w:p>
        </w:tc>
        <w:tc>
          <w:tcPr>
            <w:tcW w:w="1796" w:type="pct"/>
            <w:gridSpan w:val="2"/>
            <w:shd w:val="clear" w:color="auto" w:fill="FFFFFF" w:themeFill="background1"/>
            <w:tcMar>
              <w:top w:w="15" w:type="dxa"/>
              <w:left w:w="15" w:type="dxa"/>
              <w:right w:w="15" w:type="dxa"/>
            </w:tcMar>
            <w:vAlign w:val="center"/>
          </w:tcPr>
          <w:p w14:paraId="671AF903">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研究与实验发展经费支出占地区生产总值比重(%)</w:t>
            </w:r>
          </w:p>
        </w:tc>
        <w:tc>
          <w:tcPr>
            <w:tcW w:w="468" w:type="pct"/>
            <w:shd w:val="clear" w:color="auto" w:fill="FFFFFF" w:themeFill="background1"/>
            <w:tcMar>
              <w:top w:w="15" w:type="dxa"/>
              <w:left w:w="15" w:type="dxa"/>
              <w:right w:w="15" w:type="dxa"/>
            </w:tcMar>
            <w:vAlign w:val="center"/>
          </w:tcPr>
          <w:p w14:paraId="7FE5A46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51BF4091">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2.3</w:t>
            </w:r>
          </w:p>
        </w:tc>
        <w:tc>
          <w:tcPr>
            <w:tcW w:w="587" w:type="pct"/>
            <w:shd w:val="clear" w:color="auto" w:fill="FFFFFF" w:themeFill="background1"/>
            <w:tcMar>
              <w:top w:w="15" w:type="dxa"/>
              <w:left w:w="15" w:type="dxa"/>
              <w:right w:w="15" w:type="dxa"/>
            </w:tcMar>
            <w:vAlign w:val="center"/>
          </w:tcPr>
          <w:p w14:paraId="70BA2C97">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224B6FCE">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2.7</w:t>
            </w:r>
          </w:p>
        </w:tc>
        <w:tc>
          <w:tcPr>
            <w:tcW w:w="548" w:type="pct"/>
            <w:shd w:val="clear" w:color="auto" w:fill="FFFFFF" w:themeFill="background1"/>
            <w:noWrap/>
            <w:tcMar>
              <w:top w:w="15" w:type="dxa"/>
              <w:left w:w="15" w:type="dxa"/>
              <w:right w:w="15" w:type="dxa"/>
            </w:tcMar>
            <w:vAlign w:val="center"/>
          </w:tcPr>
          <w:p w14:paraId="6F9F48B9">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77FD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358D2075">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62175F0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w:t>
            </w:r>
          </w:p>
        </w:tc>
        <w:tc>
          <w:tcPr>
            <w:tcW w:w="1796" w:type="pct"/>
            <w:gridSpan w:val="2"/>
            <w:shd w:val="clear" w:color="auto" w:fill="FFFFFF" w:themeFill="background1"/>
            <w:tcMar>
              <w:top w:w="15" w:type="dxa"/>
              <w:left w:w="15" w:type="dxa"/>
              <w:right w:w="15" w:type="dxa"/>
            </w:tcMar>
            <w:vAlign w:val="center"/>
          </w:tcPr>
          <w:p w14:paraId="27C0099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每万人发明专利拥有量(件)</w:t>
            </w:r>
          </w:p>
        </w:tc>
        <w:tc>
          <w:tcPr>
            <w:tcW w:w="468" w:type="pct"/>
            <w:shd w:val="clear" w:color="auto" w:fill="FFFFFF" w:themeFill="background1"/>
            <w:tcMar>
              <w:top w:w="15" w:type="dxa"/>
              <w:left w:w="15" w:type="dxa"/>
              <w:right w:w="15" w:type="dxa"/>
            </w:tcMar>
            <w:vAlign w:val="center"/>
          </w:tcPr>
          <w:p w14:paraId="7F76F33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015E8745">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3.2</w:t>
            </w:r>
          </w:p>
        </w:tc>
        <w:tc>
          <w:tcPr>
            <w:tcW w:w="587" w:type="pct"/>
            <w:shd w:val="clear" w:color="auto" w:fill="FFFFFF" w:themeFill="background1"/>
            <w:tcMar>
              <w:top w:w="15" w:type="dxa"/>
              <w:left w:w="15" w:type="dxa"/>
              <w:right w:w="15" w:type="dxa"/>
            </w:tcMar>
            <w:vAlign w:val="center"/>
          </w:tcPr>
          <w:p w14:paraId="26834C85">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6487AB7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0.</w:t>
            </w:r>
            <w:r>
              <w:rPr>
                <w:rFonts w:hint="eastAsia" w:ascii="宋体" w:hAnsi="宋体" w:eastAsia="宋体" w:cs="宋体"/>
                <w:color w:val="auto"/>
                <w:kern w:val="0"/>
                <w:sz w:val="21"/>
                <w:szCs w:val="21"/>
                <w:highlight w:val="none"/>
                <w:lang w:val="en-US" w:eastAsia="zh-CN" w:bidi="ar"/>
              </w:rPr>
              <w:t>25</w:t>
            </w:r>
          </w:p>
        </w:tc>
        <w:tc>
          <w:tcPr>
            <w:tcW w:w="548" w:type="pct"/>
            <w:shd w:val="clear" w:color="auto" w:fill="FFFFFF" w:themeFill="background1"/>
            <w:noWrap/>
            <w:tcMar>
              <w:top w:w="15" w:type="dxa"/>
              <w:left w:w="15" w:type="dxa"/>
              <w:right w:w="15" w:type="dxa"/>
            </w:tcMar>
            <w:vAlign w:val="center"/>
          </w:tcPr>
          <w:p w14:paraId="43C012CC">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7D51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restart"/>
            <w:shd w:val="clear" w:color="auto" w:fill="FFFFFF" w:themeFill="background1"/>
            <w:tcMar>
              <w:top w:w="15" w:type="dxa"/>
              <w:left w:w="15" w:type="dxa"/>
              <w:right w:w="15" w:type="dxa"/>
            </w:tcMar>
            <w:vAlign w:val="center"/>
          </w:tcPr>
          <w:p w14:paraId="0ADB102E">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社会民生</w:t>
            </w:r>
          </w:p>
          <w:p w14:paraId="51A8D4F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4C5E4E84">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w:t>
            </w:r>
          </w:p>
        </w:tc>
        <w:tc>
          <w:tcPr>
            <w:tcW w:w="1796" w:type="pct"/>
            <w:gridSpan w:val="2"/>
            <w:shd w:val="clear" w:color="auto" w:fill="FFFFFF" w:themeFill="background1"/>
            <w:tcMar>
              <w:top w:w="15" w:type="dxa"/>
              <w:left w:w="15" w:type="dxa"/>
              <w:right w:w="15" w:type="dxa"/>
            </w:tcMar>
            <w:vAlign w:val="center"/>
          </w:tcPr>
          <w:p w14:paraId="38FEA98C">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互联网普及率(%)</w:t>
            </w:r>
          </w:p>
        </w:tc>
        <w:tc>
          <w:tcPr>
            <w:tcW w:w="468" w:type="pct"/>
            <w:shd w:val="clear" w:color="auto" w:fill="FFFFFF" w:themeFill="background1"/>
            <w:tcMar>
              <w:top w:w="15" w:type="dxa"/>
              <w:left w:w="15" w:type="dxa"/>
              <w:right w:w="15" w:type="dxa"/>
            </w:tcMar>
            <w:vAlign w:val="center"/>
          </w:tcPr>
          <w:p w14:paraId="1DBF168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400AD138">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80</w:t>
            </w:r>
          </w:p>
        </w:tc>
        <w:tc>
          <w:tcPr>
            <w:tcW w:w="587" w:type="pct"/>
            <w:shd w:val="clear" w:color="auto" w:fill="FFFFFF" w:themeFill="background1"/>
            <w:tcMar>
              <w:top w:w="15" w:type="dxa"/>
              <w:left w:w="15" w:type="dxa"/>
              <w:right w:w="15" w:type="dxa"/>
            </w:tcMar>
            <w:vAlign w:val="center"/>
          </w:tcPr>
          <w:p w14:paraId="1819B542">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0EC31D8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60</w:t>
            </w:r>
          </w:p>
        </w:tc>
        <w:tc>
          <w:tcPr>
            <w:tcW w:w="548" w:type="pct"/>
            <w:shd w:val="clear" w:color="auto" w:fill="FFFFFF" w:themeFill="background1"/>
            <w:noWrap/>
            <w:tcMar>
              <w:top w:w="15" w:type="dxa"/>
              <w:left w:w="15" w:type="dxa"/>
              <w:right w:w="15" w:type="dxa"/>
            </w:tcMar>
            <w:vAlign w:val="center"/>
          </w:tcPr>
          <w:p w14:paraId="36EFA365">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7DDB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10595E96">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215B584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w:t>
            </w:r>
          </w:p>
        </w:tc>
        <w:tc>
          <w:tcPr>
            <w:tcW w:w="1796" w:type="pct"/>
            <w:gridSpan w:val="2"/>
            <w:shd w:val="clear" w:color="auto" w:fill="FFFFFF" w:themeFill="background1"/>
            <w:tcMar>
              <w:top w:w="15" w:type="dxa"/>
              <w:left w:w="15" w:type="dxa"/>
              <w:right w:w="15" w:type="dxa"/>
            </w:tcMar>
            <w:vAlign w:val="center"/>
          </w:tcPr>
          <w:p w14:paraId="1D699F0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城镇登记失业率(%)</w:t>
            </w:r>
          </w:p>
        </w:tc>
        <w:tc>
          <w:tcPr>
            <w:tcW w:w="468" w:type="pct"/>
            <w:shd w:val="clear" w:color="auto" w:fill="FFFFFF" w:themeFill="background1"/>
            <w:tcMar>
              <w:top w:w="15" w:type="dxa"/>
              <w:left w:w="15" w:type="dxa"/>
              <w:right w:w="15" w:type="dxa"/>
            </w:tcMar>
            <w:vAlign w:val="center"/>
          </w:tcPr>
          <w:p w14:paraId="58F2C048">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59417234">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&lt;4.5</w:t>
            </w:r>
          </w:p>
        </w:tc>
        <w:tc>
          <w:tcPr>
            <w:tcW w:w="587" w:type="pct"/>
            <w:shd w:val="clear" w:color="auto" w:fill="FFFFFF" w:themeFill="background1"/>
            <w:tcMar>
              <w:top w:w="15" w:type="dxa"/>
              <w:left w:w="15" w:type="dxa"/>
              <w:right w:w="15" w:type="dxa"/>
            </w:tcMar>
            <w:vAlign w:val="center"/>
          </w:tcPr>
          <w:p w14:paraId="24E0D0FC">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252D61FC">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4.5</w:t>
            </w:r>
          </w:p>
        </w:tc>
        <w:tc>
          <w:tcPr>
            <w:tcW w:w="548" w:type="pct"/>
            <w:shd w:val="clear" w:color="auto" w:fill="FFFFFF" w:themeFill="background1"/>
            <w:noWrap/>
            <w:tcMar>
              <w:top w:w="15" w:type="dxa"/>
              <w:left w:w="15" w:type="dxa"/>
              <w:right w:w="15" w:type="dxa"/>
            </w:tcMar>
            <w:vAlign w:val="center"/>
          </w:tcPr>
          <w:p w14:paraId="6004BB19">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4993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31E95A56">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56DD5E04">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w:t>
            </w:r>
          </w:p>
        </w:tc>
        <w:tc>
          <w:tcPr>
            <w:tcW w:w="1796" w:type="pct"/>
            <w:gridSpan w:val="2"/>
            <w:shd w:val="clear" w:color="auto" w:fill="FFFFFF" w:themeFill="background1"/>
            <w:tcMar>
              <w:top w:w="15" w:type="dxa"/>
              <w:left w:w="15" w:type="dxa"/>
              <w:right w:w="15" w:type="dxa"/>
            </w:tcMar>
            <w:vAlign w:val="center"/>
          </w:tcPr>
          <w:p w14:paraId="51C7FEFA">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城镇净增就业人数(万人)</w:t>
            </w:r>
          </w:p>
        </w:tc>
        <w:tc>
          <w:tcPr>
            <w:tcW w:w="468" w:type="pct"/>
            <w:shd w:val="clear" w:color="auto" w:fill="FFFFFF" w:themeFill="background1"/>
            <w:tcMar>
              <w:top w:w="15" w:type="dxa"/>
              <w:left w:w="15" w:type="dxa"/>
              <w:right w:w="15" w:type="dxa"/>
            </w:tcMar>
            <w:vAlign w:val="center"/>
          </w:tcPr>
          <w:p w14:paraId="11FFC075">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15A6853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[2.25]</w:t>
            </w:r>
          </w:p>
        </w:tc>
        <w:tc>
          <w:tcPr>
            <w:tcW w:w="587" w:type="pct"/>
            <w:shd w:val="clear" w:color="auto" w:fill="FFFFFF" w:themeFill="background1"/>
            <w:tcMar>
              <w:top w:w="15" w:type="dxa"/>
              <w:left w:w="15" w:type="dxa"/>
              <w:right w:w="15" w:type="dxa"/>
            </w:tcMar>
            <w:vAlign w:val="center"/>
          </w:tcPr>
          <w:p w14:paraId="7B9D558C">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10DC6845">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2.255</w:t>
            </w:r>
          </w:p>
        </w:tc>
        <w:tc>
          <w:tcPr>
            <w:tcW w:w="548" w:type="pct"/>
            <w:shd w:val="clear" w:color="auto" w:fill="FFFFFF" w:themeFill="background1"/>
            <w:noWrap/>
            <w:tcMar>
              <w:top w:w="15" w:type="dxa"/>
              <w:left w:w="15" w:type="dxa"/>
              <w:right w:w="15" w:type="dxa"/>
            </w:tcMar>
            <w:vAlign w:val="center"/>
          </w:tcPr>
          <w:p w14:paraId="3CC4C963">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0335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30FEDA89">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06B46744">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w:t>
            </w:r>
          </w:p>
        </w:tc>
        <w:tc>
          <w:tcPr>
            <w:tcW w:w="1796" w:type="pct"/>
            <w:gridSpan w:val="2"/>
            <w:shd w:val="clear" w:color="auto" w:fill="FFFFFF" w:themeFill="background1"/>
            <w:tcMar>
              <w:top w:w="15" w:type="dxa"/>
              <w:left w:w="15" w:type="dxa"/>
              <w:right w:w="15" w:type="dxa"/>
            </w:tcMar>
            <w:vAlign w:val="center"/>
          </w:tcPr>
          <w:p w14:paraId="26307E0B">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城乡三项医疗保险参保率(%)</w:t>
            </w:r>
          </w:p>
        </w:tc>
        <w:tc>
          <w:tcPr>
            <w:tcW w:w="468" w:type="pct"/>
            <w:shd w:val="clear" w:color="auto" w:fill="FFFFFF" w:themeFill="background1"/>
            <w:tcMar>
              <w:top w:w="15" w:type="dxa"/>
              <w:left w:w="15" w:type="dxa"/>
              <w:right w:w="15" w:type="dxa"/>
            </w:tcMar>
            <w:vAlign w:val="center"/>
          </w:tcPr>
          <w:p w14:paraId="57AF5E73">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3B82331B">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&gt;95</w:t>
            </w:r>
          </w:p>
        </w:tc>
        <w:tc>
          <w:tcPr>
            <w:tcW w:w="587" w:type="pct"/>
            <w:shd w:val="clear" w:color="auto" w:fill="FFFFFF" w:themeFill="background1"/>
            <w:tcMar>
              <w:top w:w="15" w:type="dxa"/>
              <w:left w:w="15" w:type="dxa"/>
              <w:right w:w="15" w:type="dxa"/>
            </w:tcMar>
            <w:vAlign w:val="center"/>
          </w:tcPr>
          <w:p w14:paraId="67687DD5">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4598D94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97.48</w:t>
            </w:r>
          </w:p>
        </w:tc>
        <w:tc>
          <w:tcPr>
            <w:tcW w:w="548" w:type="pct"/>
            <w:shd w:val="clear" w:color="auto" w:fill="FFFFFF" w:themeFill="background1"/>
            <w:noWrap/>
            <w:tcMar>
              <w:top w:w="15" w:type="dxa"/>
              <w:left w:w="15" w:type="dxa"/>
              <w:right w:w="15" w:type="dxa"/>
            </w:tcMar>
            <w:vAlign w:val="center"/>
          </w:tcPr>
          <w:p w14:paraId="0FCB438E">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09F8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62DE890F">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08AF99FF">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c>
          <w:tcPr>
            <w:tcW w:w="1796" w:type="pct"/>
            <w:gridSpan w:val="2"/>
            <w:shd w:val="clear" w:color="auto" w:fill="FFFFFF" w:themeFill="background1"/>
            <w:tcMar>
              <w:top w:w="15" w:type="dxa"/>
              <w:left w:w="15" w:type="dxa"/>
              <w:right w:w="15" w:type="dxa"/>
            </w:tcMar>
            <w:vAlign w:val="center"/>
          </w:tcPr>
          <w:p w14:paraId="5A32571C">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重点食品安全检测抽查合格率(%)</w:t>
            </w:r>
          </w:p>
        </w:tc>
        <w:tc>
          <w:tcPr>
            <w:tcW w:w="468" w:type="pct"/>
            <w:shd w:val="clear" w:color="auto" w:fill="FFFFFF" w:themeFill="background1"/>
            <w:tcMar>
              <w:top w:w="15" w:type="dxa"/>
              <w:left w:w="15" w:type="dxa"/>
              <w:right w:w="15" w:type="dxa"/>
            </w:tcMar>
            <w:vAlign w:val="center"/>
          </w:tcPr>
          <w:p w14:paraId="664D8242">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134D0A2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95</w:t>
            </w:r>
          </w:p>
        </w:tc>
        <w:tc>
          <w:tcPr>
            <w:tcW w:w="587" w:type="pct"/>
            <w:shd w:val="clear" w:color="auto" w:fill="FFFFFF" w:themeFill="background1"/>
            <w:tcMar>
              <w:top w:w="15" w:type="dxa"/>
              <w:left w:w="15" w:type="dxa"/>
              <w:right w:w="15" w:type="dxa"/>
            </w:tcMar>
            <w:vAlign w:val="center"/>
          </w:tcPr>
          <w:p w14:paraId="51B36374">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49C0DA9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97.5</w:t>
            </w:r>
          </w:p>
        </w:tc>
        <w:tc>
          <w:tcPr>
            <w:tcW w:w="548" w:type="pct"/>
            <w:shd w:val="clear" w:color="auto" w:fill="FFFFFF" w:themeFill="background1"/>
            <w:noWrap/>
            <w:tcMar>
              <w:top w:w="15" w:type="dxa"/>
              <w:left w:w="15" w:type="dxa"/>
              <w:right w:w="15" w:type="dxa"/>
            </w:tcMar>
            <w:vAlign w:val="center"/>
          </w:tcPr>
          <w:p w14:paraId="282BF7B2">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1496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62D4595F">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6FE5015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19</w:t>
            </w:r>
          </w:p>
        </w:tc>
        <w:tc>
          <w:tcPr>
            <w:tcW w:w="1796" w:type="pct"/>
            <w:gridSpan w:val="2"/>
            <w:shd w:val="clear" w:color="auto" w:fill="FFFFFF" w:themeFill="background1"/>
            <w:tcMar>
              <w:top w:w="15" w:type="dxa"/>
              <w:left w:w="15" w:type="dxa"/>
              <w:right w:w="15" w:type="dxa"/>
            </w:tcMar>
            <w:vAlign w:val="center"/>
          </w:tcPr>
          <w:p w14:paraId="2BD602E1">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药品评价性抽验总体合格率(%)</w:t>
            </w:r>
          </w:p>
        </w:tc>
        <w:tc>
          <w:tcPr>
            <w:tcW w:w="468" w:type="pct"/>
            <w:shd w:val="clear" w:color="auto" w:fill="FFFFFF" w:themeFill="background1"/>
            <w:tcMar>
              <w:top w:w="15" w:type="dxa"/>
              <w:left w:w="15" w:type="dxa"/>
              <w:right w:w="15" w:type="dxa"/>
            </w:tcMar>
            <w:vAlign w:val="center"/>
          </w:tcPr>
          <w:p w14:paraId="5F6586A1">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61A0CE52">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95</w:t>
            </w:r>
          </w:p>
        </w:tc>
        <w:tc>
          <w:tcPr>
            <w:tcW w:w="587" w:type="pct"/>
            <w:shd w:val="clear" w:color="auto" w:fill="FFFFFF" w:themeFill="background1"/>
            <w:tcMar>
              <w:top w:w="15" w:type="dxa"/>
              <w:left w:w="15" w:type="dxa"/>
              <w:right w:w="15" w:type="dxa"/>
            </w:tcMar>
            <w:vAlign w:val="center"/>
          </w:tcPr>
          <w:p w14:paraId="3EE8FB03">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30DB87A2">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97.7</w:t>
            </w:r>
          </w:p>
        </w:tc>
        <w:tc>
          <w:tcPr>
            <w:tcW w:w="548" w:type="pct"/>
            <w:shd w:val="clear" w:color="auto" w:fill="FFFFFF" w:themeFill="background1"/>
            <w:noWrap/>
            <w:tcMar>
              <w:top w:w="15" w:type="dxa"/>
              <w:left w:w="15" w:type="dxa"/>
              <w:right w:w="15" w:type="dxa"/>
            </w:tcMar>
            <w:vAlign w:val="center"/>
          </w:tcPr>
          <w:p w14:paraId="6964FD7E">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7A0A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797A9F1E">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032AF46D">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w:t>
            </w:r>
          </w:p>
        </w:tc>
        <w:tc>
          <w:tcPr>
            <w:tcW w:w="1796" w:type="pct"/>
            <w:gridSpan w:val="2"/>
            <w:shd w:val="clear" w:color="auto" w:fill="FFFFFF" w:themeFill="background1"/>
            <w:tcMar>
              <w:top w:w="15" w:type="dxa"/>
              <w:left w:w="15" w:type="dxa"/>
              <w:right w:w="15" w:type="dxa"/>
            </w:tcMar>
            <w:vAlign w:val="center"/>
          </w:tcPr>
          <w:p w14:paraId="5202FDD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全体居民人均可支配收入(元)</w:t>
            </w:r>
          </w:p>
        </w:tc>
        <w:tc>
          <w:tcPr>
            <w:tcW w:w="468" w:type="pct"/>
            <w:shd w:val="clear" w:color="auto" w:fill="FFFFFF" w:themeFill="background1"/>
            <w:tcMar>
              <w:top w:w="15" w:type="dxa"/>
              <w:left w:w="15" w:type="dxa"/>
              <w:right w:w="15" w:type="dxa"/>
            </w:tcMar>
            <w:vAlign w:val="center"/>
          </w:tcPr>
          <w:p w14:paraId="0A028841">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2AFEB7F2">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17600</w:t>
            </w:r>
          </w:p>
        </w:tc>
        <w:tc>
          <w:tcPr>
            <w:tcW w:w="587" w:type="pct"/>
            <w:shd w:val="clear" w:color="auto" w:fill="FFFFFF" w:themeFill="background1"/>
            <w:tcMar>
              <w:top w:w="15" w:type="dxa"/>
              <w:left w:w="15" w:type="dxa"/>
              <w:right w:w="15" w:type="dxa"/>
            </w:tcMar>
            <w:vAlign w:val="center"/>
          </w:tcPr>
          <w:p w14:paraId="3B2FA5F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color w:val="auto"/>
                <w:sz w:val="21"/>
                <w:szCs w:val="21"/>
                <w:highlight w:val="none"/>
                <w:lang w:val="en-US" w:eastAsia="zh-CN"/>
              </w:rPr>
            </w:pPr>
          </w:p>
        </w:tc>
        <w:tc>
          <w:tcPr>
            <w:tcW w:w="544" w:type="pct"/>
            <w:shd w:val="clear" w:color="auto" w:fill="FFFFFF" w:themeFill="background1"/>
            <w:noWrap/>
            <w:tcMar>
              <w:top w:w="15" w:type="dxa"/>
              <w:left w:w="15" w:type="dxa"/>
              <w:right w:w="15" w:type="dxa"/>
            </w:tcMar>
            <w:vAlign w:val="center"/>
          </w:tcPr>
          <w:p w14:paraId="2616437C">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20950</w:t>
            </w:r>
          </w:p>
        </w:tc>
        <w:tc>
          <w:tcPr>
            <w:tcW w:w="548" w:type="pct"/>
            <w:shd w:val="clear" w:color="auto" w:fill="FFFFFF" w:themeFill="background1"/>
            <w:noWrap/>
            <w:tcMar>
              <w:top w:w="15" w:type="dxa"/>
              <w:left w:w="15" w:type="dxa"/>
              <w:right w:w="15" w:type="dxa"/>
            </w:tcMar>
            <w:vAlign w:val="center"/>
          </w:tcPr>
          <w:p w14:paraId="031F7A7E">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4F51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46AFD99B">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7A135CE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21</w:t>
            </w:r>
          </w:p>
        </w:tc>
        <w:tc>
          <w:tcPr>
            <w:tcW w:w="1796" w:type="pct"/>
            <w:gridSpan w:val="2"/>
            <w:shd w:val="clear" w:color="auto" w:fill="FFFFFF" w:themeFill="background1"/>
            <w:tcMar>
              <w:top w:w="15" w:type="dxa"/>
              <w:left w:w="15" w:type="dxa"/>
              <w:right w:w="15" w:type="dxa"/>
            </w:tcMar>
            <w:vAlign w:val="center"/>
          </w:tcPr>
          <w:p w14:paraId="5C84516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城镇居民人均可支配收入(元)</w:t>
            </w:r>
          </w:p>
        </w:tc>
        <w:tc>
          <w:tcPr>
            <w:tcW w:w="468" w:type="pct"/>
            <w:shd w:val="clear" w:color="auto" w:fill="FFFFFF" w:themeFill="background1"/>
            <w:tcMar>
              <w:top w:w="15" w:type="dxa"/>
              <w:left w:w="15" w:type="dxa"/>
              <w:right w:w="15" w:type="dxa"/>
            </w:tcMar>
            <w:vAlign w:val="center"/>
          </w:tcPr>
          <w:p w14:paraId="48C2CEA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1F9B7E4C">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6144AEE1">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09A5668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29975</w:t>
            </w:r>
          </w:p>
        </w:tc>
        <w:tc>
          <w:tcPr>
            <w:tcW w:w="548" w:type="pct"/>
            <w:shd w:val="clear" w:color="auto" w:fill="FFFFFF" w:themeFill="background1"/>
            <w:noWrap/>
            <w:tcMar>
              <w:top w:w="15" w:type="dxa"/>
              <w:left w:w="15" w:type="dxa"/>
              <w:right w:w="15" w:type="dxa"/>
            </w:tcMar>
            <w:vAlign w:val="center"/>
          </w:tcPr>
          <w:p w14:paraId="442AE12B">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25E3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1F2BD247">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24BEE0FB">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22</w:t>
            </w:r>
          </w:p>
        </w:tc>
        <w:tc>
          <w:tcPr>
            <w:tcW w:w="1796" w:type="pct"/>
            <w:gridSpan w:val="2"/>
            <w:shd w:val="clear" w:color="auto" w:fill="FFFFFF" w:themeFill="background1"/>
            <w:tcMar>
              <w:top w:w="15" w:type="dxa"/>
              <w:left w:w="15" w:type="dxa"/>
              <w:right w:w="15" w:type="dxa"/>
            </w:tcMar>
            <w:vAlign w:val="center"/>
          </w:tcPr>
          <w:p w14:paraId="1A328B8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农村居民人均纯收入(元)</w:t>
            </w:r>
          </w:p>
        </w:tc>
        <w:tc>
          <w:tcPr>
            <w:tcW w:w="468" w:type="pct"/>
            <w:shd w:val="clear" w:color="auto" w:fill="FFFFFF" w:themeFill="background1"/>
            <w:tcMar>
              <w:top w:w="15" w:type="dxa"/>
              <w:left w:w="15" w:type="dxa"/>
              <w:right w:w="15" w:type="dxa"/>
            </w:tcMar>
            <w:vAlign w:val="center"/>
          </w:tcPr>
          <w:p w14:paraId="61E8C7A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0EC04B70">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2D1AE979">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4BFA2AB3">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14669</w:t>
            </w:r>
          </w:p>
        </w:tc>
        <w:tc>
          <w:tcPr>
            <w:tcW w:w="548" w:type="pct"/>
            <w:shd w:val="clear" w:color="auto" w:fill="FFFFFF" w:themeFill="background1"/>
            <w:noWrap/>
            <w:tcMar>
              <w:top w:w="15" w:type="dxa"/>
              <w:left w:w="15" w:type="dxa"/>
              <w:right w:w="15" w:type="dxa"/>
            </w:tcMar>
            <w:vAlign w:val="center"/>
          </w:tcPr>
          <w:p w14:paraId="68C2087F">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5618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23E78748">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0363D638">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23</w:t>
            </w:r>
          </w:p>
        </w:tc>
        <w:tc>
          <w:tcPr>
            <w:tcW w:w="1796" w:type="pct"/>
            <w:gridSpan w:val="2"/>
            <w:shd w:val="clear" w:color="auto" w:fill="FFFFFF" w:themeFill="background1"/>
            <w:tcMar>
              <w:top w:w="15" w:type="dxa"/>
              <w:left w:w="15" w:type="dxa"/>
              <w:right w:w="15" w:type="dxa"/>
            </w:tcMar>
            <w:vAlign w:val="center"/>
          </w:tcPr>
          <w:p w14:paraId="652A61F4">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贫困人口减少(万人)</w:t>
            </w:r>
          </w:p>
        </w:tc>
        <w:tc>
          <w:tcPr>
            <w:tcW w:w="468" w:type="pct"/>
            <w:shd w:val="clear" w:color="auto" w:fill="FFFFFF" w:themeFill="background1"/>
            <w:tcMar>
              <w:top w:w="15" w:type="dxa"/>
              <w:left w:w="15" w:type="dxa"/>
              <w:right w:w="15" w:type="dxa"/>
            </w:tcMar>
            <w:vAlign w:val="center"/>
          </w:tcPr>
          <w:p w14:paraId="42155F2D">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1D1E7BAD">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c>
          <w:tcPr>
            <w:tcW w:w="587" w:type="pct"/>
            <w:shd w:val="clear" w:color="auto" w:fill="FFFFFF" w:themeFill="background1"/>
            <w:tcMar>
              <w:top w:w="15" w:type="dxa"/>
              <w:left w:w="15" w:type="dxa"/>
              <w:right w:w="15" w:type="dxa"/>
            </w:tcMar>
            <w:vAlign w:val="center"/>
          </w:tcPr>
          <w:p w14:paraId="62B6FA56">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6844455F">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91523</w:t>
            </w:r>
          </w:p>
        </w:tc>
        <w:tc>
          <w:tcPr>
            <w:tcW w:w="548" w:type="pct"/>
            <w:shd w:val="clear" w:color="auto" w:fill="FFFFFF" w:themeFill="background1"/>
            <w:noWrap/>
            <w:tcMar>
              <w:top w:w="15" w:type="dxa"/>
              <w:left w:w="15" w:type="dxa"/>
              <w:right w:w="15" w:type="dxa"/>
            </w:tcMar>
            <w:vAlign w:val="center"/>
          </w:tcPr>
          <w:p w14:paraId="669E7AA0">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37BF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90" w:hRule="atLeast"/>
        </w:trPr>
        <w:tc>
          <w:tcPr>
            <w:tcW w:w="353" w:type="pct"/>
            <w:vMerge w:val="restart"/>
            <w:shd w:val="clear" w:color="auto" w:fill="FFFFFF" w:themeFill="background1"/>
            <w:tcMar>
              <w:top w:w="15" w:type="dxa"/>
              <w:left w:w="15" w:type="dxa"/>
              <w:right w:w="15" w:type="dxa"/>
            </w:tcMar>
            <w:vAlign w:val="center"/>
          </w:tcPr>
          <w:p w14:paraId="32412C1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资源环境</w:t>
            </w:r>
          </w:p>
        </w:tc>
        <w:tc>
          <w:tcPr>
            <w:tcW w:w="259" w:type="pct"/>
            <w:shd w:val="clear" w:color="auto" w:fill="FFFFFF" w:themeFill="background1"/>
            <w:tcMar>
              <w:top w:w="15" w:type="dxa"/>
              <w:left w:w="15" w:type="dxa"/>
              <w:right w:w="15" w:type="dxa"/>
            </w:tcMar>
            <w:vAlign w:val="center"/>
          </w:tcPr>
          <w:p w14:paraId="07296575">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w:t>
            </w:r>
          </w:p>
        </w:tc>
        <w:tc>
          <w:tcPr>
            <w:tcW w:w="1796" w:type="pct"/>
            <w:gridSpan w:val="2"/>
            <w:shd w:val="clear" w:color="auto" w:fill="FFFFFF" w:themeFill="background1"/>
            <w:tcMar>
              <w:top w:w="15" w:type="dxa"/>
              <w:left w:w="15" w:type="dxa"/>
              <w:right w:w="15" w:type="dxa"/>
            </w:tcMar>
            <w:vAlign w:val="center"/>
          </w:tcPr>
          <w:p w14:paraId="37936A3A">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耕地保有量(千公顷)</w:t>
            </w:r>
          </w:p>
        </w:tc>
        <w:tc>
          <w:tcPr>
            <w:tcW w:w="468" w:type="pct"/>
            <w:shd w:val="clear" w:color="auto" w:fill="FFFFFF" w:themeFill="background1"/>
            <w:tcMar>
              <w:top w:w="15" w:type="dxa"/>
              <w:left w:w="15" w:type="dxa"/>
              <w:right w:w="15" w:type="dxa"/>
            </w:tcMar>
            <w:vAlign w:val="center"/>
          </w:tcPr>
          <w:p w14:paraId="54964A5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31062704">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&gt;44.114</w:t>
            </w:r>
          </w:p>
        </w:tc>
        <w:tc>
          <w:tcPr>
            <w:tcW w:w="587" w:type="pct"/>
            <w:shd w:val="clear" w:color="auto" w:fill="FFFFFF" w:themeFill="background1"/>
            <w:tcMar>
              <w:top w:w="15" w:type="dxa"/>
              <w:left w:w="15" w:type="dxa"/>
              <w:right w:w="15" w:type="dxa"/>
            </w:tcMar>
            <w:vAlign w:val="center"/>
          </w:tcPr>
          <w:p w14:paraId="0C5434CD">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26506F8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49.94</w:t>
            </w:r>
          </w:p>
        </w:tc>
        <w:tc>
          <w:tcPr>
            <w:tcW w:w="548" w:type="pct"/>
            <w:shd w:val="clear" w:color="auto" w:fill="FFFFFF" w:themeFill="background1"/>
            <w:noWrap/>
            <w:tcMar>
              <w:top w:w="15" w:type="dxa"/>
              <w:left w:w="15" w:type="dxa"/>
              <w:right w:w="15" w:type="dxa"/>
            </w:tcMar>
            <w:vAlign w:val="center"/>
          </w:tcPr>
          <w:p w14:paraId="1E87357D">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6BD8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73EB7C99">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7F8C223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25</w:t>
            </w:r>
          </w:p>
        </w:tc>
        <w:tc>
          <w:tcPr>
            <w:tcW w:w="1796" w:type="pct"/>
            <w:gridSpan w:val="2"/>
            <w:shd w:val="clear" w:color="auto" w:fill="FFFFFF" w:themeFill="background1"/>
            <w:tcMar>
              <w:top w:w="15" w:type="dxa"/>
              <w:left w:w="15" w:type="dxa"/>
              <w:right w:w="15" w:type="dxa"/>
            </w:tcMar>
            <w:vAlign w:val="center"/>
          </w:tcPr>
          <w:p w14:paraId="62CB95D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万元工业增加值用水量(m</w:t>
            </w:r>
            <w:r>
              <w:rPr>
                <w:rFonts w:hint="eastAsia" w:ascii="宋体" w:hAnsi="宋体" w:eastAsia="宋体" w:cs="宋体"/>
                <w:color w:val="auto"/>
                <w:kern w:val="0"/>
                <w:sz w:val="21"/>
                <w:szCs w:val="21"/>
                <w:highlight w:val="none"/>
                <w:vertAlign w:val="superscript"/>
                <w:lang w:bidi="ar"/>
              </w:rPr>
              <w:t>3</w:t>
            </w:r>
            <w:r>
              <w:rPr>
                <w:rStyle w:val="39"/>
                <w:rFonts w:hint="default"/>
                <w:color w:val="auto"/>
                <w:highlight w:val="none"/>
                <w:lang w:bidi="ar"/>
              </w:rPr>
              <w:t>)</w:t>
            </w:r>
          </w:p>
        </w:tc>
        <w:tc>
          <w:tcPr>
            <w:tcW w:w="468" w:type="pct"/>
            <w:shd w:val="clear" w:color="auto" w:fill="FFFFFF" w:themeFill="background1"/>
            <w:tcMar>
              <w:top w:w="15" w:type="dxa"/>
              <w:left w:w="15" w:type="dxa"/>
              <w:right w:w="15" w:type="dxa"/>
            </w:tcMar>
            <w:vAlign w:val="center"/>
          </w:tcPr>
          <w:p w14:paraId="4C14BF7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6488DF73">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62</w:t>
            </w:r>
          </w:p>
        </w:tc>
        <w:tc>
          <w:tcPr>
            <w:tcW w:w="587" w:type="pct"/>
            <w:shd w:val="clear" w:color="auto" w:fill="FFFFFF" w:themeFill="background1"/>
            <w:tcMar>
              <w:top w:w="15" w:type="dxa"/>
              <w:left w:w="15" w:type="dxa"/>
              <w:right w:w="15" w:type="dxa"/>
            </w:tcMar>
            <w:vAlign w:val="center"/>
          </w:tcPr>
          <w:p w14:paraId="5FEF5A2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bidi="ar"/>
              </w:rPr>
              <w:t>-41.7</w:t>
            </w:r>
            <w:r>
              <w:rPr>
                <w:rFonts w:hint="eastAsia" w:ascii="宋体" w:hAnsi="宋体" w:eastAsia="宋体" w:cs="宋体"/>
                <w:color w:val="auto"/>
                <w:kern w:val="0"/>
                <w:sz w:val="21"/>
                <w:szCs w:val="21"/>
                <w:highlight w:val="none"/>
                <w:lang w:val="en-US" w:eastAsia="zh-CN" w:bidi="ar"/>
              </w:rPr>
              <w:t>%</w:t>
            </w:r>
          </w:p>
        </w:tc>
        <w:tc>
          <w:tcPr>
            <w:tcW w:w="544" w:type="pct"/>
            <w:shd w:val="clear" w:color="auto" w:fill="FFFFFF" w:themeFill="background1"/>
            <w:noWrap/>
            <w:tcMar>
              <w:top w:w="15" w:type="dxa"/>
              <w:left w:w="15" w:type="dxa"/>
              <w:right w:w="15" w:type="dxa"/>
            </w:tcMar>
            <w:vAlign w:val="center"/>
          </w:tcPr>
          <w:p w14:paraId="1F693DDB">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62</w:t>
            </w:r>
          </w:p>
        </w:tc>
        <w:tc>
          <w:tcPr>
            <w:tcW w:w="548" w:type="pct"/>
            <w:shd w:val="clear" w:color="auto" w:fill="FFFFFF" w:themeFill="background1"/>
            <w:noWrap/>
            <w:tcMar>
              <w:top w:w="15" w:type="dxa"/>
              <w:left w:w="15" w:type="dxa"/>
              <w:right w:w="15" w:type="dxa"/>
            </w:tcMar>
            <w:vAlign w:val="center"/>
          </w:tcPr>
          <w:p w14:paraId="0AD5C49B">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5AC5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2622EA71">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608A39DE">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26</w:t>
            </w:r>
          </w:p>
        </w:tc>
        <w:tc>
          <w:tcPr>
            <w:tcW w:w="1796" w:type="pct"/>
            <w:gridSpan w:val="2"/>
            <w:shd w:val="clear" w:color="auto" w:fill="FFFFFF" w:themeFill="background1"/>
            <w:tcMar>
              <w:top w:w="15" w:type="dxa"/>
              <w:left w:w="15" w:type="dxa"/>
              <w:right w:w="15" w:type="dxa"/>
            </w:tcMar>
            <w:vAlign w:val="center"/>
          </w:tcPr>
          <w:p w14:paraId="564DCDCB">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农业灌溉用水有效利用系数</w:t>
            </w:r>
          </w:p>
        </w:tc>
        <w:tc>
          <w:tcPr>
            <w:tcW w:w="468" w:type="pct"/>
            <w:shd w:val="clear" w:color="auto" w:fill="FFFFFF" w:themeFill="background1"/>
            <w:tcMar>
              <w:top w:w="15" w:type="dxa"/>
              <w:left w:w="15" w:type="dxa"/>
              <w:right w:w="15" w:type="dxa"/>
            </w:tcMar>
            <w:vAlign w:val="center"/>
          </w:tcPr>
          <w:p w14:paraId="17E3417D">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预期性</w:t>
            </w:r>
          </w:p>
        </w:tc>
        <w:tc>
          <w:tcPr>
            <w:tcW w:w="442" w:type="pct"/>
            <w:shd w:val="clear" w:color="auto" w:fill="FFFFFF" w:themeFill="background1"/>
            <w:tcMar>
              <w:top w:w="15" w:type="dxa"/>
              <w:left w:w="15" w:type="dxa"/>
              <w:right w:w="15" w:type="dxa"/>
            </w:tcMar>
            <w:vAlign w:val="center"/>
          </w:tcPr>
          <w:p w14:paraId="7FC9E742">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0.53</w:t>
            </w:r>
          </w:p>
        </w:tc>
        <w:tc>
          <w:tcPr>
            <w:tcW w:w="587" w:type="pct"/>
            <w:shd w:val="clear" w:color="auto" w:fill="FFFFFF" w:themeFill="background1"/>
            <w:tcMar>
              <w:top w:w="15" w:type="dxa"/>
              <w:left w:w="15" w:type="dxa"/>
              <w:right w:w="15" w:type="dxa"/>
            </w:tcMar>
            <w:vAlign w:val="center"/>
          </w:tcPr>
          <w:p w14:paraId="2615A14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[0.04]</w:t>
            </w:r>
          </w:p>
        </w:tc>
        <w:tc>
          <w:tcPr>
            <w:tcW w:w="544" w:type="pct"/>
            <w:shd w:val="clear" w:color="auto" w:fill="FFFFFF" w:themeFill="background1"/>
            <w:noWrap/>
            <w:tcMar>
              <w:top w:w="15" w:type="dxa"/>
              <w:left w:w="15" w:type="dxa"/>
              <w:right w:w="15" w:type="dxa"/>
            </w:tcMar>
            <w:vAlign w:val="center"/>
          </w:tcPr>
          <w:p w14:paraId="52C52092">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0.531</w:t>
            </w:r>
          </w:p>
        </w:tc>
        <w:tc>
          <w:tcPr>
            <w:tcW w:w="548" w:type="pct"/>
            <w:shd w:val="clear" w:color="auto" w:fill="FFFFFF" w:themeFill="background1"/>
            <w:noWrap/>
            <w:tcMar>
              <w:top w:w="15" w:type="dxa"/>
              <w:left w:w="15" w:type="dxa"/>
              <w:right w:w="15" w:type="dxa"/>
            </w:tcMar>
            <w:vAlign w:val="center"/>
          </w:tcPr>
          <w:p w14:paraId="0B27E86F">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6700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553D1B8F">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49D1F0AA">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27</w:t>
            </w:r>
          </w:p>
        </w:tc>
        <w:tc>
          <w:tcPr>
            <w:tcW w:w="1796" w:type="pct"/>
            <w:gridSpan w:val="2"/>
            <w:shd w:val="clear" w:color="auto" w:fill="FFFFFF" w:themeFill="background1"/>
            <w:tcMar>
              <w:top w:w="15" w:type="dxa"/>
              <w:left w:w="15" w:type="dxa"/>
              <w:right w:w="15" w:type="dxa"/>
            </w:tcMar>
            <w:vAlign w:val="center"/>
          </w:tcPr>
          <w:p w14:paraId="6375A90E">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单位GDP二氧化碳排放降低(%)</w:t>
            </w:r>
          </w:p>
        </w:tc>
        <w:tc>
          <w:tcPr>
            <w:tcW w:w="468" w:type="pct"/>
            <w:shd w:val="clear" w:color="auto" w:fill="FFFFFF" w:themeFill="background1"/>
            <w:tcMar>
              <w:top w:w="15" w:type="dxa"/>
              <w:left w:w="15" w:type="dxa"/>
              <w:right w:w="15" w:type="dxa"/>
            </w:tcMar>
            <w:vAlign w:val="center"/>
          </w:tcPr>
          <w:p w14:paraId="6EDDDA3E">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49F3732D">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3AD5A4D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c>
          <w:tcPr>
            <w:tcW w:w="544" w:type="pct"/>
            <w:shd w:val="clear" w:color="auto" w:fill="FFFFFF" w:themeFill="background1"/>
            <w:noWrap/>
            <w:tcMar>
              <w:top w:w="15" w:type="dxa"/>
              <w:left w:w="15" w:type="dxa"/>
              <w:right w:w="15" w:type="dxa"/>
            </w:tcMar>
            <w:vAlign w:val="center"/>
          </w:tcPr>
          <w:p w14:paraId="6A20B1F6">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8" w:type="pct"/>
            <w:shd w:val="clear" w:color="auto" w:fill="FFFFFF" w:themeFill="background1"/>
            <w:noWrap/>
            <w:tcMar>
              <w:top w:w="15" w:type="dxa"/>
              <w:left w:w="15" w:type="dxa"/>
              <w:right w:w="15" w:type="dxa"/>
            </w:tcMar>
            <w:vAlign w:val="center"/>
          </w:tcPr>
          <w:p w14:paraId="3D8CB328">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r>
      <w:tr w14:paraId="1129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26CF2FCA">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79BD6D1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28</w:t>
            </w:r>
          </w:p>
        </w:tc>
        <w:tc>
          <w:tcPr>
            <w:tcW w:w="1796" w:type="pct"/>
            <w:gridSpan w:val="2"/>
            <w:shd w:val="clear" w:color="auto" w:fill="FFFFFF" w:themeFill="background1"/>
            <w:tcMar>
              <w:top w:w="15" w:type="dxa"/>
              <w:left w:w="15" w:type="dxa"/>
              <w:right w:w="15" w:type="dxa"/>
            </w:tcMar>
            <w:vAlign w:val="center"/>
          </w:tcPr>
          <w:p w14:paraId="61947D1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spacing w:val="-6"/>
                <w:kern w:val="0"/>
                <w:sz w:val="21"/>
                <w:szCs w:val="21"/>
                <w:highlight w:val="none"/>
                <w:lang w:bidi="ar"/>
              </w:rPr>
              <w:t>单位地区生产总值能源消耗降低(%)</w:t>
            </w:r>
          </w:p>
        </w:tc>
        <w:tc>
          <w:tcPr>
            <w:tcW w:w="468" w:type="pct"/>
            <w:shd w:val="clear" w:color="auto" w:fill="FFFFFF" w:themeFill="background1"/>
            <w:tcMar>
              <w:top w:w="15" w:type="dxa"/>
              <w:left w:w="15" w:type="dxa"/>
              <w:right w:w="15" w:type="dxa"/>
            </w:tcMar>
            <w:vAlign w:val="center"/>
          </w:tcPr>
          <w:p w14:paraId="72D9739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6F157137">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59309A8D">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w:t>
            </w:r>
          </w:p>
        </w:tc>
        <w:tc>
          <w:tcPr>
            <w:tcW w:w="544" w:type="pct"/>
            <w:shd w:val="clear" w:color="auto" w:fill="FFFFFF" w:themeFill="background1"/>
            <w:noWrap/>
            <w:tcMar>
              <w:top w:w="15" w:type="dxa"/>
              <w:left w:w="15" w:type="dxa"/>
              <w:right w:w="15" w:type="dxa"/>
            </w:tcMar>
            <w:vAlign w:val="center"/>
          </w:tcPr>
          <w:p w14:paraId="659B7E4C">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8" w:type="pct"/>
            <w:shd w:val="clear" w:color="auto" w:fill="FFFFFF" w:themeFill="background1"/>
            <w:noWrap/>
            <w:tcMar>
              <w:top w:w="15" w:type="dxa"/>
              <w:left w:w="15" w:type="dxa"/>
              <w:right w:w="15" w:type="dxa"/>
            </w:tcMar>
            <w:vAlign w:val="center"/>
          </w:tcPr>
          <w:p w14:paraId="2C1E823D">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w:t>
            </w:r>
          </w:p>
        </w:tc>
      </w:tr>
      <w:tr w14:paraId="63A5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691C79E1">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43FAAD71">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29</w:t>
            </w:r>
          </w:p>
        </w:tc>
        <w:tc>
          <w:tcPr>
            <w:tcW w:w="1796" w:type="pct"/>
            <w:gridSpan w:val="2"/>
            <w:shd w:val="clear" w:color="auto" w:fill="FFFFFF" w:themeFill="background1"/>
            <w:tcMar>
              <w:top w:w="15" w:type="dxa"/>
              <w:left w:w="15" w:type="dxa"/>
              <w:right w:w="15" w:type="dxa"/>
            </w:tcMar>
            <w:vAlign w:val="center"/>
          </w:tcPr>
          <w:p w14:paraId="3B20230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县级以上城镇生活污水处理率(%)</w:t>
            </w:r>
          </w:p>
        </w:tc>
        <w:tc>
          <w:tcPr>
            <w:tcW w:w="468" w:type="pct"/>
            <w:shd w:val="clear" w:color="auto" w:fill="FFFFFF" w:themeFill="background1"/>
            <w:tcMar>
              <w:top w:w="15" w:type="dxa"/>
              <w:left w:w="15" w:type="dxa"/>
              <w:right w:w="15" w:type="dxa"/>
            </w:tcMar>
            <w:vAlign w:val="center"/>
          </w:tcPr>
          <w:p w14:paraId="3EE1EBD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4C3E597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90</w:t>
            </w:r>
          </w:p>
        </w:tc>
        <w:tc>
          <w:tcPr>
            <w:tcW w:w="587" w:type="pct"/>
            <w:shd w:val="clear" w:color="auto" w:fill="FFFFFF" w:themeFill="background1"/>
            <w:tcMar>
              <w:top w:w="15" w:type="dxa"/>
              <w:left w:w="15" w:type="dxa"/>
              <w:right w:w="15" w:type="dxa"/>
            </w:tcMar>
            <w:vAlign w:val="center"/>
          </w:tcPr>
          <w:p w14:paraId="1004BEF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c>
          <w:tcPr>
            <w:tcW w:w="544" w:type="pct"/>
            <w:shd w:val="clear" w:color="auto" w:fill="FFFFFF" w:themeFill="background1"/>
            <w:noWrap/>
            <w:tcMar>
              <w:top w:w="15" w:type="dxa"/>
              <w:left w:w="15" w:type="dxa"/>
              <w:right w:w="15" w:type="dxa"/>
            </w:tcMar>
            <w:vAlign w:val="center"/>
          </w:tcPr>
          <w:p w14:paraId="0F95157B">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bidi="ar"/>
              </w:rPr>
              <w:t>93.1</w:t>
            </w:r>
            <w:r>
              <w:rPr>
                <w:rFonts w:hint="eastAsia" w:ascii="宋体" w:hAnsi="宋体" w:eastAsia="宋体" w:cs="宋体"/>
                <w:color w:val="auto"/>
                <w:kern w:val="0"/>
                <w:sz w:val="21"/>
                <w:szCs w:val="21"/>
                <w:highlight w:val="none"/>
                <w:lang w:val="en-US" w:eastAsia="zh-CN" w:bidi="ar"/>
              </w:rPr>
              <w:t>4</w:t>
            </w:r>
          </w:p>
        </w:tc>
        <w:tc>
          <w:tcPr>
            <w:tcW w:w="548" w:type="pct"/>
            <w:shd w:val="clear" w:color="auto" w:fill="FFFFFF" w:themeFill="background1"/>
            <w:noWrap/>
            <w:tcMar>
              <w:top w:w="15" w:type="dxa"/>
              <w:left w:w="15" w:type="dxa"/>
              <w:right w:w="15" w:type="dxa"/>
            </w:tcMar>
            <w:vAlign w:val="center"/>
          </w:tcPr>
          <w:p w14:paraId="253B720D">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r w14:paraId="61A2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62372C48">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vMerge w:val="restart"/>
            <w:shd w:val="clear" w:color="auto" w:fill="FFFFFF" w:themeFill="background1"/>
            <w:tcMar>
              <w:top w:w="15" w:type="dxa"/>
              <w:left w:w="15" w:type="dxa"/>
              <w:right w:w="15" w:type="dxa"/>
            </w:tcMar>
            <w:vAlign w:val="center"/>
          </w:tcPr>
          <w:p w14:paraId="39262E1B">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30</w:t>
            </w:r>
          </w:p>
        </w:tc>
        <w:tc>
          <w:tcPr>
            <w:tcW w:w="604" w:type="pct"/>
            <w:vMerge w:val="restart"/>
            <w:shd w:val="clear" w:color="auto" w:fill="FFFFFF" w:themeFill="background1"/>
            <w:tcMar>
              <w:top w:w="15" w:type="dxa"/>
              <w:left w:w="15" w:type="dxa"/>
              <w:right w:w="15" w:type="dxa"/>
            </w:tcMar>
            <w:vAlign w:val="center"/>
          </w:tcPr>
          <w:p w14:paraId="1165F3E4">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主要污染物排放总量减少</w:t>
            </w:r>
          </w:p>
        </w:tc>
        <w:tc>
          <w:tcPr>
            <w:tcW w:w="1191" w:type="pct"/>
            <w:shd w:val="clear" w:color="auto" w:fill="FFFFFF" w:themeFill="background1"/>
            <w:tcMar>
              <w:top w:w="15" w:type="dxa"/>
              <w:left w:w="15" w:type="dxa"/>
              <w:right w:w="15" w:type="dxa"/>
            </w:tcMar>
            <w:vAlign w:val="center"/>
          </w:tcPr>
          <w:p w14:paraId="741A5F6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化学需氧量(万吨)</w:t>
            </w:r>
          </w:p>
        </w:tc>
        <w:tc>
          <w:tcPr>
            <w:tcW w:w="468" w:type="pct"/>
            <w:vMerge w:val="restart"/>
            <w:shd w:val="clear" w:color="auto" w:fill="FFFFFF" w:themeFill="background1"/>
            <w:tcMar>
              <w:top w:w="15" w:type="dxa"/>
              <w:left w:w="15" w:type="dxa"/>
              <w:right w:w="15" w:type="dxa"/>
            </w:tcMar>
            <w:vAlign w:val="center"/>
          </w:tcPr>
          <w:p w14:paraId="4C4173EA">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5D8F6787">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3C473AC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[10.1%]</w:t>
            </w:r>
          </w:p>
        </w:tc>
        <w:tc>
          <w:tcPr>
            <w:tcW w:w="544" w:type="pct"/>
            <w:shd w:val="clear" w:color="auto" w:fill="FFFFFF" w:themeFill="background1"/>
            <w:noWrap/>
            <w:tcMar>
              <w:top w:w="15" w:type="dxa"/>
              <w:left w:w="15" w:type="dxa"/>
              <w:right w:w="15" w:type="dxa"/>
            </w:tcMar>
            <w:vAlign w:val="center"/>
          </w:tcPr>
          <w:p w14:paraId="2F74E38B">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8" w:type="pct"/>
            <w:shd w:val="clear" w:color="auto" w:fill="FFFFFF" w:themeFill="background1"/>
            <w:noWrap/>
            <w:tcMar>
              <w:top w:w="15" w:type="dxa"/>
              <w:left w:w="15" w:type="dxa"/>
              <w:right w:w="15" w:type="dxa"/>
            </w:tcMar>
            <w:vAlign w:val="center"/>
          </w:tcPr>
          <w:p w14:paraId="44BDD2EA">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[10.1%]</w:t>
            </w:r>
          </w:p>
        </w:tc>
      </w:tr>
      <w:tr w14:paraId="285C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5868D86C">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vMerge w:val="continue"/>
            <w:shd w:val="clear" w:color="auto" w:fill="FFFFFF" w:themeFill="background1"/>
            <w:tcMar>
              <w:top w:w="15" w:type="dxa"/>
              <w:left w:w="15" w:type="dxa"/>
              <w:right w:w="15" w:type="dxa"/>
            </w:tcMar>
            <w:vAlign w:val="center"/>
          </w:tcPr>
          <w:p w14:paraId="66BEC33C">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604" w:type="pct"/>
            <w:vMerge w:val="continue"/>
            <w:shd w:val="clear" w:color="auto" w:fill="FFFFFF" w:themeFill="background1"/>
            <w:tcMar>
              <w:top w:w="15" w:type="dxa"/>
              <w:left w:w="15" w:type="dxa"/>
              <w:right w:w="15" w:type="dxa"/>
            </w:tcMar>
            <w:vAlign w:val="center"/>
          </w:tcPr>
          <w:p w14:paraId="21014A43">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1191" w:type="pct"/>
            <w:shd w:val="clear" w:color="auto" w:fill="FFFFFF" w:themeFill="background1"/>
            <w:tcMar>
              <w:top w:w="15" w:type="dxa"/>
              <w:left w:w="15" w:type="dxa"/>
              <w:right w:w="15" w:type="dxa"/>
            </w:tcMar>
            <w:vAlign w:val="center"/>
          </w:tcPr>
          <w:p w14:paraId="0559EBA0">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氨氮(万吨)</w:t>
            </w:r>
          </w:p>
        </w:tc>
        <w:tc>
          <w:tcPr>
            <w:tcW w:w="468" w:type="pct"/>
            <w:vMerge w:val="continue"/>
            <w:shd w:val="clear" w:color="auto" w:fill="FFFFFF" w:themeFill="background1"/>
            <w:tcMar>
              <w:top w:w="15" w:type="dxa"/>
              <w:left w:w="15" w:type="dxa"/>
              <w:right w:w="15" w:type="dxa"/>
            </w:tcMar>
            <w:vAlign w:val="center"/>
          </w:tcPr>
          <w:p w14:paraId="09F837AC">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442" w:type="pct"/>
            <w:shd w:val="clear" w:color="auto" w:fill="FFFFFF" w:themeFill="background1"/>
            <w:tcMar>
              <w:top w:w="15" w:type="dxa"/>
              <w:left w:w="15" w:type="dxa"/>
              <w:right w:w="15" w:type="dxa"/>
            </w:tcMar>
            <w:vAlign w:val="center"/>
          </w:tcPr>
          <w:p w14:paraId="4F5306D5">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45F18579">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[10.1%]</w:t>
            </w:r>
          </w:p>
        </w:tc>
        <w:tc>
          <w:tcPr>
            <w:tcW w:w="544" w:type="pct"/>
            <w:shd w:val="clear" w:color="auto" w:fill="FFFFFF" w:themeFill="background1"/>
            <w:noWrap/>
            <w:tcMar>
              <w:top w:w="15" w:type="dxa"/>
              <w:left w:w="15" w:type="dxa"/>
              <w:right w:w="15" w:type="dxa"/>
            </w:tcMar>
            <w:vAlign w:val="center"/>
          </w:tcPr>
          <w:p w14:paraId="566D7AC1">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8" w:type="pct"/>
            <w:shd w:val="clear" w:color="auto" w:fill="FFFFFF" w:themeFill="background1"/>
            <w:noWrap/>
            <w:tcMar>
              <w:top w:w="15" w:type="dxa"/>
              <w:left w:w="15" w:type="dxa"/>
              <w:right w:w="15" w:type="dxa"/>
            </w:tcMar>
            <w:vAlign w:val="center"/>
          </w:tcPr>
          <w:p w14:paraId="075B04BF">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[10.1%]</w:t>
            </w:r>
          </w:p>
        </w:tc>
      </w:tr>
      <w:tr w14:paraId="6E74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3C1B6AB9">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vMerge w:val="continue"/>
            <w:shd w:val="clear" w:color="auto" w:fill="FFFFFF" w:themeFill="background1"/>
            <w:tcMar>
              <w:top w:w="15" w:type="dxa"/>
              <w:left w:w="15" w:type="dxa"/>
              <w:right w:w="15" w:type="dxa"/>
            </w:tcMar>
            <w:vAlign w:val="center"/>
          </w:tcPr>
          <w:p w14:paraId="55455458">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604" w:type="pct"/>
            <w:vMerge w:val="continue"/>
            <w:shd w:val="clear" w:color="auto" w:fill="FFFFFF" w:themeFill="background1"/>
            <w:tcMar>
              <w:top w:w="15" w:type="dxa"/>
              <w:left w:w="15" w:type="dxa"/>
              <w:right w:w="15" w:type="dxa"/>
            </w:tcMar>
            <w:vAlign w:val="center"/>
          </w:tcPr>
          <w:p w14:paraId="037C1C04">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1191" w:type="pct"/>
            <w:shd w:val="clear" w:color="auto" w:fill="FFFFFF" w:themeFill="background1"/>
            <w:tcMar>
              <w:top w:w="15" w:type="dxa"/>
              <w:left w:w="15" w:type="dxa"/>
              <w:right w:w="15" w:type="dxa"/>
            </w:tcMar>
            <w:vAlign w:val="center"/>
          </w:tcPr>
          <w:p w14:paraId="30DC11E6">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二氧化碳(万吨)</w:t>
            </w:r>
          </w:p>
        </w:tc>
        <w:tc>
          <w:tcPr>
            <w:tcW w:w="468" w:type="pct"/>
            <w:vMerge w:val="continue"/>
            <w:shd w:val="clear" w:color="auto" w:fill="FFFFFF" w:themeFill="background1"/>
            <w:tcMar>
              <w:top w:w="15" w:type="dxa"/>
              <w:left w:w="15" w:type="dxa"/>
              <w:right w:w="15" w:type="dxa"/>
            </w:tcMar>
            <w:vAlign w:val="center"/>
          </w:tcPr>
          <w:p w14:paraId="66422A0D">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442" w:type="pct"/>
            <w:shd w:val="clear" w:color="auto" w:fill="FFFFFF" w:themeFill="background1"/>
            <w:tcMar>
              <w:top w:w="15" w:type="dxa"/>
              <w:left w:w="15" w:type="dxa"/>
              <w:right w:w="15" w:type="dxa"/>
            </w:tcMar>
            <w:vAlign w:val="center"/>
          </w:tcPr>
          <w:p w14:paraId="00B1E939">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794838FA">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c>
          <w:tcPr>
            <w:tcW w:w="544" w:type="pct"/>
            <w:shd w:val="clear" w:color="auto" w:fill="FFFFFF" w:themeFill="background1"/>
            <w:noWrap/>
            <w:tcMar>
              <w:top w:w="15" w:type="dxa"/>
              <w:left w:w="15" w:type="dxa"/>
              <w:right w:w="15" w:type="dxa"/>
            </w:tcMar>
            <w:vAlign w:val="center"/>
          </w:tcPr>
          <w:p w14:paraId="355E2BC6">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8" w:type="pct"/>
            <w:shd w:val="clear" w:color="auto" w:fill="FFFFFF" w:themeFill="background1"/>
            <w:noWrap/>
            <w:tcMar>
              <w:top w:w="15" w:type="dxa"/>
              <w:left w:w="15" w:type="dxa"/>
              <w:right w:w="15" w:type="dxa"/>
            </w:tcMar>
            <w:vAlign w:val="center"/>
          </w:tcPr>
          <w:p w14:paraId="731165B7">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r>
      <w:tr w14:paraId="1E67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353" w:type="pct"/>
            <w:vMerge w:val="continue"/>
            <w:shd w:val="clear" w:color="auto" w:fill="FFFFFF" w:themeFill="background1"/>
            <w:tcMar>
              <w:top w:w="15" w:type="dxa"/>
              <w:left w:w="15" w:type="dxa"/>
              <w:right w:w="15" w:type="dxa"/>
            </w:tcMar>
            <w:vAlign w:val="center"/>
          </w:tcPr>
          <w:p w14:paraId="267B1630">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vMerge w:val="continue"/>
            <w:shd w:val="clear" w:color="auto" w:fill="FFFFFF" w:themeFill="background1"/>
            <w:tcMar>
              <w:top w:w="15" w:type="dxa"/>
              <w:left w:w="15" w:type="dxa"/>
              <w:right w:w="15" w:type="dxa"/>
            </w:tcMar>
            <w:vAlign w:val="center"/>
          </w:tcPr>
          <w:p w14:paraId="49A7D49D">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604" w:type="pct"/>
            <w:vMerge w:val="continue"/>
            <w:shd w:val="clear" w:color="auto" w:fill="FFFFFF" w:themeFill="background1"/>
            <w:tcMar>
              <w:top w:w="15" w:type="dxa"/>
              <w:left w:w="15" w:type="dxa"/>
              <w:right w:w="15" w:type="dxa"/>
            </w:tcMar>
            <w:vAlign w:val="center"/>
          </w:tcPr>
          <w:p w14:paraId="0850E9C3">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1191" w:type="pct"/>
            <w:shd w:val="clear" w:color="auto" w:fill="FFFFFF" w:themeFill="background1"/>
            <w:tcMar>
              <w:top w:w="15" w:type="dxa"/>
              <w:left w:w="15" w:type="dxa"/>
              <w:right w:w="15" w:type="dxa"/>
            </w:tcMar>
            <w:vAlign w:val="center"/>
          </w:tcPr>
          <w:p w14:paraId="29AD0CC8">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氮氧化物(万吨)</w:t>
            </w:r>
          </w:p>
        </w:tc>
        <w:tc>
          <w:tcPr>
            <w:tcW w:w="468" w:type="pct"/>
            <w:vMerge w:val="continue"/>
            <w:shd w:val="clear" w:color="auto" w:fill="FFFFFF" w:themeFill="background1"/>
            <w:tcMar>
              <w:top w:w="15" w:type="dxa"/>
              <w:left w:w="15" w:type="dxa"/>
              <w:right w:w="15" w:type="dxa"/>
            </w:tcMar>
            <w:vAlign w:val="center"/>
          </w:tcPr>
          <w:p w14:paraId="3F6C4B16">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442" w:type="pct"/>
            <w:shd w:val="clear" w:color="auto" w:fill="FFFFFF" w:themeFill="background1"/>
            <w:tcMar>
              <w:top w:w="15" w:type="dxa"/>
              <w:left w:w="15" w:type="dxa"/>
              <w:right w:w="15" w:type="dxa"/>
            </w:tcMar>
            <w:vAlign w:val="center"/>
          </w:tcPr>
          <w:p w14:paraId="3F8BB5DA">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87" w:type="pct"/>
            <w:shd w:val="clear" w:color="auto" w:fill="FFFFFF" w:themeFill="background1"/>
            <w:tcMar>
              <w:top w:w="15" w:type="dxa"/>
              <w:left w:w="15" w:type="dxa"/>
              <w:right w:w="15" w:type="dxa"/>
            </w:tcMar>
            <w:vAlign w:val="center"/>
          </w:tcPr>
          <w:p w14:paraId="5A49F6AF">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c>
          <w:tcPr>
            <w:tcW w:w="544" w:type="pct"/>
            <w:shd w:val="clear" w:color="auto" w:fill="FFFFFF" w:themeFill="background1"/>
            <w:noWrap/>
            <w:tcMar>
              <w:top w:w="15" w:type="dxa"/>
              <w:left w:w="15" w:type="dxa"/>
              <w:right w:w="15" w:type="dxa"/>
            </w:tcMar>
            <w:vAlign w:val="center"/>
          </w:tcPr>
          <w:p w14:paraId="7B3E777A">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8" w:type="pct"/>
            <w:shd w:val="clear" w:color="auto" w:fill="FFFFFF" w:themeFill="background1"/>
            <w:noWrap/>
            <w:tcMar>
              <w:top w:w="15" w:type="dxa"/>
              <w:left w:w="15" w:type="dxa"/>
              <w:right w:w="15" w:type="dxa"/>
            </w:tcMar>
            <w:vAlign w:val="center"/>
          </w:tcPr>
          <w:p w14:paraId="452128B2">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r>
      <w:tr w14:paraId="742C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trPr>
        <w:tc>
          <w:tcPr>
            <w:tcW w:w="353" w:type="pct"/>
            <w:vMerge w:val="continue"/>
            <w:shd w:val="clear" w:color="auto" w:fill="FFFFFF" w:themeFill="background1"/>
            <w:tcMar>
              <w:top w:w="15" w:type="dxa"/>
              <w:left w:w="15" w:type="dxa"/>
              <w:right w:w="15" w:type="dxa"/>
            </w:tcMar>
            <w:vAlign w:val="center"/>
          </w:tcPr>
          <w:p w14:paraId="1872C682">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259" w:type="pct"/>
            <w:shd w:val="clear" w:color="auto" w:fill="FFFFFF" w:themeFill="background1"/>
            <w:tcMar>
              <w:top w:w="15" w:type="dxa"/>
              <w:left w:w="15" w:type="dxa"/>
              <w:right w:w="15" w:type="dxa"/>
            </w:tcMar>
            <w:vAlign w:val="center"/>
          </w:tcPr>
          <w:p w14:paraId="352BFE65">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31</w:t>
            </w:r>
          </w:p>
        </w:tc>
        <w:tc>
          <w:tcPr>
            <w:tcW w:w="1796" w:type="pct"/>
            <w:gridSpan w:val="2"/>
            <w:shd w:val="clear" w:color="auto" w:fill="FFFFFF" w:themeFill="background1"/>
            <w:tcMar>
              <w:top w:w="15" w:type="dxa"/>
              <w:left w:w="15" w:type="dxa"/>
              <w:right w:w="15" w:type="dxa"/>
            </w:tcMar>
            <w:vAlign w:val="center"/>
          </w:tcPr>
          <w:p w14:paraId="1ED91545">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森林覆盖率(%)</w:t>
            </w:r>
          </w:p>
        </w:tc>
        <w:tc>
          <w:tcPr>
            <w:tcW w:w="468" w:type="pct"/>
            <w:shd w:val="clear" w:color="auto" w:fill="FFFFFF" w:themeFill="background1"/>
            <w:tcMar>
              <w:top w:w="15" w:type="dxa"/>
              <w:left w:w="15" w:type="dxa"/>
              <w:right w:w="15" w:type="dxa"/>
            </w:tcMar>
            <w:vAlign w:val="center"/>
          </w:tcPr>
          <w:p w14:paraId="4218AB65">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约束性</w:t>
            </w:r>
          </w:p>
        </w:tc>
        <w:tc>
          <w:tcPr>
            <w:tcW w:w="442" w:type="pct"/>
            <w:shd w:val="clear" w:color="auto" w:fill="FFFFFF" w:themeFill="background1"/>
            <w:tcMar>
              <w:top w:w="15" w:type="dxa"/>
              <w:left w:w="15" w:type="dxa"/>
              <w:right w:w="15" w:type="dxa"/>
            </w:tcMar>
            <w:vAlign w:val="center"/>
          </w:tcPr>
          <w:p w14:paraId="288F73D8">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&gt;46</w:t>
            </w:r>
          </w:p>
        </w:tc>
        <w:tc>
          <w:tcPr>
            <w:tcW w:w="587" w:type="pct"/>
            <w:shd w:val="clear" w:color="auto" w:fill="FFFFFF" w:themeFill="background1"/>
            <w:tcMar>
              <w:top w:w="15" w:type="dxa"/>
              <w:left w:w="15" w:type="dxa"/>
              <w:right w:w="15" w:type="dxa"/>
            </w:tcMar>
            <w:vAlign w:val="center"/>
          </w:tcPr>
          <w:p w14:paraId="1A8C5106">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c>
          <w:tcPr>
            <w:tcW w:w="544" w:type="pct"/>
            <w:shd w:val="clear" w:color="auto" w:fill="FFFFFF" w:themeFill="background1"/>
            <w:noWrap/>
            <w:tcMar>
              <w:top w:w="15" w:type="dxa"/>
              <w:left w:w="15" w:type="dxa"/>
              <w:right w:w="15" w:type="dxa"/>
            </w:tcMar>
            <w:vAlign w:val="center"/>
          </w:tcPr>
          <w:p w14:paraId="58D6236F">
            <w:pPr>
              <w:keepNext w:val="0"/>
              <w:keepLines w:val="0"/>
              <w:pageBreakBefore w:val="0"/>
              <w:widowControl w:val="0"/>
              <w:kinsoku/>
              <w:wordWrap/>
              <w:overflowPunct/>
              <w:topLinePunct w:val="0"/>
              <w:autoSpaceDE/>
              <w:autoSpaceDN/>
              <w:bidi w:val="0"/>
              <w:adjustRightInd/>
              <w:snapToGrid/>
              <w:spacing w:line="460" w:lineRule="exact"/>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41.2</w:t>
            </w:r>
          </w:p>
        </w:tc>
        <w:tc>
          <w:tcPr>
            <w:tcW w:w="548" w:type="pct"/>
            <w:shd w:val="clear" w:color="auto" w:fill="FFFFFF" w:themeFill="background1"/>
            <w:noWrap/>
            <w:tcMar>
              <w:top w:w="15" w:type="dxa"/>
              <w:left w:w="15" w:type="dxa"/>
              <w:right w:w="15" w:type="dxa"/>
            </w:tcMar>
            <w:vAlign w:val="center"/>
          </w:tcPr>
          <w:p w14:paraId="44F9AC50">
            <w:pPr>
              <w:keepNext w:val="0"/>
              <w:keepLines w:val="0"/>
              <w:pageBreakBefore w:val="0"/>
              <w:widowControl w:val="0"/>
              <w:kinsoku/>
              <w:wordWrap/>
              <w:overflowPunct/>
              <w:topLinePunct w:val="0"/>
              <w:autoSpaceDE/>
              <w:autoSpaceDN/>
              <w:bidi w:val="0"/>
              <w:adjustRightInd/>
              <w:snapToGrid/>
              <w:spacing w:line="460" w:lineRule="exact"/>
              <w:jc w:val="center"/>
              <w:rPr>
                <w:rFonts w:ascii="宋体" w:hAnsi="宋体" w:eastAsia="宋体" w:cs="宋体"/>
                <w:color w:val="auto"/>
                <w:sz w:val="21"/>
                <w:szCs w:val="21"/>
                <w:highlight w:val="none"/>
              </w:rPr>
            </w:pPr>
          </w:p>
        </w:tc>
      </w:tr>
    </w:tbl>
    <w:p w14:paraId="2393E79A">
      <w:pPr>
        <w:pStyle w:val="4"/>
        <w:pageBreakBefore w:val="0"/>
        <w:widowControl w:val="0"/>
        <w:kinsoku/>
        <w:wordWrap/>
        <w:overflowPunct/>
        <w:topLinePunct w:val="0"/>
        <w:autoSpaceDE/>
        <w:autoSpaceDN/>
        <w:bidi w:val="0"/>
        <w:adjustRightInd/>
        <w:snapToGrid/>
        <w:spacing w:before="0" w:after="0" w:line="640" w:lineRule="exact"/>
        <w:jc w:val="center"/>
        <w:textAlignment w:val="auto"/>
        <w:rPr>
          <w:rFonts w:hint="eastAsia" w:ascii="黑体" w:hAnsi="黑体" w:eastAsia="黑体" w:cs="黑体"/>
          <w:color w:val="auto"/>
          <w:szCs w:val="32"/>
          <w:highlight w:val="none"/>
        </w:rPr>
      </w:pPr>
      <w:bookmarkStart w:id="28" w:name="_Toc28761"/>
      <w:r>
        <w:rPr>
          <w:rFonts w:hint="eastAsia" w:ascii="黑体" w:hAnsi="黑体" w:eastAsia="黑体" w:cs="黑体"/>
          <w:b w:val="0"/>
          <w:bCs/>
          <w:color w:val="auto"/>
          <w:kern w:val="44"/>
          <w:sz w:val="32"/>
          <w:szCs w:val="32"/>
          <w:highlight w:val="none"/>
          <w:lang w:val="en-US" w:eastAsia="zh-CN" w:bidi="ar-SA"/>
        </w:rPr>
        <w:t>第二节 “十四五”</w:t>
      </w:r>
      <w:bookmarkEnd w:id="25"/>
      <w:bookmarkEnd w:id="26"/>
      <w:bookmarkEnd w:id="27"/>
      <w:r>
        <w:rPr>
          <w:rFonts w:hint="eastAsia" w:ascii="黑体" w:hAnsi="黑体" w:eastAsia="黑体" w:cs="黑体"/>
          <w:b w:val="0"/>
          <w:bCs/>
          <w:color w:val="auto"/>
          <w:kern w:val="44"/>
          <w:sz w:val="32"/>
          <w:szCs w:val="32"/>
          <w:highlight w:val="none"/>
          <w:lang w:val="en-US" w:eastAsia="zh-CN" w:bidi="ar-SA"/>
        </w:rPr>
        <w:t>发展环境</w:t>
      </w:r>
      <w:bookmarkEnd w:id="28"/>
    </w:p>
    <w:p w14:paraId="51497134">
      <w:pPr>
        <w:pStyle w:val="29"/>
        <w:pageBreakBefore w:val="0"/>
        <w:widowControl w:val="0"/>
        <w:kinsoku/>
        <w:wordWrap/>
        <w:overflowPunct/>
        <w:topLinePunct w:val="0"/>
        <w:autoSpaceDE/>
        <w:autoSpaceDN/>
        <w:bidi w:val="0"/>
        <w:adjustRightInd/>
        <w:snapToGrid/>
        <w:spacing w:line="640" w:lineRule="exact"/>
        <w:ind w:firstLine="640" w:firstLineChars="200"/>
        <w:jc w:val="both"/>
        <w:textAlignment w:val="auto"/>
        <w:rPr>
          <w:rFonts w:hint="eastAsia" w:ascii="仿宋" w:hAnsi="仿宋" w:eastAsia="仿宋" w:cs="仿宋"/>
          <w:bCs/>
          <w:color w:val="auto"/>
          <w:szCs w:val="32"/>
          <w:highlight w:val="none"/>
        </w:rPr>
      </w:pPr>
      <w:bookmarkStart w:id="29" w:name="_Toc22287"/>
      <w:bookmarkStart w:id="30" w:name="_Toc22027"/>
      <w:bookmarkStart w:id="31" w:name="_Toc32173"/>
      <w:r>
        <w:rPr>
          <w:rFonts w:hint="eastAsia" w:ascii="仿宋" w:hAnsi="仿宋" w:eastAsia="仿宋" w:cs="仿宋"/>
          <w:bCs/>
          <w:color w:val="auto"/>
          <w:szCs w:val="32"/>
          <w:highlight w:val="none"/>
        </w:rPr>
        <w:t>“十四五”时期，世界百年未有之大变局深度演化与我国社会主义现代化建设新征程开局起步相互交融，特别是新冠肺炎疫情全球大流行加速世界大变局演变，我市发展的外部环境和内部条件发生了复杂而深刻的变化，经济社会发展将处于滚石上山、爬坡过坎的关键阶段，总体上机遇与挑战并存。</w:t>
      </w:r>
    </w:p>
    <w:p w14:paraId="4B978094">
      <w:pPr>
        <w:pageBreakBefore w:val="0"/>
        <w:widowControl w:val="0"/>
        <w:kinsoku/>
        <w:wordWrap/>
        <w:overflowPunct/>
        <w:topLinePunct w:val="0"/>
        <w:autoSpaceDE/>
        <w:autoSpaceDN/>
        <w:bidi w:val="0"/>
        <w:adjustRightInd/>
        <w:snapToGrid/>
        <w:spacing w:line="640" w:lineRule="exact"/>
        <w:ind w:firstLine="640" w:firstLineChars="20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发展机遇</w:t>
      </w:r>
    </w:p>
    <w:p w14:paraId="1D7E7809">
      <w:pPr>
        <w:pageBreakBefore w:val="0"/>
        <w:widowControl w:val="0"/>
        <w:kinsoku/>
        <w:wordWrap/>
        <w:overflowPunct/>
        <w:topLinePunct w:val="0"/>
        <w:autoSpaceDE/>
        <w:autoSpaceDN/>
        <w:bidi w:val="0"/>
        <w:adjustRightInd/>
        <w:snapToGrid/>
        <w:spacing w:line="640" w:lineRule="exact"/>
        <w:ind w:firstLine="640" w:firstLineChars="200"/>
        <w:jc w:val="both"/>
        <w:textAlignment w:val="auto"/>
        <w:rPr>
          <w:rFonts w:hint="eastAsia" w:ascii="仿宋" w:hAnsi="仿宋" w:eastAsia="仿宋" w:cs="仿宋"/>
          <w:color w:val="auto"/>
          <w:spacing w:val="0"/>
          <w:sz w:val="32"/>
          <w:szCs w:val="32"/>
          <w:highlight w:val="none"/>
        </w:rPr>
      </w:pPr>
      <w:r>
        <w:rPr>
          <w:rFonts w:hint="eastAsia" w:ascii="仿宋" w:hAnsi="仿宋" w:eastAsia="仿宋" w:cs="仿宋"/>
          <w:color w:val="auto"/>
          <w:spacing w:val="0"/>
          <w:sz w:val="32"/>
          <w:szCs w:val="32"/>
          <w:highlight w:val="none"/>
        </w:rPr>
        <w:t>“十四五”时期，和平</w:t>
      </w:r>
      <w:r>
        <w:rPr>
          <w:rFonts w:hint="eastAsia" w:ascii="仿宋" w:hAnsi="仿宋" w:eastAsia="仿宋" w:cs="仿宋"/>
          <w:color w:val="auto"/>
          <w:spacing w:val="0"/>
          <w:sz w:val="32"/>
          <w:szCs w:val="32"/>
          <w:highlight w:val="none"/>
          <w:lang w:eastAsia="zh-CN"/>
        </w:rPr>
        <w:t>与</w:t>
      </w:r>
      <w:r>
        <w:rPr>
          <w:rFonts w:hint="eastAsia" w:ascii="仿宋" w:hAnsi="仿宋" w:eastAsia="仿宋" w:cs="仿宋"/>
          <w:color w:val="auto"/>
          <w:spacing w:val="0"/>
          <w:sz w:val="32"/>
          <w:szCs w:val="32"/>
          <w:highlight w:val="none"/>
        </w:rPr>
        <w:t>发展仍然是时代主题，人类命运共同体理念深入人心，同时我国经济进入高质量发展阶段，制度优势显著，治理效能提升，我市经济社会发展面临重大机遇。</w:t>
      </w:r>
    </w:p>
    <w:p w14:paraId="5FB65185">
      <w:pPr>
        <w:keepNext w:val="0"/>
        <w:keepLines w:val="0"/>
        <w:pageBreakBefore w:val="0"/>
        <w:widowControl w:val="0"/>
        <w:kinsoku/>
        <w:wordWrap/>
        <w:overflowPunct/>
        <w:topLinePunct w:val="0"/>
        <w:autoSpaceDE/>
        <w:autoSpaceDN/>
        <w:bidi w:val="0"/>
        <w:adjustRightInd/>
        <w:snapToGrid/>
        <w:spacing w:line="664" w:lineRule="exact"/>
        <w:ind w:firstLine="643" w:firstLineChars="200"/>
        <w:jc w:val="both"/>
        <w:textAlignment w:val="auto"/>
        <w:rPr>
          <w:rFonts w:hint="eastAsia"/>
          <w:color w:val="auto"/>
        </w:rPr>
      </w:pPr>
      <w:r>
        <w:rPr>
          <w:rFonts w:hint="eastAsia" w:ascii="KaiTi_GB2312" w:hAnsi="KaiTi_GB2312" w:eastAsia="KaiTi_GB2312" w:cs="KaiTi_GB2312"/>
          <w:b/>
          <w:bCs/>
          <w:color w:val="auto"/>
          <w:sz w:val="32"/>
          <w:szCs w:val="32"/>
          <w:highlight w:val="none"/>
        </w:rPr>
        <w:t>从国内外环境看。</w:t>
      </w:r>
      <w:r>
        <w:rPr>
          <w:rFonts w:hint="eastAsia" w:ascii="仿宋" w:hAnsi="仿宋" w:eastAsia="仿宋" w:cs="仿宋"/>
          <w:b/>
          <w:bCs/>
          <w:color w:val="auto"/>
          <w:sz w:val="32"/>
          <w:szCs w:val="32"/>
          <w:highlight w:val="none"/>
        </w:rPr>
        <w:t>一是</w:t>
      </w:r>
      <w:r>
        <w:rPr>
          <w:rFonts w:hint="eastAsia" w:ascii="仿宋" w:hAnsi="仿宋" w:eastAsia="仿宋" w:cs="仿宋"/>
          <w:color w:val="auto"/>
          <w:sz w:val="32"/>
          <w:szCs w:val="32"/>
          <w:highlight w:val="none"/>
        </w:rPr>
        <w:t>世界范围内的新一轮科技革命和产业变革蓄势待发，孕育着不可估量的经济增长新动力，</w:t>
      </w:r>
      <w:r>
        <w:rPr>
          <w:rFonts w:hint="eastAsia" w:ascii="仿宋" w:hAnsi="仿宋" w:eastAsia="仿宋" w:cs="仿宋"/>
          <w:color w:val="auto"/>
          <w:sz w:val="32"/>
          <w:szCs w:val="32"/>
          <w:highlight w:val="none"/>
          <w:lang w:val="en-US" w:eastAsia="zh-CN"/>
        </w:rPr>
        <w:t>有利于我市实现跨越式发展</w:t>
      </w:r>
      <w:r>
        <w:rPr>
          <w:rFonts w:hint="eastAsia" w:ascii="仿宋" w:hAnsi="仿宋" w:eastAsia="仿宋" w:cs="仿宋"/>
          <w:color w:val="auto"/>
          <w:sz w:val="32"/>
          <w:szCs w:val="32"/>
          <w:highlight w:val="none"/>
        </w:rPr>
        <w:t>。</w:t>
      </w:r>
      <w:r>
        <w:rPr>
          <w:rFonts w:hint="eastAsia" w:ascii="仿宋" w:hAnsi="仿宋" w:eastAsia="仿宋" w:cs="仿宋"/>
          <w:b/>
          <w:bCs/>
          <w:color w:val="auto"/>
          <w:sz w:val="32"/>
          <w:szCs w:val="32"/>
          <w:highlight w:val="none"/>
        </w:rPr>
        <w:t>二是</w:t>
      </w:r>
      <w:r>
        <w:rPr>
          <w:rFonts w:hint="eastAsia" w:ascii="仿宋" w:hAnsi="仿宋" w:eastAsia="仿宋" w:cs="仿宋"/>
          <w:b w:val="0"/>
          <w:bCs w:val="0"/>
          <w:color w:val="auto"/>
          <w:sz w:val="32"/>
          <w:szCs w:val="32"/>
          <w:highlight w:val="none"/>
          <w:lang w:eastAsia="zh-CN"/>
        </w:rPr>
        <w:t>国内国际</w:t>
      </w:r>
      <w:r>
        <w:rPr>
          <w:rFonts w:hint="eastAsia" w:ascii="仿宋" w:hAnsi="仿宋" w:eastAsia="仿宋" w:cs="仿宋"/>
          <w:color w:val="auto"/>
          <w:sz w:val="32"/>
          <w:szCs w:val="32"/>
          <w:highlight w:val="none"/>
        </w:rPr>
        <w:t>“双循环”新发展格局下，以要素市场化、更高水平开放、区域协同发展、产业链</w:t>
      </w:r>
      <w:r>
        <w:rPr>
          <w:rFonts w:hint="eastAsia" w:ascii="仿宋" w:hAnsi="仿宋" w:eastAsia="仿宋" w:cs="仿宋"/>
          <w:color w:val="auto"/>
          <w:sz w:val="32"/>
          <w:szCs w:val="32"/>
          <w:highlight w:val="none"/>
          <w:lang w:eastAsia="zh-CN"/>
        </w:rPr>
        <w:t>完整</w:t>
      </w:r>
      <w:r>
        <w:rPr>
          <w:rFonts w:hint="eastAsia" w:ascii="仿宋" w:hAnsi="仿宋" w:eastAsia="仿宋" w:cs="仿宋"/>
          <w:color w:val="auto"/>
          <w:sz w:val="32"/>
          <w:szCs w:val="32"/>
          <w:highlight w:val="none"/>
        </w:rPr>
        <w:t>和消费升级为着力点的改革，</w:t>
      </w:r>
      <w:r>
        <w:rPr>
          <w:rFonts w:hint="eastAsia" w:ascii="仿宋" w:hAnsi="仿宋" w:eastAsia="仿宋" w:cs="仿宋"/>
          <w:color w:val="auto"/>
          <w:sz w:val="32"/>
          <w:szCs w:val="32"/>
          <w:highlight w:val="none"/>
          <w:lang w:eastAsia="zh-CN"/>
        </w:rPr>
        <w:t>为</w:t>
      </w:r>
      <w:r>
        <w:rPr>
          <w:rFonts w:hint="eastAsia" w:ascii="仿宋" w:hAnsi="仿宋" w:eastAsia="仿宋" w:cs="仿宋"/>
          <w:color w:val="auto"/>
          <w:sz w:val="32"/>
          <w:szCs w:val="32"/>
          <w:highlight w:val="none"/>
        </w:rPr>
        <w:t>我市进一步疏通国民经济循环中的堵点，</w:t>
      </w:r>
      <w:r>
        <w:rPr>
          <w:rFonts w:hint="eastAsia" w:ascii="仿宋" w:hAnsi="仿宋" w:eastAsia="仿宋" w:cs="仿宋"/>
          <w:color w:val="auto"/>
          <w:sz w:val="32"/>
          <w:szCs w:val="32"/>
          <w:highlight w:val="none"/>
          <w:lang w:eastAsia="zh-CN"/>
        </w:rPr>
        <w:t>建立现代化经济体系，提供了重大产业变革机遇、重大现实机遇</w:t>
      </w:r>
      <w:r>
        <w:rPr>
          <w:rFonts w:hint="eastAsia" w:ascii="仿宋" w:hAnsi="仿宋" w:eastAsia="仿宋" w:cs="仿宋"/>
          <w:color w:val="auto"/>
          <w:sz w:val="32"/>
          <w:szCs w:val="32"/>
          <w:highlight w:val="none"/>
        </w:rPr>
        <w:t>。</w:t>
      </w:r>
      <w:r>
        <w:rPr>
          <w:rFonts w:hint="eastAsia" w:ascii="仿宋" w:hAnsi="仿宋" w:eastAsia="仿宋" w:cs="仿宋"/>
          <w:b/>
          <w:bCs/>
          <w:color w:val="auto"/>
          <w:sz w:val="32"/>
          <w:szCs w:val="32"/>
          <w:highlight w:val="none"/>
        </w:rPr>
        <w:t>三是</w:t>
      </w:r>
      <w:r>
        <w:rPr>
          <w:rFonts w:hint="eastAsia" w:ascii="仿宋" w:hAnsi="仿宋" w:eastAsia="仿宋" w:cs="仿宋"/>
          <w:color w:val="auto"/>
          <w:sz w:val="32"/>
          <w:szCs w:val="32"/>
          <w:highlight w:val="none"/>
        </w:rPr>
        <w:t>“一带一路”、中部地区崛起、长江经济带、</w:t>
      </w:r>
      <w:r>
        <w:rPr>
          <w:rFonts w:hint="eastAsia" w:ascii="仿宋" w:hAnsi="仿宋" w:eastAsia="仿宋" w:cs="仿宋"/>
          <w:color w:val="auto"/>
          <w:sz w:val="32"/>
          <w:szCs w:val="32"/>
          <w:highlight w:val="none"/>
          <w:lang w:eastAsia="zh-CN"/>
        </w:rPr>
        <w:t>粤港澳大湾区、</w:t>
      </w:r>
      <w:r>
        <w:rPr>
          <w:rFonts w:hint="eastAsia" w:ascii="仿宋" w:hAnsi="仿宋" w:eastAsia="仿宋" w:cs="仿宋"/>
          <w:b w:val="0"/>
          <w:bCs w:val="0"/>
          <w:i w:val="0"/>
          <w:caps w:val="0"/>
          <w:color w:val="auto"/>
          <w:spacing w:val="0"/>
          <w:sz w:val="32"/>
          <w:szCs w:val="32"/>
          <w:highlight w:val="none"/>
          <w:shd w:val="clear" w:fill="FFFFFF"/>
        </w:rPr>
        <w:t>中国(</w:t>
      </w:r>
      <w:r>
        <w:rPr>
          <w:rStyle w:val="26"/>
          <w:rFonts w:hint="eastAsia" w:ascii="仿宋" w:hAnsi="仿宋" w:eastAsia="仿宋" w:cs="仿宋"/>
          <w:b w:val="0"/>
          <w:bCs w:val="0"/>
          <w:i w:val="0"/>
          <w:caps w:val="0"/>
          <w:color w:val="auto"/>
          <w:spacing w:val="0"/>
          <w:sz w:val="32"/>
          <w:szCs w:val="32"/>
          <w:highlight w:val="none"/>
          <w:shd w:val="clear" w:fill="FFFFFF"/>
        </w:rPr>
        <w:t>湖南</w:t>
      </w:r>
      <w:r>
        <w:rPr>
          <w:rFonts w:hint="eastAsia" w:ascii="仿宋" w:hAnsi="仿宋" w:eastAsia="仿宋" w:cs="仿宋"/>
          <w:b w:val="0"/>
          <w:bCs w:val="0"/>
          <w:i w:val="0"/>
          <w:caps w:val="0"/>
          <w:color w:val="auto"/>
          <w:spacing w:val="0"/>
          <w:sz w:val="32"/>
          <w:szCs w:val="32"/>
          <w:highlight w:val="none"/>
          <w:shd w:val="clear" w:fill="FFFFFF"/>
        </w:rPr>
        <w:t>)自由贸易试验区</w:t>
      </w:r>
      <w:r>
        <w:rPr>
          <w:rFonts w:hint="eastAsia" w:ascii="仿宋" w:hAnsi="仿宋" w:eastAsia="仿宋" w:cs="仿宋"/>
          <w:color w:val="auto"/>
          <w:sz w:val="32"/>
          <w:szCs w:val="32"/>
          <w:highlight w:val="none"/>
        </w:rPr>
        <w:t>等国家战略下，生产力布局由沿海逐步向内陆拓展，</w:t>
      </w:r>
      <w:r>
        <w:rPr>
          <w:rFonts w:hint="eastAsia" w:ascii="仿宋" w:hAnsi="仿宋" w:eastAsia="仿宋" w:cs="仿宋"/>
          <w:color w:val="auto"/>
          <w:sz w:val="32"/>
          <w:szCs w:val="32"/>
          <w:highlight w:val="none"/>
          <w:lang w:eastAsia="zh-CN"/>
        </w:rPr>
        <w:t>为</w:t>
      </w:r>
      <w:r>
        <w:rPr>
          <w:rFonts w:hint="eastAsia" w:ascii="仿宋" w:hAnsi="仿宋" w:eastAsia="仿宋" w:cs="仿宋"/>
          <w:color w:val="auto"/>
          <w:sz w:val="32"/>
          <w:szCs w:val="32"/>
          <w:highlight w:val="none"/>
        </w:rPr>
        <w:t>我市拓展新的发展空间</w:t>
      </w:r>
      <w:r>
        <w:rPr>
          <w:rFonts w:hint="eastAsia" w:ascii="仿宋" w:hAnsi="仿宋" w:eastAsia="仿宋" w:cs="仿宋"/>
          <w:color w:val="auto"/>
          <w:sz w:val="32"/>
          <w:szCs w:val="32"/>
          <w:highlight w:val="none"/>
          <w:lang w:eastAsia="zh-CN"/>
        </w:rPr>
        <w:t>提供了重大战略机遇</w:t>
      </w:r>
      <w:r>
        <w:rPr>
          <w:rFonts w:hint="eastAsia" w:ascii="仿宋" w:hAnsi="仿宋" w:eastAsia="仿宋" w:cs="仿宋"/>
          <w:color w:val="auto"/>
          <w:sz w:val="32"/>
          <w:szCs w:val="32"/>
          <w:highlight w:val="none"/>
        </w:rPr>
        <w:t>。</w:t>
      </w:r>
      <w:r>
        <w:rPr>
          <w:rFonts w:hint="eastAsia" w:ascii="仿宋" w:hAnsi="仿宋" w:eastAsia="仿宋" w:cs="仿宋"/>
          <w:b/>
          <w:bCs/>
          <w:color w:val="auto"/>
          <w:sz w:val="32"/>
          <w:szCs w:val="32"/>
          <w:highlight w:val="none"/>
        </w:rPr>
        <w:t>四是</w:t>
      </w:r>
      <w:r>
        <w:rPr>
          <w:rFonts w:hint="eastAsia" w:ascii="仿宋" w:hAnsi="仿宋" w:eastAsia="仿宋" w:cs="仿宋"/>
          <w:color w:val="auto"/>
          <w:spacing w:val="-6"/>
          <w:sz w:val="32"/>
          <w:szCs w:val="32"/>
          <w:highlight w:val="none"/>
        </w:rPr>
        <w:t>党中央赋予</w:t>
      </w:r>
      <w:r>
        <w:rPr>
          <w:rFonts w:hint="eastAsia" w:ascii="仿宋" w:hAnsi="仿宋" w:eastAsia="仿宋" w:cs="仿宋"/>
          <w:color w:val="auto"/>
          <w:spacing w:val="-6"/>
          <w:sz w:val="32"/>
          <w:szCs w:val="32"/>
          <w:highlight w:val="none"/>
          <w:lang w:eastAsia="zh-CN"/>
        </w:rPr>
        <w:t>湖南打造</w:t>
      </w:r>
      <w:r>
        <w:rPr>
          <w:rFonts w:hint="eastAsia" w:ascii="仿宋" w:hAnsi="仿宋" w:eastAsia="仿宋" w:cs="仿宋"/>
          <w:color w:val="auto"/>
          <w:spacing w:val="-6"/>
          <w:sz w:val="32"/>
          <w:szCs w:val="32"/>
          <w:highlight w:val="none"/>
        </w:rPr>
        <w:t>“三个高地”</w:t>
      </w:r>
      <w:r>
        <w:rPr>
          <w:rFonts w:hint="eastAsia" w:ascii="仿宋" w:hAnsi="仿宋" w:eastAsia="仿宋" w:cs="仿宋"/>
          <w:color w:val="auto"/>
          <w:spacing w:val="-6"/>
          <w:sz w:val="32"/>
          <w:szCs w:val="32"/>
          <w:highlight w:val="none"/>
          <w:lang w:eastAsia="zh-CN"/>
        </w:rPr>
        <w:t>、担当“四新”使命新</w:t>
      </w:r>
      <w:r>
        <w:rPr>
          <w:rFonts w:hint="eastAsia" w:ascii="仿宋" w:hAnsi="仿宋" w:eastAsia="仿宋" w:cs="仿宋"/>
          <w:strike w:val="0"/>
          <w:dstrike w:val="0"/>
          <w:color w:val="auto"/>
          <w:spacing w:val="-6"/>
          <w:sz w:val="32"/>
          <w:szCs w:val="32"/>
          <w:highlight w:val="none"/>
          <w:lang w:eastAsia="zh-CN"/>
        </w:rPr>
        <w:t>定位新目标</w:t>
      </w:r>
      <w:r>
        <w:rPr>
          <w:rFonts w:hint="eastAsia" w:ascii="仿宋" w:hAnsi="仿宋" w:eastAsia="仿宋" w:cs="仿宋"/>
          <w:color w:val="auto"/>
          <w:spacing w:val="-6"/>
          <w:sz w:val="32"/>
          <w:szCs w:val="32"/>
          <w:highlight w:val="none"/>
        </w:rPr>
        <w:t>，</w:t>
      </w:r>
      <w:r>
        <w:rPr>
          <w:rFonts w:hint="eastAsia" w:ascii="仿宋" w:hAnsi="仿宋" w:eastAsia="仿宋" w:cs="仿宋"/>
          <w:color w:val="auto"/>
          <w:spacing w:val="-6"/>
          <w:sz w:val="32"/>
          <w:szCs w:val="32"/>
          <w:highlight w:val="none"/>
          <w:lang w:val="en-US" w:eastAsia="zh-CN"/>
        </w:rPr>
        <w:t>邵阳市对我市邵阳西部生态圈中心城市的总体定位</w:t>
      </w:r>
      <w:r>
        <w:rPr>
          <w:rFonts w:hint="eastAsia" w:ascii="仿宋" w:hAnsi="仿宋" w:eastAsia="仿宋" w:cs="仿宋"/>
          <w:color w:val="auto"/>
          <w:spacing w:val="-6"/>
          <w:sz w:val="32"/>
          <w:szCs w:val="32"/>
          <w:highlight w:val="none"/>
        </w:rPr>
        <w:t>，</w:t>
      </w:r>
      <w:r>
        <w:rPr>
          <w:rFonts w:hint="eastAsia" w:ascii="仿宋" w:hAnsi="仿宋" w:eastAsia="仿宋" w:cs="仿宋"/>
          <w:color w:val="auto"/>
          <w:spacing w:val="-6"/>
          <w:sz w:val="32"/>
          <w:szCs w:val="32"/>
          <w:highlight w:val="none"/>
          <w:lang w:eastAsia="zh-CN"/>
        </w:rPr>
        <w:t>为</w:t>
      </w:r>
      <w:r>
        <w:rPr>
          <w:rFonts w:hint="eastAsia" w:ascii="仿宋" w:hAnsi="仿宋" w:eastAsia="仿宋" w:cs="仿宋"/>
          <w:color w:val="auto"/>
          <w:spacing w:val="-6"/>
          <w:sz w:val="32"/>
          <w:szCs w:val="32"/>
          <w:highlight w:val="none"/>
        </w:rPr>
        <w:t>我市谋划发展新布局，提升区域发展优势</w:t>
      </w:r>
      <w:r>
        <w:rPr>
          <w:rFonts w:hint="eastAsia" w:ascii="仿宋" w:hAnsi="仿宋" w:eastAsia="仿宋" w:cs="仿宋"/>
          <w:color w:val="auto"/>
          <w:spacing w:val="-6"/>
          <w:sz w:val="32"/>
          <w:szCs w:val="32"/>
          <w:highlight w:val="none"/>
          <w:lang w:eastAsia="zh-CN"/>
        </w:rPr>
        <w:t>，提供了重大历史机遇</w:t>
      </w:r>
      <w:r>
        <w:rPr>
          <w:rFonts w:hint="eastAsia" w:ascii="仿宋" w:hAnsi="仿宋" w:eastAsia="仿宋" w:cs="仿宋"/>
          <w:color w:val="auto"/>
          <w:spacing w:val="-6"/>
          <w:sz w:val="32"/>
          <w:szCs w:val="32"/>
          <w:highlight w:val="none"/>
        </w:rPr>
        <w:t>。</w:t>
      </w:r>
      <w:r>
        <w:rPr>
          <w:rFonts w:hint="eastAsia" w:ascii="仿宋" w:hAnsi="仿宋" w:eastAsia="仿宋" w:cs="仿宋"/>
          <w:b/>
          <w:bCs/>
          <w:color w:val="auto"/>
          <w:spacing w:val="-6"/>
          <w:sz w:val="32"/>
          <w:szCs w:val="32"/>
          <w:highlight w:val="none"/>
        </w:rPr>
        <w:t>五是</w:t>
      </w:r>
      <w:r>
        <w:rPr>
          <w:rFonts w:hint="eastAsia" w:ascii="仿宋" w:hAnsi="仿宋" w:eastAsia="仿宋" w:cs="仿宋"/>
          <w:b w:val="0"/>
          <w:bCs w:val="0"/>
          <w:color w:val="auto"/>
          <w:spacing w:val="-6"/>
          <w:sz w:val="32"/>
          <w:szCs w:val="32"/>
          <w:highlight w:val="none"/>
          <w:lang w:eastAsia="zh-CN"/>
        </w:rPr>
        <w:t>省特色县域强县工程、深化扩权强县改革等重大政策机遇实施，</w:t>
      </w:r>
      <w:r>
        <w:rPr>
          <w:rFonts w:hint="eastAsia" w:ascii="仿宋" w:hAnsi="仿宋" w:eastAsia="仿宋" w:cs="仿宋"/>
          <w:b w:val="0"/>
          <w:bCs w:val="0"/>
          <w:color w:val="auto"/>
          <w:sz w:val="32"/>
          <w:szCs w:val="32"/>
          <w:highlight w:val="none"/>
        </w:rPr>
        <w:t>以县城为重要载体的新型城镇化建设</w:t>
      </w:r>
      <w:r>
        <w:rPr>
          <w:rFonts w:hint="eastAsia" w:ascii="仿宋" w:hAnsi="仿宋" w:eastAsia="仿宋" w:cs="仿宋"/>
          <w:color w:val="auto"/>
          <w:sz w:val="32"/>
          <w:szCs w:val="32"/>
          <w:highlight w:val="none"/>
        </w:rPr>
        <w:t>加速推进</w:t>
      </w:r>
      <w:r>
        <w:rPr>
          <w:rFonts w:hint="eastAsia" w:ascii="仿宋" w:hAnsi="仿宋" w:eastAsia="仿宋" w:cs="仿宋"/>
          <w:color w:val="auto"/>
          <w:sz w:val="32"/>
          <w:szCs w:val="32"/>
          <w:highlight w:val="none"/>
          <w:lang w:eastAsia="zh-CN"/>
        </w:rPr>
        <w:t>，为我市加快经济高质量发展提供了重大机遇</w:t>
      </w:r>
      <w:r>
        <w:rPr>
          <w:rFonts w:hint="eastAsia" w:ascii="仿宋" w:hAnsi="仿宋" w:eastAsia="仿宋" w:cs="仿宋"/>
          <w:color w:val="auto"/>
          <w:spacing w:val="-6"/>
          <w:sz w:val="32"/>
          <w:szCs w:val="32"/>
          <w:highlight w:val="none"/>
        </w:rPr>
        <w:t>。</w:t>
      </w:r>
    </w:p>
    <w:p w14:paraId="04B13F8E">
      <w:pPr>
        <w:keepNext w:val="0"/>
        <w:keepLines w:val="0"/>
        <w:pageBreakBefore w:val="0"/>
        <w:widowControl w:val="0"/>
        <w:kinsoku/>
        <w:wordWrap/>
        <w:overflowPunct/>
        <w:topLinePunct w:val="0"/>
        <w:autoSpaceDE/>
        <w:autoSpaceDN/>
        <w:bidi w:val="0"/>
        <w:adjustRightInd/>
        <w:snapToGrid/>
        <w:spacing w:line="664" w:lineRule="exact"/>
        <w:ind w:firstLine="643" w:firstLineChars="200"/>
        <w:jc w:val="both"/>
        <w:textAlignment w:val="auto"/>
        <w:rPr>
          <w:rFonts w:hint="eastAsia" w:ascii="仿宋" w:hAnsi="仿宋" w:eastAsia="仿宋" w:cs="仿宋"/>
          <w:color w:val="auto"/>
          <w:szCs w:val="32"/>
          <w:highlight w:val="none"/>
          <w:lang w:val="en-US" w:eastAsia="zh-CN"/>
        </w:rPr>
      </w:pPr>
      <w:r>
        <w:rPr>
          <w:rFonts w:hint="eastAsia" w:ascii="KaiTi_GB2312" w:hAnsi="KaiTi_GB2312" w:eastAsia="KaiTi_GB2312" w:cs="KaiTi_GB2312"/>
          <w:b/>
          <w:bCs/>
          <w:color w:val="auto"/>
          <w:sz w:val="32"/>
          <w:szCs w:val="32"/>
          <w:highlight w:val="none"/>
        </w:rPr>
        <w:t>从市域情况看。</w:t>
      </w:r>
      <w:r>
        <w:rPr>
          <w:rFonts w:hint="eastAsia" w:ascii="仿宋" w:hAnsi="仿宋" w:eastAsia="仿宋" w:cs="仿宋"/>
          <w:b/>
          <w:bCs/>
          <w:color w:val="auto"/>
          <w:sz w:val="32"/>
          <w:szCs w:val="32"/>
          <w:highlight w:val="none"/>
        </w:rPr>
        <w:t>一是</w:t>
      </w:r>
      <w:r>
        <w:rPr>
          <w:rFonts w:hint="eastAsia" w:ascii="仿宋" w:hAnsi="仿宋" w:eastAsia="仿宋" w:cs="仿宋"/>
          <w:color w:val="auto"/>
          <w:sz w:val="32"/>
          <w:szCs w:val="32"/>
          <w:highlight w:val="none"/>
        </w:rPr>
        <w:t>政策红利不断释放。</w:t>
      </w:r>
      <w:r>
        <w:rPr>
          <w:rFonts w:hint="eastAsia" w:ascii="仿宋" w:hAnsi="仿宋" w:eastAsia="仿宋" w:cs="仿宋"/>
          <w:color w:val="auto"/>
          <w:sz w:val="32"/>
          <w:szCs w:val="32"/>
          <w:highlight w:val="none"/>
          <w:lang w:val="en-US" w:eastAsia="zh-CN"/>
        </w:rPr>
        <w:t>作为</w:t>
      </w:r>
      <w:r>
        <w:rPr>
          <w:rFonts w:hint="eastAsia" w:ascii="仿宋" w:hAnsi="仿宋" w:eastAsia="仿宋" w:cs="仿宋"/>
          <w:color w:val="auto"/>
          <w:sz w:val="32"/>
          <w:szCs w:val="32"/>
          <w:highlight w:val="none"/>
        </w:rPr>
        <w:t>湘南湘西承接产业转移示范区</w:t>
      </w:r>
      <w:r>
        <w:rPr>
          <w:rFonts w:hint="eastAsia" w:ascii="仿宋" w:hAnsi="仿宋" w:eastAsia="仿宋" w:cs="仿宋"/>
          <w:color w:val="auto"/>
          <w:sz w:val="32"/>
          <w:szCs w:val="32"/>
          <w:highlight w:val="none"/>
          <w:lang w:val="en-US" w:eastAsia="zh-CN"/>
        </w:rPr>
        <w:t>城市之一</w:t>
      </w:r>
      <w:r>
        <w:rPr>
          <w:rFonts w:hint="eastAsia" w:ascii="仿宋" w:hAnsi="仿宋" w:eastAsia="仿宋" w:cs="仿宋"/>
          <w:color w:val="auto"/>
          <w:sz w:val="32"/>
          <w:szCs w:val="32"/>
          <w:highlight w:val="none"/>
        </w:rPr>
        <w:t>，生产要素加速集聚</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zh-CN"/>
        </w:rPr>
        <w:t>产业结构</w:t>
      </w:r>
      <w:r>
        <w:rPr>
          <w:rFonts w:hint="eastAsia" w:ascii="仿宋" w:hAnsi="仿宋" w:eastAsia="仿宋" w:cs="仿宋"/>
          <w:color w:val="auto"/>
          <w:sz w:val="32"/>
          <w:szCs w:val="32"/>
          <w:highlight w:val="none"/>
          <w:lang w:val="en-US" w:eastAsia="zh-CN"/>
        </w:rPr>
        <w:t>调整</w:t>
      </w:r>
      <w:r>
        <w:rPr>
          <w:rFonts w:hint="eastAsia" w:ascii="仿宋" w:hAnsi="仿宋" w:eastAsia="仿宋" w:cs="仿宋"/>
          <w:color w:val="auto"/>
          <w:sz w:val="32"/>
          <w:szCs w:val="32"/>
          <w:highlight w:val="none"/>
          <w:lang w:val="zh-CN"/>
        </w:rPr>
        <w:t>升级</w:t>
      </w:r>
      <w:r>
        <w:rPr>
          <w:rFonts w:hint="eastAsia" w:ascii="仿宋" w:hAnsi="仿宋" w:eastAsia="仿宋" w:cs="仿宋"/>
          <w:color w:val="auto"/>
          <w:sz w:val="32"/>
          <w:szCs w:val="32"/>
          <w:highlight w:val="none"/>
        </w:rPr>
        <w:t>，为</w:t>
      </w:r>
      <w:r>
        <w:rPr>
          <w:rFonts w:hint="eastAsia" w:ascii="仿宋" w:hAnsi="仿宋" w:eastAsia="仿宋" w:cs="仿宋"/>
          <w:color w:val="auto"/>
          <w:sz w:val="32"/>
          <w:szCs w:val="32"/>
          <w:highlight w:val="none"/>
          <w:lang w:val="en-US" w:eastAsia="zh-CN"/>
        </w:rPr>
        <w:t>武冈</w:t>
      </w:r>
      <w:r>
        <w:rPr>
          <w:rFonts w:hint="eastAsia" w:ascii="仿宋" w:hAnsi="仿宋" w:eastAsia="仿宋" w:cs="仿宋"/>
          <w:color w:val="auto"/>
          <w:sz w:val="32"/>
          <w:szCs w:val="32"/>
          <w:highlight w:val="none"/>
        </w:rPr>
        <w:t>发展提供了强有力的支撑。</w:t>
      </w:r>
      <w:r>
        <w:rPr>
          <w:rFonts w:hint="eastAsia" w:ascii="仿宋" w:hAnsi="仿宋" w:eastAsia="仿宋" w:cs="仿宋"/>
          <w:b/>
          <w:bCs/>
          <w:color w:val="auto"/>
          <w:sz w:val="32"/>
          <w:szCs w:val="32"/>
          <w:highlight w:val="none"/>
        </w:rPr>
        <w:t>二是</w:t>
      </w:r>
      <w:r>
        <w:rPr>
          <w:rFonts w:hint="eastAsia" w:ascii="仿宋" w:hAnsi="仿宋" w:eastAsia="仿宋" w:cs="仿宋"/>
          <w:color w:val="auto"/>
          <w:sz w:val="32"/>
          <w:szCs w:val="32"/>
          <w:highlight w:val="none"/>
        </w:rPr>
        <w:t>交通条件持续改善。</w:t>
      </w:r>
      <w:r>
        <w:rPr>
          <w:rFonts w:hint="eastAsia" w:ascii="仿宋" w:hAnsi="仿宋" w:eastAsia="仿宋" w:cs="仿宋"/>
          <w:color w:val="auto"/>
          <w:szCs w:val="32"/>
          <w:highlight w:val="none"/>
        </w:rPr>
        <w:t>武靖高速建成通车</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武冈机场通航</w:t>
      </w:r>
      <w:r>
        <w:rPr>
          <w:rFonts w:hint="eastAsia" w:ascii="仿宋" w:hAnsi="仿宋" w:eastAsia="仿宋" w:cs="仿宋"/>
          <w:color w:val="auto"/>
          <w:szCs w:val="32"/>
          <w:highlight w:val="none"/>
          <w:lang w:val="en-US" w:eastAsia="zh-CN"/>
        </w:rPr>
        <w:t>为</w:t>
      </w:r>
      <w:r>
        <w:rPr>
          <w:rFonts w:hint="eastAsia" w:ascii="仿宋" w:hAnsi="仿宋" w:eastAsia="仿宋" w:cs="仿宋"/>
          <w:color w:val="auto"/>
          <w:sz w:val="32"/>
          <w:szCs w:val="32"/>
          <w:highlight w:val="none"/>
          <w:lang w:val="en-US" w:eastAsia="zh-CN"/>
        </w:rPr>
        <w:t>加强</w:t>
      </w:r>
      <w:r>
        <w:rPr>
          <w:rFonts w:hint="eastAsia" w:ascii="仿宋" w:hAnsi="仿宋" w:eastAsia="仿宋" w:cs="仿宋"/>
          <w:color w:val="auto"/>
          <w:sz w:val="32"/>
          <w:szCs w:val="32"/>
          <w:highlight w:val="none"/>
        </w:rPr>
        <w:t>与发达地区的交流与合作</w:t>
      </w:r>
      <w:r>
        <w:rPr>
          <w:rFonts w:hint="eastAsia" w:ascii="仿宋" w:hAnsi="仿宋" w:eastAsia="仿宋" w:cs="仿宋"/>
          <w:color w:val="auto"/>
          <w:sz w:val="32"/>
          <w:szCs w:val="32"/>
          <w:highlight w:val="none"/>
          <w:lang w:val="en-US" w:eastAsia="zh-CN"/>
        </w:rPr>
        <w:t>创造了有利条件</w:t>
      </w:r>
      <w:r>
        <w:rPr>
          <w:rFonts w:hint="eastAsia" w:ascii="仿宋" w:hAnsi="仿宋" w:eastAsia="仿宋" w:cs="仿宋"/>
          <w:color w:val="auto"/>
          <w:sz w:val="32"/>
          <w:szCs w:val="32"/>
          <w:highlight w:val="none"/>
        </w:rPr>
        <w:t>。</w:t>
      </w:r>
      <w:bookmarkStart w:id="32" w:name="_Toc11697"/>
      <w:r>
        <w:rPr>
          <w:rFonts w:hint="eastAsia" w:ascii="仿宋" w:hAnsi="仿宋" w:eastAsia="仿宋" w:cs="仿宋"/>
          <w:b/>
          <w:bCs/>
          <w:color w:val="auto"/>
          <w:sz w:val="32"/>
          <w:szCs w:val="32"/>
          <w:highlight w:val="none"/>
          <w:lang w:val="en-US" w:eastAsia="zh-CN"/>
        </w:rPr>
        <w:t>三是</w:t>
      </w:r>
      <w:r>
        <w:rPr>
          <w:rFonts w:hint="eastAsia" w:ascii="仿宋" w:hAnsi="仿宋" w:eastAsia="仿宋" w:cs="仿宋"/>
          <w:color w:val="auto"/>
          <w:szCs w:val="32"/>
          <w:highlight w:val="none"/>
          <w:lang w:val="en-US" w:eastAsia="zh-CN"/>
        </w:rPr>
        <w:t>武冈市在湘西南城市中地位凸显，区位优势不断放大，发展条件不断改善，城市发展更有力量，建成文化旅游中心、科教卫生中心、商贸服务中心、特色产业中心、交通集散中心，具备一定的比较优势和领先效应，将切实担当起带动邵阳西部发展的重任。</w:t>
      </w:r>
      <w:r>
        <w:rPr>
          <w:rFonts w:hint="eastAsia" w:ascii="仿宋" w:hAnsi="仿宋" w:eastAsia="仿宋" w:cs="仿宋"/>
          <w:b/>
          <w:bCs/>
          <w:color w:val="auto"/>
          <w:sz w:val="32"/>
          <w:szCs w:val="32"/>
          <w:highlight w:val="none"/>
          <w:lang w:val="en-US" w:eastAsia="zh-CN"/>
        </w:rPr>
        <w:t>四是</w:t>
      </w:r>
      <w:r>
        <w:rPr>
          <w:rFonts w:hint="eastAsia" w:ascii="仿宋" w:hAnsi="仿宋" w:eastAsia="仿宋" w:cs="仿宋"/>
          <w:color w:val="auto"/>
          <w:szCs w:val="32"/>
          <w:highlight w:val="none"/>
          <w:lang w:val="en-US" w:eastAsia="zh-CN"/>
        </w:rPr>
        <w:t>发展能力不断增强。我们的干部群众经受住了“三大攻坚战”的考验，全市上下团结奋进、合力攻坚的干事氛围进一步增强，成为武冈市“十四五”发展的最大底气。</w:t>
      </w:r>
    </w:p>
    <w:p w14:paraId="2A8E2AC0">
      <w:pPr>
        <w:keepNext w:val="0"/>
        <w:keepLines w:val="0"/>
        <w:pageBreakBefore w:val="0"/>
        <w:widowControl w:val="0"/>
        <w:kinsoku/>
        <w:wordWrap/>
        <w:overflowPunct/>
        <w:topLinePunct w:val="0"/>
        <w:autoSpaceDE/>
        <w:autoSpaceDN/>
        <w:bidi w:val="0"/>
        <w:adjustRightInd/>
        <w:snapToGrid/>
        <w:spacing w:line="664" w:lineRule="exact"/>
        <w:ind w:firstLine="640" w:firstLineChars="20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rPr>
        <w:t>发展挑战</w:t>
      </w:r>
      <w:bookmarkEnd w:id="32"/>
    </w:p>
    <w:p w14:paraId="703EE4AF">
      <w:pPr>
        <w:keepNext w:val="0"/>
        <w:keepLines w:val="0"/>
        <w:pageBreakBefore w:val="0"/>
        <w:widowControl w:val="0"/>
        <w:kinsoku/>
        <w:wordWrap/>
        <w:overflowPunct/>
        <w:topLinePunct w:val="0"/>
        <w:autoSpaceDE/>
        <w:autoSpaceDN/>
        <w:bidi w:val="0"/>
        <w:adjustRightInd/>
        <w:snapToGrid/>
        <w:spacing w:line="664"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“十四五”时期，国际环境日趋复杂，不稳定性不确定性明显增加，同时我国长期的快速发展，积累和遗留的各种问题也十分突出，我市经济社会发展面临诸多新的挑战。</w:t>
      </w:r>
    </w:p>
    <w:p w14:paraId="71D4E911">
      <w:pPr>
        <w:keepNext w:val="0"/>
        <w:keepLines w:val="0"/>
        <w:pageBreakBefore w:val="0"/>
        <w:widowControl w:val="0"/>
        <w:kinsoku/>
        <w:wordWrap/>
        <w:overflowPunct/>
        <w:topLinePunct w:val="0"/>
        <w:autoSpaceDE/>
        <w:autoSpaceDN/>
        <w:bidi w:val="0"/>
        <w:adjustRightInd/>
        <w:snapToGrid/>
        <w:spacing w:line="664" w:lineRule="exact"/>
        <w:ind w:firstLine="643" w:firstLineChars="200"/>
        <w:jc w:val="both"/>
        <w:textAlignment w:val="auto"/>
        <w:rPr>
          <w:rFonts w:hint="eastAsia" w:ascii="仿宋" w:hAnsi="仿宋" w:eastAsia="仿宋" w:cs="仿宋"/>
          <w:color w:val="auto"/>
          <w:spacing w:val="0"/>
          <w:sz w:val="32"/>
          <w:szCs w:val="32"/>
          <w:highlight w:val="none"/>
        </w:rPr>
      </w:pPr>
      <w:r>
        <w:rPr>
          <w:rFonts w:hint="eastAsia" w:ascii="KaiTi_GB2312" w:hAnsi="KaiTi_GB2312" w:eastAsia="KaiTi_GB2312" w:cs="KaiTi_GB2312"/>
          <w:b/>
          <w:bCs/>
          <w:color w:val="auto"/>
          <w:sz w:val="32"/>
          <w:szCs w:val="32"/>
          <w:highlight w:val="none"/>
        </w:rPr>
        <w:t>从外部环境看。</w:t>
      </w:r>
      <w:r>
        <w:rPr>
          <w:rFonts w:hint="eastAsia" w:ascii="仿宋" w:hAnsi="仿宋" w:eastAsia="仿宋" w:cs="仿宋"/>
          <w:b/>
          <w:bCs/>
          <w:color w:val="auto"/>
          <w:spacing w:val="0"/>
          <w:sz w:val="32"/>
          <w:szCs w:val="32"/>
          <w:highlight w:val="none"/>
        </w:rPr>
        <w:t>一是</w:t>
      </w:r>
      <w:r>
        <w:rPr>
          <w:rFonts w:hint="eastAsia" w:ascii="仿宋" w:hAnsi="仿宋" w:eastAsia="仿宋" w:cs="仿宋"/>
          <w:color w:val="auto"/>
          <w:spacing w:val="0"/>
          <w:sz w:val="32"/>
          <w:szCs w:val="32"/>
          <w:highlight w:val="none"/>
        </w:rPr>
        <w:t>受全球经济增速持续放缓、逆全球化、大国博弈及新冠</w:t>
      </w:r>
      <w:r>
        <w:rPr>
          <w:rFonts w:hint="eastAsia" w:ascii="仿宋" w:hAnsi="仿宋" w:eastAsia="仿宋" w:cs="仿宋"/>
          <w:color w:val="auto"/>
          <w:spacing w:val="0"/>
          <w:sz w:val="32"/>
          <w:szCs w:val="32"/>
          <w:highlight w:val="none"/>
          <w:lang w:eastAsia="zh-CN"/>
        </w:rPr>
        <w:t>肺炎</w:t>
      </w:r>
      <w:r>
        <w:rPr>
          <w:rFonts w:hint="eastAsia" w:ascii="仿宋" w:hAnsi="仿宋" w:eastAsia="仿宋" w:cs="仿宋"/>
          <w:color w:val="auto"/>
          <w:spacing w:val="0"/>
          <w:sz w:val="32"/>
          <w:szCs w:val="32"/>
          <w:highlight w:val="none"/>
        </w:rPr>
        <w:t>疫情叠加影响，我国外贸经济发展受到较大影响，这对我市挖掘外需潜在动力、加快优进优出、提高出口产品竞争优势构成多重挑战。</w:t>
      </w:r>
      <w:r>
        <w:rPr>
          <w:rFonts w:hint="eastAsia" w:ascii="仿宋" w:hAnsi="仿宋" w:eastAsia="仿宋" w:cs="仿宋"/>
          <w:b/>
          <w:bCs/>
          <w:color w:val="auto"/>
          <w:spacing w:val="0"/>
          <w:sz w:val="32"/>
          <w:szCs w:val="32"/>
          <w:highlight w:val="none"/>
        </w:rPr>
        <w:t>二是</w:t>
      </w:r>
      <w:r>
        <w:rPr>
          <w:rFonts w:hint="eastAsia" w:ascii="仿宋" w:hAnsi="仿宋" w:eastAsia="仿宋" w:cs="仿宋"/>
          <w:color w:val="auto"/>
          <w:spacing w:val="0"/>
          <w:sz w:val="32"/>
          <w:szCs w:val="32"/>
          <w:highlight w:val="none"/>
        </w:rPr>
        <w:t>国内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r>
        <w:rPr>
          <w:rFonts w:hint="eastAsia" w:ascii="仿宋" w:hAnsi="仿宋" w:eastAsia="仿宋" w:cs="仿宋"/>
          <w:b/>
          <w:bCs/>
          <w:color w:val="auto"/>
          <w:spacing w:val="0"/>
          <w:sz w:val="32"/>
          <w:szCs w:val="32"/>
          <w:highlight w:val="none"/>
        </w:rPr>
        <w:t>三是</w:t>
      </w:r>
      <w:r>
        <w:rPr>
          <w:rFonts w:hint="eastAsia" w:ascii="仿宋" w:hAnsi="仿宋" w:eastAsia="仿宋" w:cs="仿宋"/>
          <w:color w:val="auto"/>
          <w:spacing w:val="0"/>
          <w:sz w:val="32"/>
          <w:szCs w:val="32"/>
          <w:highlight w:val="none"/>
        </w:rPr>
        <w:t>城市竞争日趋激烈，</w:t>
      </w:r>
      <w:r>
        <w:rPr>
          <w:rFonts w:hint="eastAsia" w:ascii="仿宋" w:hAnsi="仿宋" w:eastAsia="仿宋" w:cs="仿宋"/>
          <w:i w:val="0"/>
          <w:caps w:val="0"/>
          <w:color w:val="auto"/>
          <w:spacing w:val="0"/>
          <w:sz w:val="32"/>
          <w:szCs w:val="32"/>
          <w:highlight w:val="none"/>
          <w:shd w:val="clear"/>
        </w:rPr>
        <w:t>随着高质量发展要素的稀缺性日益</w:t>
      </w:r>
      <w:r>
        <w:rPr>
          <w:rFonts w:hint="eastAsia" w:ascii="仿宋" w:hAnsi="仿宋" w:eastAsia="仿宋" w:cs="仿宋"/>
          <w:i w:val="0"/>
          <w:caps w:val="0"/>
          <w:color w:val="auto"/>
          <w:spacing w:val="0"/>
          <w:sz w:val="32"/>
          <w:szCs w:val="32"/>
          <w:highlight w:val="none"/>
          <w:shd w:val="clear"/>
          <w:lang w:eastAsia="zh-CN"/>
        </w:rPr>
        <w:t>突出，</w:t>
      </w:r>
      <w:r>
        <w:rPr>
          <w:rFonts w:hint="eastAsia" w:ascii="仿宋" w:hAnsi="仿宋" w:eastAsia="仿宋" w:cs="仿宋"/>
          <w:i w:val="0"/>
          <w:caps w:val="0"/>
          <w:color w:val="auto"/>
          <w:spacing w:val="0"/>
          <w:sz w:val="32"/>
          <w:szCs w:val="32"/>
          <w:highlight w:val="none"/>
          <w:shd w:val="clear"/>
        </w:rPr>
        <w:t>区域或城市间对人才的竞争日益白热化</w:t>
      </w:r>
      <w:r>
        <w:rPr>
          <w:rFonts w:hint="eastAsia" w:ascii="仿宋" w:hAnsi="仿宋" w:eastAsia="仿宋" w:cs="仿宋"/>
          <w:i w:val="0"/>
          <w:caps w:val="0"/>
          <w:color w:val="auto"/>
          <w:spacing w:val="0"/>
          <w:sz w:val="32"/>
          <w:szCs w:val="32"/>
          <w:highlight w:val="none"/>
          <w:shd w:val="clear"/>
          <w:lang w:eastAsia="zh-CN"/>
        </w:rPr>
        <w:t>，</w:t>
      </w:r>
      <w:r>
        <w:rPr>
          <w:rFonts w:hint="eastAsia" w:ascii="仿宋" w:hAnsi="仿宋" w:eastAsia="仿宋" w:cs="仿宋"/>
          <w:i w:val="0"/>
          <w:caps w:val="0"/>
          <w:color w:val="auto"/>
          <w:spacing w:val="0"/>
          <w:sz w:val="32"/>
          <w:szCs w:val="32"/>
          <w:highlight w:val="none"/>
          <w:shd w:val="clear"/>
          <w:lang w:val="en-US" w:eastAsia="zh-CN"/>
        </w:rPr>
        <w:t>面临不进则退的挑战</w:t>
      </w:r>
      <w:r>
        <w:rPr>
          <w:rFonts w:hint="eastAsia" w:ascii="仿宋" w:hAnsi="仿宋" w:eastAsia="仿宋" w:cs="仿宋"/>
          <w:color w:val="auto"/>
          <w:spacing w:val="0"/>
          <w:sz w:val="32"/>
          <w:szCs w:val="32"/>
          <w:highlight w:val="none"/>
        </w:rPr>
        <w:t>。</w:t>
      </w:r>
    </w:p>
    <w:p w14:paraId="18FC8951">
      <w:pPr>
        <w:pStyle w:val="29"/>
        <w:pageBreakBefore w:val="0"/>
        <w:widowControl w:val="0"/>
        <w:kinsoku/>
        <w:wordWrap/>
        <w:overflowPunct/>
        <w:topLinePunct w:val="0"/>
        <w:autoSpaceDE/>
        <w:autoSpaceDN/>
        <w:bidi w:val="0"/>
        <w:adjustRightInd/>
        <w:snapToGrid/>
        <w:spacing w:line="640" w:lineRule="exact"/>
        <w:ind w:firstLine="643" w:firstLineChars="200"/>
        <w:jc w:val="both"/>
        <w:textAlignment w:val="auto"/>
        <w:rPr>
          <w:rFonts w:hint="eastAsia" w:ascii="仿宋" w:hAnsi="仿宋" w:eastAsia="仿宋" w:cs="仿宋"/>
          <w:b/>
          <w:color w:val="auto"/>
          <w:szCs w:val="32"/>
          <w:highlight w:val="none"/>
          <w:lang w:eastAsia="zh-CN"/>
        </w:rPr>
      </w:pPr>
      <w:r>
        <w:rPr>
          <w:rFonts w:hint="eastAsia" w:ascii="KaiTi_GB2312" w:hAnsi="KaiTi_GB2312" w:eastAsia="KaiTi_GB2312" w:cs="KaiTi_GB2312"/>
          <w:b/>
          <w:bCs/>
          <w:color w:val="auto"/>
          <w:kern w:val="2"/>
          <w:sz w:val="32"/>
          <w:szCs w:val="32"/>
          <w:highlight w:val="none"/>
          <w:lang w:val="en-US" w:eastAsia="zh-CN" w:bidi="ar-SA"/>
        </w:rPr>
        <w:t>从内部环境看。</w:t>
      </w:r>
      <w:r>
        <w:rPr>
          <w:rFonts w:hint="eastAsia" w:ascii="仿宋" w:hAnsi="仿宋" w:eastAsia="仿宋" w:cs="仿宋"/>
          <w:b/>
          <w:bCs/>
          <w:color w:val="auto"/>
          <w:kern w:val="2"/>
          <w:sz w:val="32"/>
          <w:szCs w:val="32"/>
          <w:highlight w:val="none"/>
          <w:lang w:val="en-US" w:eastAsia="zh-CN" w:bidi="ar-SA"/>
        </w:rPr>
        <w:t>一是</w:t>
      </w:r>
      <w:r>
        <w:rPr>
          <w:rFonts w:hint="eastAsia" w:ascii="仿宋" w:hAnsi="仿宋" w:eastAsia="仿宋" w:cs="仿宋"/>
          <w:b w:val="0"/>
          <w:bCs w:val="0"/>
          <w:color w:val="auto"/>
          <w:sz w:val="32"/>
          <w:szCs w:val="32"/>
          <w:highlight w:val="none"/>
          <w:lang w:val="en-US" w:eastAsia="zh-CN"/>
        </w:rPr>
        <w:t>产业结构不合理，工业基础比较薄弱</w:t>
      </w:r>
      <w:r>
        <w:rPr>
          <w:rFonts w:hint="eastAsia" w:ascii="仿宋" w:hAnsi="仿宋" w:eastAsia="仿宋" w:cs="仿宋"/>
          <w:color w:val="auto"/>
          <w:sz w:val="32"/>
          <w:szCs w:val="32"/>
          <w:highlight w:val="none"/>
        </w:rPr>
        <w:t>。</w:t>
      </w:r>
      <w:r>
        <w:rPr>
          <w:rFonts w:hint="eastAsia" w:ascii="仿宋" w:hAnsi="仿宋" w:eastAsia="仿宋" w:cs="仿宋"/>
          <w:b w:val="0"/>
          <w:bCs w:val="0"/>
          <w:color w:val="auto"/>
          <w:sz w:val="32"/>
          <w:szCs w:val="32"/>
          <w:highlight w:val="none"/>
          <w:lang w:val="en-US" w:eastAsia="zh-CN"/>
        </w:rPr>
        <w:t>我市第一产业占比33.7%，</w:t>
      </w:r>
      <w:r>
        <w:rPr>
          <w:rFonts w:hint="eastAsia" w:ascii="仿宋" w:hAnsi="仿宋" w:eastAsia="仿宋" w:cs="仿宋"/>
          <w:color w:val="auto"/>
          <w:sz w:val="32"/>
          <w:szCs w:val="32"/>
          <w:highlight w:val="none"/>
          <w:lang w:val="en-US"/>
        </w:rPr>
        <w:t>比重过大，</w:t>
      </w:r>
      <w:r>
        <w:rPr>
          <w:rFonts w:hint="eastAsia" w:ascii="仿宋" w:hAnsi="仿宋" w:eastAsia="仿宋" w:cs="仿宋"/>
          <w:color w:val="auto"/>
          <w:sz w:val="32"/>
          <w:szCs w:val="32"/>
          <w:highlight w:val="none"/>
          <w:lang w:val="zh-CN"/>
        </w:rPr>
        <w:t>第二产业基础薄弱。</w:t>
      </w:r>
      <w:r>
        <w:rPr>
          <w:rFonts w:hint="eastAsia" w:ascii="仿宋" w:hAnsi="仿宋" w:eastAsia="仿宋" w:cs="仿宋"/>
          <w:b/>
          <w:bCs/>
          <w:color w:val="auto"/>
          <w:kern w:val="2"/>
          <w:sz w:val="32"/>
          <w:szCs w:val="32"/>
          <w:highlight w:val="none"/>
          <w:lang w:val="en-US" w:eastAsia="zh-CN" w:bidi="ar-SA"/>
        </w:rPr>
        <w:t>二是</w:t>
      </w:r>
      <w:r>
        <w:rPr>
          <w:rFonts w:hint="eastAsia" w:ascii="仿宋" w:hAnsi="仿宋" w:eastAsia="仿宋" w:cs="仿宋"/>
          <w:b w:val="0"/>
          <w:bCs w:val="0"/>
          <w:color w:val="auto"/>
          <w:sz w:val="32"/>
          <w:szCs w:val="32"/>
          <w:highlight w:val="none"/>
          <w:lang w:val="en-US" w:eastAsia="zh-CN"/>
        </w:rPr>
        <w:t>产业链、供应链不完整。</w:t>
      </w:r>
      <w:r>
        <w:rPr>
          <w:rFonts w:hint="eastAsia" w:ascii="仿宋" w:hAnsi="仿宋" w:eastAsia="仿宋" w:cs="仿宋"/>
          <w:color w:val="auto"/>
          <w:sz w:val="32"/>
          <w:szCs w:val="32"/>
          <w:highlight w:val="none"/>
          <w:lang w:val="zh-CN"/>
        </w:rPr>
        <w:t>企业生产原材料绝大部分来自上海、广东等地，</w:t>
      </w:r>
      <w:r>
        <w:rPr>
          <w:rFonts w:hint="eastAsia" w:ascii="仿宋" w:hAnsi="仿宋" w:eastAsia="仿宋" w:cs="仿宋"/>
          <w:color w:val="auto"/>
          <w:sz w:val="32"/>
          <w:szCs w:val="32"/>
          <w:highlight w:val="none"/>
          <w:lang w:val="en-US" w:eastAsia="zh-CN"/>
        </w:rPr>
        <w:t>成</w:t>
      </w:r>
      <w:r>
        <w:rPr>
          <w:rFonts w:hint="eastAsia" w:ascii="仿宋" w:hAnsi="仿宋" w:eastAsia="仿宋" w:cs="仿宋"/>
          <w:color w:val="auto"/>
          <w:sz w:val="32"/>
          <w:szCs w:val="32"/>
          <w:highlight w:val="none"/>
          <w:lang w:val="zh-CN"/>
        </w:rPr>
        <w:t>品</w:t>
      </w:r>
      <w:r>
        <w:rPr>
          <w:rFonts w:hint="eastAsia" w:ascii="仿宋" w:hAnsi="仿宋" w:eastAsia="仿宋" w:cs="仿宋"/>
          <w:color w:val="auto"/>
          <w:sz w:val="32"/>
          <w:szCs w:val="32"/>
          <w:highlight w:val="none"/>
          <w:lang w:val="en-US" w:eastAsia="zh-CN"/>
        </w:rPr>
        <w:t>也大</w:t>
      </w:r>
      <w:r>
        <w:rPr>
          <w:rFonts w:hint="eastAsia" w:ascii="仿宋" w:hAnsi="仿宋" w:eastAsia="仿宋" w:cs="仿宋"/>
          <w:color w:val="auto"/>
          <w:sz w:val="32"/>
          <w:szCs w:val="32"/>
          <w:highlight w:val="none"/>
          <w:lang w:val="zh-CN"/>
        </w:rPr>
        <w:t>都运往这些地方销售，物流成本</w:t>
      </w:r>
      <w:r>
        <w:rPr>
          <w:rFonts w:hint="eastAsia" w:ascii="仿宋" w:hAnsi="仿宋" w:eastAsia="仿宋" w:cs="仿宋"/>
          <w:color w:val="auto"/>
          <w:sz w:val="32"/>
          <w:szCs w:val="32"/>
          <w:highlight w:val="none"/>
          <w:lang w:val="en-US" w:eastAsia="zh-CN"/>
        </w:rPr>
        <w:t>较高</w:t>
      </w:r>
      <w:r>
        <w:rPr>
          <w:rFonts w:hint="eastAsia" w:ascii="仿宋" w:hAnsi="仿宋" w:eastAsia="仿宋" w:cs="仿宋"/>
          <w:color w:val="auto"/>
          <w:sz w:val="32"/>
          <w:szCs w:val="32"/>
          <w:highlight w:val="none"/>
          <w:lang w:val="zh-CN"/>
        </w:rPr>
        <w:t>，市场竞争力</w:t>
      </w:r>
      <w:r>
        <w:rPr>
          <w:rFonts w:hint="eastAsia" w:ascii="仿宋" w:hAnsi="仿宋" w:eastAsia="仿宋" w:cs="仿宋"/>
          <w:color w:val="auto"/>
          <w:sz w:val="32"/>
          <w:szCs w:val="32"/>
          <w:highlight w:val="none"/>
          <w:lang w:val="en-US" w:eastAsia="zh-CN"/>
        </w:rPr>
        <w:t>不足</w:t>
      </w:r>
      <w:r>
        <w:rPr>
          <w:rFonts w:hint="eastAsia" w:ascii="仿宋" w:hAnsi="仿宋" w:eastAsia="仿宋" w:cs="仿宋"/>
          <w:color w:val="auto"/>
          <w:sz w:val="32"/>
          <w:szCs w:val="32"/>
          <w:highlight w:val="none"/>
          <w:lang w:val="zh-CN"/>
        </w:rPr>
        <w:t>。</w:t>
      </w:r>
      <w:r>
        <w:rPr>
          <w:rFonts w:hint="eastAsia" w:ascii="仿宋" w:hAnsi="仿宋" w:eastAsia="仿宋" w:cs="仿宋"/>
          <w:b/>
          <w:bCs/>
          <w:color w:val="auto"/>
          <w:kern w:val="2"/>
          <w:sz w:val="32"/>
          <w:szCs w:val="32"/>
          <w:highlight w:val="none"/>
          <w:lang w:val="en-US" w:eastAsia="zh-CN" w:bidi="ar-SA"/>
        </w:rPr>
        <w:t>三是</w:t>
      </w:r>
      <w:r>
        <w:rPr>
          <w:rFonts w:hint="eastAsia" w:ascii="仿宋" w:hAnsi="仿宋" w:eastAsia="仿宋" w:cs="仿宋"/>
          <w:color w:val="auto"/>
          <w:sz w:val="32"/>
          <w:szCs w:val="32"/>
          <w:highlight w:val="none"/>
        </w:rPr>
        <w:t>要素保障压力大。融资难、融资贵</w:t>
      </w:r>
      <w:r>
        <w:rPr>
          <w:rFonts w:hint="eastAsia" w:ascii="仿宋" w:hAnsi="仿宋" w:eastAsia="仿宋" w:cs="仿宋"/>
          <w:color w:val="auto"/>
          <w:sz w:val="32"/>
          <w:szCs w:val="32"/>
          <w:highlight w:val="none"/>
          <w:lang w:eastAsia="zh-CN"/>
        </w:rPr>
        <w:t>未得到</w:t>
      </w:r>
      <w:r>
        <w:rPr>
          <w:rFonts w:hint="eastAsia" w:ascii="仿宋" w:hAnsi="仿宋" w:eastAsia="仿宋" w:cs="仿宋"/>
          <w:color w:val="auto"/>
          <w:sz w:val="32"/>
          <w:szCs w:val="32"/>
          <w:highlight w:val="none"/>
        </w:rPr>
        <w:t>有效解决，部分重点项目配套资金不足，</w:t>
      </w:r>
      <w:r>
        <w:rPr>
          <w:rFonts w:hint="eastAsia" w:ascii="仿宋" w:hAnsi="仿宋" w:eastAsia="仿宋" w:cs="仿宋"/>
          <w:color w:val="auto"/>
          <w:sz w:val="32"/>
          <w:szCs w:val="32"/>
          <w:highlight w:val="none"/>
          <w:lang w:eastAsia="zh-CN"/>
        </w:rPr>
        <w:t>土地审批比较困难，</w:t>
      </w:r>
      <w:r>
        <w:rPr>
          <w:rFonts w:hint="eastAsia" w:ascii="仿宋" w:hAnsi="仿宋" w:eastAsia="仿宋" w:cs="仿宋"/>
          <w:color w:val="auto"/>
          <w:sz w:val="32"/>
          <w:szCs w:val="32"/>
          <w:highlight w:val="none"/>
        </w:rPr>
        <w:t>影响项目实施</w:t>
      </w:r>
      <w:r>
        <w:rPr>
          <w:rFonts w:hint="eastAsia" w:ascii="仿宋" w:hAnsi="仿宋" w:eastAsia="仿宋" w:cs="仿宋"/>
          <w:color w:val="auto"/>
          <w:sz w:val="32"/>
          <w:szCs w:val="32"/>
          <w:highlight w:val="none"/>
          <w:lang w:eastAsia="zh-CN"/>
        </w:rPr>
        <w:t>和推进</w:t>
      </w:r>
      <w:r>
        <w:rPr>
          <w:rFonts w:hint="eastAsia" w:ascii="仿宋" w:hAnsi="仿宋" w:eastAsia="仿宋" w:cs="仿宋"/>
          <w:color w:val="auto"/>
          <w:sz w:val="32"/>
          <w:szCs w:val="32"/>
          <w:highlight w:val="none"/>
        </w:rPr>
        <w:t>。</w:t>
      </w:r>
      <w:r>
        <w:rPr>
          <w:rFonts w:hint="eastAsia" w:ascii="仿宋" w:hAnsi="仿宋" w:eastAsia="仿宋" w:cs="仿宋"/>
          <w:b/>
          <w:bCs/>
          <w:color w:val="auto"/>
          <w:kern w:val="2"/>
          <w:sz w:val="32"/>
          <w:szCs w:val="32"/>
          <w:highlight w:val="none"/>
          <w:lang w:val="en-US" w:eastAsia="zh-CN" w:bidi="ar-SA"/>
        </w:rPr>
        <w:t>四是</w:t>
      </w:r>
      <w:r>
        <w:rPr>
          <w:rFonts w:hint="eastAsia" w:ascii="仿宋" w:hAnsi="仿宋" w:eastAsia="仿宋" w:cs="仿宋"/>
          <w:b w:val="0"/>
          <w:bCs w:val="0"/>
          <w:color w:val="auto"/>
          <w:sz w:val="32"/>
          <w:szCs w:val="32"/>
          <w:highlight w:val="none"/>
          <w:lang w:val="en-US" w:eastAsia="zh-CN"/>
        </w:rPr>
        <w:t>科技创新能力偏弱，</w:t>
      </w:r>
      <w:r>
        <w:rPr>
          <w:rFonts w:hint="eastAsia" w:ascii="仿宋" w:hAnsi="仿宋" w:eastAsia="仿宋" w:cs="仿宋"/>
          <w:color w:val="auto"/>
          <w:szCs w:val="32"/>
          <w:highlight w:val="none"/>
        </w:rPr>
        <w:t>当前</w:t>
      </w:r>
      <w:r>
        <w:rPr>
          <w:rFonts w:hint="eastAsia" w:ascii="仿宋" w:hAnsi="仿宋" w:eastAsia="仿宋" w:cs="仿宋"/>
          <w:color w:val="auto"/>
          <w:szCs w:val="32"/>
          <w:highlight w:val="none"/>
          <w:lang w:val="en-US" w:eastAsia="zh-CN"/>
        </w:rPr>
        <w:t>全市</w:t>
      </w:r>
      <w:r>
        <w:rPr>
          <w:rFonts w:hint="eastAsia" w:ascii="仿宋" w:hAnsi="仿宋" w:eastAsia="仿宋" w:cs="仿宋"/>
          <w:color w:val="auto"/>
          <w:szCs w:val="32"/>
          <w:highlight w:val="none"/>
        </w:rPr>
        <w:t>科技发展水平特别是关键核心技术创新能力</w:t>
      </w:r>
      <w:r>
        <w:rPr>
          <w:rFonts w:hint="eastAsia" w:ascii="仿宋" w:hAnsi="仿宋" w:eastAsia="仿宋" w:cs="仿宋"/>
          <w:color w:val="auto"/>
          <w:szCs w:val="32"/>
          <w:highlight w:val="none"/>
          <w:lang w:val="en-US" w:eastAsia="zh-CN"/>
        </w:rPr>
        <w:t>较弱</w:t>
      </w:r>
      <w:r>
        <w:rPr>
          <w:rFonts w:hint="eastAsia" w:ascii="仿宋" w:hAnsi="仿宋" w:eastAsia="仿宋" w:cs="仿宋"/>
          <w:color w:val="auto"/>
          <w:szCs w:val="32"/>
          <w:highlight w:val="none"/>
        </w:rPr>
        <w:t>，一流的科技领军人才和创新团队偏少，创新型企业的竞争力不强</w:t>
      </w:r>
      <w:r>
        <w:rPr>
          <w:rFonts w:hint="eastAsia" w:ascii="仿宋" w:hAnsi="仿宋" w:eastAsia="仿宋" w:cs="仿宋"/>
          <w:color w:val="auto"/>
          <w:szCs w:val="32"/>
          <w:highlight w:val="none"/>
          <w:lang w:eastAsia="zh-CN"/>
        </w:rPr>
        <w:t>。</w:t>
      </w:r>
    </w:p>
    <w:p w14:paraId="43C3F950">
      <w:pPr>
        <w:pStyle w:val="29"/>
        <w:pageBreakBefore w:val="0"/>
        <w:widowControl w:val="0"/>
        <w:kinsoku/>
        <w:wordWrap/>
        <w:overflowPunct/>
        <w:topLinePunct w:val="0"/>
        <w:autoSpaceDE/>
        <w:autoSpaceDN/>
        <w:bidi w:val="0"/>
        <w:adjustRightInd/>
        <w:snapToGrid/>
        <w:spacing w:line="640" w:lineRule="exact"/>
        <w:ind w:firstLine="64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szCs w:val="32"/>
          <w:highlight w:val="none"/>
        </w:rPr>
        <w:t>综合</w:t>
      </w:r>
      <w:r>
        <w:rPr>
          <w:rFonts w:hint="eastAsia" w:ascii="仿宋" w:hAnsi="仿宋" w:eastAsia="仿宋" w:cs="仿宋"/>
          <w:color w:val="auto"/>
          <w:szCs w:val="32"/>
          <w:highlight w:val="none"/>
          <w:lang w:eastAsia="zh-CN"/>
        </w:rPr>
        <w:t>考虑</w:t>
      </w:r>
      <w:r>
        <w:rPr>
          <w:rFonts w:hint="eastAsia" w:ascii="仿宋" w:hAnsi="仿宋" w:eastAsia="仿宋" w:cs="仿宋"/>
          <w:color w:val="auto"/>
          <w:szCs w:val="32"/>
          <w:highlight w:val="none"/>
        </w:rPr>
        <w:t>以上情况，“十四五”期间，武冈市必须以深化改革创新作为突破口，推动经济社会转型升级，积极应对各种压力和挑战，做好顶层设计，制定严密措施，谋划好</w:t>
      </w:r>
      <w:r>
        <w:rPr>
          <w:rFonts w:hint="eastAsia" w:ascii="仿宋" w:hAnsi="仿宋" w:eastAsia="仿宋" w:cs="仿宋"/>
          <w:color w:val="auto"/>
          <w:szCs w:val="32"/>
          <w:highlight w:val="none"/>
          <w:lang w:eastAsia="zh-CN"/>
        </w:rPr>
        <w:t>重大战略任务、重大工程项目和重大政策改革</w:t>
      </w:r>
      <w:r>
        <w:rPr>
          <w:rFonts w:hint="eastAsia" w:ascii="仿宋" w:hAnsi="仿宋" w:eastAsia="仿宋" w:cs="仿宋"/>
          <w:color w:val="auto"/>
          <w:szCs w:val="32"/>
          <w:highlight w:val="none"/>
        </w:rPr>
        <w:t>，强力推进，</w:t>
      </w:r>
      <w:r>
        <w:rPr>
          <w:rFonts w:hint="eastAsia" w:ascii="仿宋" w:hAnsi="仿宋" w:eastAsia="仿宋" w:cs="仿宋"/>
          <w:color w:val="auto"/>
          <w:szCs w:val="32"/>
          <w:highlight w:val="none"/>
          <w:lang w:eastAsia="zh-CN"/>
        </w:rPr>
        <w:t>实现</w:t>
      </w:r>
      <w:r>
        <w:rPr>
          <w:rFonts w:hint="eastAsia" w:ascii="仿宋" w:hAnsi="仿宋" w:eastAsia="仿宋" w:cs="仿宋"/>
          <w:color w:val="auto"/>
          <w:szCs w:val="32"/>
          <w:highlight w:val="none"/>
        </w:rPr>
        <w:t>武冈跨越式发展。</w:t>
      </w:r>
    </w:p>
    <w:p w14:paraId="65EE897F">
      <w:pPr>
        <w:pStyle w:val="4"/>
        <w:keepNext/>
        <w:keepLines/>
        <w:pageBreakBefore w:val="0"/>
        <w:widowControl w:val="0"/>
        <w:kinsoku/>
        <w:wordWrap/>
        <w:overflowPunct/>
        <w:topLinePunct w:val="0"/>
        <w:autoSpaceDE/>
        <w:autoSpaceDN/>
        <w:bidi w:val="0"/>
        <w:adjustRightInd/>
        <w:snapToGrid/>
        <w:spacing w:before="0" w:after="0" w:line="640" w:lineRule="exact"/>
        <w:jc w:val="center"/>
        <w:textAlignment w:val="auto"/>
        <w:rPr>
          <w:rFonts w:hint="eastAsia" w:ascii="黑体" w:hAnsi="黑体" w:eastAsia="黑体" w:cs="黑体"/>
          <w:color w:val="auto"/>
          <w:szCs w:val="32"/>
          <w:highlight w:val="none"/>
        </w:rPr>
      </w:pPr>
      <w:bookmarkStart w:id="33" w:name="_Toc28210"/>
      <w:r>
        <w:rPr>
          <w:rFonts w:hint="eastAsia" w:ascii="黑体" w:hAnsi="黑体" w:eastAsia="黑体" w:cs="黑体"/>
          <w:b w:val="0"/>
          <w:bCs/>
          <w:color w:val="auto"/>
          <w:kern w:val="44"/>
          <w:sz w:val="32"/>
          <w:szCs w:val="32"/>
          <w:highlight w:val="none"/>
          <w:lang w:val="en-US" w:eastAsia="zh-CN" w:bidi="ar-SA"/>
        </w:rPr>
        <w:t>第三节  二〇三五年远景目标</w:t>
      </w:r>
      <w:bookmarkEnd w:id="33"/>
    </w:p>
    <w:p w14:paraId="7694F2FD">
      <w:pPr>
        <w:pStyle w:val="2"/>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到二</w:t>
      </w:r>
      <w:r>
        <w:rPr>
          <w:rFonts w:hint="eastAsia" w:ascii="仿宋" w:hAnsi="仿宋" w:eastAsia="仿宋" w:cs="仿宋"/>
          <w:color w:val="auto"/>
          <w:sz w:val="32"/>
          <w:szCs w:val="32"/>
          <w:highlight w:val="none"/>
          <w:lang w:eastAsia="zh-CN"/>
        </w:rPr>
        <w:t>〇</w:t>
      </w:r>
      <w:r>
        <w:rPr>
          <w:rFonts w:hint="eastAsia" w:ascii="仿宋" w:hAnsi="仿宋" w:eastAsia="仿宋" w:cs="仿宋"/>
          <w:color w:val="auto"/>
          <w:sz w:val="32"/>
          <w:szCs w:val="32"/>
          <w:highlight w:val="none"/>
        </w:rPr>
        <w:t>三五年，基本建成经济强市、科教强市、文化强市、生态强市、开放强市、健康武冈，基本实现富饶美丽幸福新武冈美好愿景，基本实现社会主义现代化，全面建</w:t>
      </w:r>
      <w:r>
        <w:rPr>
          <w:rFonts w:hint="eastAsia" w:ascii="仿宋" w:hAnsi="仿宋" w:eastAsia="仿宋" w:cs="仿宋"/>
          <w:color w:val="auto"/>
          <w:kern w:val="2"/>
          <w:sz w:val="32"/>
          <w:szCs w:val="32"/>
          <w:highlight w:val="none"/>
          <w:lang w:val="en-US" w:eastAsia="zh-CN" w:bidi="ar-SA"/>
        </w:rPr>
        <w:t>成湘西南明珠城市和邵阳</w:t>
      </w:r>
      <w:r>
        <w:rPr>
          <w:rFonts w:hint="eastAsia" w:ascii="仿宋" w:hAnsi="仿宋" w:eastAsia="仿宋" w:cs="仿宋"/>
          <w:color w:val="auto"/>
          <w:sz w:val="32"/>
          <w:szCs w:val="32"/>
          <w:highlight w:val="none"/>
        </w:rPr>
        <w:t>西部生态圈中心城市。城镇人口50万人，中心城区建成面积50平方公里。经济、科技实力大幅跃升，经济总量和城乡居民人均收入位列邵阳市第一方阵，基本实现新型工业化、信息化、城镇化、农业现代化，建成现代化经济体系，形成对外开放新格局。武冈机场航线进一步增加，高铁贯穿武冈，内外通道全面畅通，区域性交通枢纽基本建成。人民平等参与、平等发展权利得到充分保障，基本建成法治武冈、法治政府、法治社会，基本实现治理体系和治理能力现代化。国民素质和社会文明程度达到新高度，文化软实力、影响力显著增强。生态环境根本好转，绿色生产生活方式广泛形成，人与自然和谐共生。中等收入群体显著扩大，基本公共服务实现均等化，城乡区域发展差距和居民生活水平差距显著缩小，平安武冈建设达到更高水平，人民生活更加美好，人的全面发展、全体人民共同富裕取得更为明显的实质性进展。</w:t>
      </w:r>
    </w:p>
    <w:p w14:paraId="301FB4DF">
      <w:pPr>
        <w:pageBreakBefore w:val="0"/>
        <w:wordWrap/>
        <w:bidi w:val="0"/>
        <w:rPr>
          <w:rFonts w:hint="eastAsia" w:ascii="黑体" w:hAnsi="黑体" w:eastAsia="黑体" w:cs="黑体"/>
          <w:bCs/>
          <w:color w:val="auto"/>
          <w:szCs w:val="32"/>
          <w:highlight w:val="none"/>
          <w:lang w:eastAsia="zh-CN"/>
        </w:rPr>
      </w:pPr>
      <w:r>
        <w:rPr>
          <w:rFonts w:hint="eastAsia" w:ascii="黑体" w:hAnsi="黑体" w:eastAsia="黑体" w:cs="黑体"/>
          <w:bCs/>
          <w:color w:val="auto"/>
          <w:szCs w:val="32"/>
          <w:highlight w:val="none"/>
          <w:lang w:eastAsia="zh-CN"/>
        </w:rPr>
        <w:br w:type="page"/>
      </w:r>
    </w:p>
    <w:p w14:paraId="5C7E438A">
      <w:pPr>
        <w:pStyle w:val="2"/>
        <w:keepNext w:val="0"/>
        <w:keepLines w:val="0"/>
        <w:pageBreakBefore w:val="0"/>
        <w:widowControl w:val="0"/>
        <w:kinsoku/>
        <w:wordWrap/>
        <w:overflowPunct/>
        <w:topLinePunct w:val="0"/>
        <w:autoSpaceDE/>
        <w:autoSpaceDN/>
        <w:bidi w:val="0"/>
        <w:adjustRightInd/>
        <w:snapToGrid/>
        <w:spacing w:line="630" w:lineRule="exact"/>
        <w:jc w:val="center"/>
        <w:textAlignment w:val="auto"/>
        <w:outlineLvl w:val="0"/>
        <w:rPr>
          <w:rFonts w:hint="eastAsia" w:ascii="黑体" w:hAnsi="黑体" w:eastAsia="黑体" w:cs="黑体"/>
          <w:bCs/>
          <w:color w:val="auto"/>
          <w:szCs w:val="32"/>
          <w:highlight w:val="none"/>
        </w:rPr>
      </w:pPr>
      <w:bookmarkStart w:id="34" w:name="_Toc15005"/>
      <w:r>
        <w:rPr>
          <w:rFonts w:hint="eastAsia" w:ascii="黑体" w:hAnsi="黑体" w:eastAsia="黑体" w:cs="黑体"/>
          <w:bCs/>
          <w:color w:val="auto"/>
          <w:szCs w:val="32"/>
          <w:highlight w:val="none"/>
          <w:lang w:eastAsia="zh-CN"/>
        </w:rPr>
        <w:t>第</w:t>
      </w:r>
      <w:r>
        <w:rPr>
          <w:rFonts w:hint="eastAsia" w:ascii="黑体" w:hAnsi="黑体" w:eastAsia="黑体" w:cs="黑体"/>
          <w:bCs/>
          <w:color w:val="auto"/>
          <w:szCs w:val="32"/>
          <w:highlight w:val="none"/>
        </w:rPr>
        <w:t>二章</w:t>
      </w:r>
      <w:r>
        <w:rPr>
          <w:rFonts w:hint="eastAsia" w:ascii="黑体" w:hAnsi="黑体" w:eastAsia="黑体" w:cs="黑体"/>
          <w:bCs/>
          <w:color w:val="auto"/>
          <w:szCs w:val="32"/>
          <w:highlight w:val="none"/>
          <w:lang w:val="en-US" w:eastAsia="zh-CN"/>
        </w:rPr>
        <w:t xml:space="preserve">  </w:t>
      </w:r>
      <w:r>
        <w:rPr>
          <w:rFonts w:hint="eastAsia" w:ascii="黑体" w:hAnsi="黑体" w:eastAsia="黑体" w:cs="黑体"/>
          <w:bCs/>
          <w:strike w:val="0"/>
          <w:dstrike w:val="0"/>
          <w:color w:val="auto"/>
          <w:szCs w:val="32"/>
          <w:highlight w:val="none"/>
          <w:lang w:eastAsia="zh-CN"/>
        </w:rPr>
        <w:t>十四五”时期发展指导方针和主要目标</w:t>
      </w:r>
      <w:bookmarkEnd w:id="34"/>
    </w:p>
    <w:p w14:paraId="3E5C3718">
      <w:pPr>
        <w:keepNext w:val="0"/>
        <w:keepLines w:val="0"/>
        <w:pageBreakBefore w:val="0"/>
        <w:widowControl w:val="0"/>
        <w:kinsoku/>
        <w:wordWrap/>
        <w:overflowPunct/>
        <w:topLinePunct w:val="0"/>
        <w:autoSpaceDE/>
        <w:autoSpaceDN/>
        <w:bidi w:val="0"/>
        <w:adjustRightInd/>
        <w:snapToGrid/>
        <w:spacing w:before="0" w:after="0" w:line="63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十四五”时期，落实省委“三高四新”战略部署，贯彻邵阳市委“二中心一枢纽”战略决策，抓住和用好大有作为的重要战略机遇期，全面融入新发展格局，持续发力建设文化旅游、科教卫生、商贸服务、特色产业、交通集散“五个中心”，大力推进乡村振兴样板示范区建设，基本建成湘西南明珠城市和邵阳西部生态圈中心城市，奋力谱写新时代坚持和发展中国特色社会主义的武冈新篇章。</w:t>
      </w:r>
    </w:p>
    <w:p w14:paraId="4D57539C">
      <w:pPr>
        <w:pStyle w:val="4"/>
        <w:keepNext/>
        <w:keepLines/>
        <w:pageBreakBefore w:val="0"/>
        <w:widowControl w:val="0"/>
        <w:kinsoku/>
        <w:wordWrap/>
        <w:overflowPunct/>
        <w:topLinePunct w:val="0"/>
        <w:autoSpaceDE/>
        <w:autoSpaceDN/>
        <w:bidi w:val="0"/>
        <w:adjustRightInd/>
        <w:snapToGrid/>
        <w:spacing w:before="0" w:after="0" w:line="630" w:lineRule="exact"/>
        <w:jc w:val="center"/>
        <w:textAlignment w:val="auto"/>
        <w:rPr>
          <w:rFonts w:hint="eastAsia" w:ascii="黑体" w:hAnsi="黑体" w:eastAsia="黑体" w:cs="黑体"/>
          <w:b w:val="0"/>
          <w:bCs/>
          <w:color w:val="auto"/>
          <w:highlight w:val="none"/>
        </w:rPr>
      </w:pPr>
      <w:bookmarkStart w:id="35" w:name="_Toc24104"/>
      <w:r>
        <w:rPr>
          <w:rFonts w:hint="eastAsia" w:ascii="黑体" w:hAnsi="黑体" w:eastAsia="黑体" w:cs="黑体"/>
          <w:b w:val="0"/>
          <w:bCs/>
          <w:color w:val="auto"/>
          <w:kern w:val="44"/>
          <w:sz w:val="32"/>
          <w:szCs w:val="32"/>
          <w:highlight w:val="none"/>
          <w:lang w:val="en-US" w:eastAsia="zh-CN" w:bidi="ar-SA"/>
        </w:rPr>
        <w:t>第一节  指导思想</w:t>
      </w:r>
      <w:bookmarkEnd w:id="29"/>
      <w:bookmarkEnd w:id="30"/>
      <w:bookmarkEnd w:id="31"/>
      <w:bookmarkEnd w:id="35"/>
    </w:p>
    <w:p w14:paraId="41F7B505">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hint="eastAsia" w:ascii="仿宋" w:hAnsi="仿宋" w:eastAsia="仿宋" w:cs="仿宋"/>
          <w:color w:val="auto"/>
          <w:sz w:val="32"/>
          <w:szCs w:val="32"/>
          <w:highlight w:val="none"/>
        </w:rPr>
      </w:pPr>
      <w:bookmarkStart w:id="36" w:name="_Toc16940"/>
      <w:bookmarkStart w:id="37" w:name="_Toc9143"/>
      <w:bookmarkStart w:id="38" w:name="_Toc11066"/>
      <w:r>
        <w:rPr>
          <w:rFonts w:hint="eastAsia" w:ascii="仿宋" w:hAnsi="仿宋" w:eastAsia="仿宋" w:cs="仿宋"/>
          <w:color w:val="auto"/>
          <w:spacing w:val="0"/>
          <w:sz w:val="32"/>
          <w:szCs w:val="32"/>
          <w:highlight w:val="none"/>
        </w:rPr>
        <w:t>高举中国特色社会主义伟大旗帜，</w:t>
      </w:r>
      <w:r>
        <w:rPr>
          <w:rFonts w:hint="eastAsia" w:ascii="仿宋" w:hAnsi="仿宋" w:eastAsia="仿宋" w:cs="仿宋"/>
          <w:color w:val="auto"/>
          <w:spacing w:val="0"/>
          <w:sz w:val="32"/>
          <w:szCs w:val="32"/>
          <w:highlight w:val="none"/>
          <w:lang w:eastAsia="zh-CN"/>
        </w:rPr>
        <w:t>深入</w:t>
      </w:r>
      <w:r>
        <w:rPr>
          <w:rFonts w:hint="eastAsia" w:ascii="仿宋" w:hAnsi="仿宋" w:eastAsia="仿宋" w:cs="仿宋"/>
          <w:color w:val="auto"/>
          <w:spacing w:val="0"/>
          <w:sz w:val="32"/>
          <w:szCs w:val="32"/>
          <w:highlight w:val="none"/>
        </w:rPr>
        <w:t>贯彻党的十九大和十九届二中、三中、四中、五中全会精神，坚持以</w:t>
      </w:r>
      <w:r>
        <w:rPr>
          <w:rFonts w:hint="eastAsia" w:ascii="仿宋" w:hAnsi="仿宋" w:eastAsia="仿宋" w:cs="仿宋"/>
          <w:color w:val="auto"/>
          <w:spacing w:val="0"/>
          <w:sz w:val="32"/>
          <w:szCs w:val="32"/>
          <w:highlight w:val="none"/>
          <w:lang w:eastAsia="zh-CN"/>
        </w:rPr>
        <w:t>马克思列宁主义</w:t>
      </w:r>
      <w:r>
        <w:rPr>
          <w:rFonts w:hint="eastAsia" w:ascii="仿宋" w:hAnsi="仿宋" w:eastAsia="仿宋" w:cs="仿宋"/>
          <w:color w:val="auto"/>
          <w:spacing w:val="0"/>
          <w:sz w:val="32"/>
          <w:szCs w:val="32"/>
          <w:highlight w:val="none"/>
        </w:rPr>
        <w:t>、毛泽东思想、邓小平理论、“三个代表”重要思想、科学发展观、习近平新时代中国特色社会主义思想为指导，全面贯彻党的基本理论、基本路线、基本方略，深入落实习近平总书记对湖南工作</w:t>
      </w:r>
      <w:r>
        <w:rPr>
          <w:rFonts w:hint="eastAsia" w:ascii="仿宋" w:hAnsi="仿宋" w:eastAsia="仿宋" w:cs="仿宋"/>
          <w:color w:val="auto"/>
          <w:spacing w:val="0"/>
          <w:sz w:val="32"/>
          <w:szCs w:val="32"/>
          <w:highlight w:val="none"/>
          <w:lang w:eastAsia="zh-CN"/>
        </w:rPr>
        <w:t>的</w:t>
      </w:r>
      <w:r>
        <w:rPr>
          <w:rFonts w:hint="eastAsia" w:ascii="仿宋" w:hAnsi="仿宋" w:eastAsia="仿宋" w:cs="仿宋"/>
          <w:color w:val="auto"/>
          <w:spacing w:val="0"/>
          <w:sz w:val="32"/>
          <w:szCs w:val="32"/>
          <w:highlight w:val="none"/>
        </w:rPr>
        <w:t>系列重要讲话指示精神，统筹推进经济建设、政治建设、文化建设、社会建设、生态文明建设的总体布局，协调推进全面建设社会主义现代化国家、全面深化改革、全面依法治国、全面从严治党的战略布局，坚定不移贯彻</w:t>
      </w:r>
      <w:r>
        <w:rPr>
          <w:rFonts w:hint="eastAsia" w:ascii="仿宋" w:hAnsi="仿宋" w:eastAsia="仿宋" w:cs="仿宋"/>
          <w:color w:val="auto"/>
          <w:spacing w:val="0"/>
          <w:sz w:val="32"/>
          <w:szCs w:val="32"/>
          <w:highlight w:val="none"/>
          <w:lang w:eastAsia="zh-CN"/>
        </w:rPr>
        <w:t>创新、协调、绿色、开放、共享的</w:t>
      </w:r>
      <w:r>
        <w:rPr>
          <w:rFonts w:hint="eastAsia" w:ascii="仿宋" w:hAnsi="仿宋" w:eastAsia="仿宋" w:cs="仿宋"/>
          <w:color w:val="auto"/>
          <w:spacing w:val="0"/>
          <w:sz w:val="32"/>
          <w:szCs w:val="32"/>
          <w:highlight w:val="none"/>
        </w:rPr>
        <w:t>新发展理念，坚持稳中求进工作总基调，以推动高质量发展为主题，以深化供给侧结构性改革为主线，以改革创新为根本动力，以满足人民日益增长的美好生活需要为根本目的，统筹发展和安全，推进治理体系和治理能力现代化，</w:t>
      </w:r>
      <w:r>
        <w:rPr>
          <w:rFonts w:hint="eastAsia" w:ascii="仿宋" w:hAnsi="仿宋" w:eastAsia="仿宋" w:cs="仿宋"/>
          <w:color w:val="auto"/>
          <w:spacing w:val="0"/>
          <w:sz w:val="32"/>
          <w:szCs w:val="32"/>
          <w:highlight w:val="none"/>
          <w:lang w:eastAsia="zh-CN"/>
        </w:rPr>
        <w:t>落实</w:t>
      </w:r>
      <w:r>
        <w:rPr>
          <w:rFonts w:hint="eastAsia" w:ascii="仿宋" w:hAnsi="仿宋" w:eastAsia="仿宋" w:cs="仿宋"/>
          <w:color w:val="auto"/>
          <w:sz w:val="32"/>
          <w:szCs w:val="32"/>
          <w:highlight w:val="none"/>
        </w:rPr>
        <w:t>省委</w:t>
      </w:r>
      <w:r>
        <w:rPr>
          <w:rFonts w:hint="eastAsia" w:ascii="仿宋" w:hAnsi="仿宋" w:eastAsia="仿宋" w:cs="仿宋"/>
          <w:color w:val="auto"/>
          <w:spacing w:val="0"/>
          <w:sz w:val="32"/>
          <w:szCs w:val="32"/>
          <w:highlight w:val="none"/>
        </w:rPr>
        <w:t>“三高四新”战略</w:t>
      </w:r>
      <w:r>
        <w:rPr>
          <w:rFonts w:hint="eastAsia" w:ascii="仿宋" w:hAnsi="仿宋" w:eastAsia="仿宋" w:cs="仿宋"/>
          <w:color w:val="auto"/>
          <w:spacing w:val="0"/>
          <w:sz w:val="32"/>
          <w:szCs w:val="32"/>
          <w:highlight w:val="none"/>
          <w:lang w:eastAsia="zh-CN"/>
        </w:rPr>
        <w:t>部署，贯彻邵阳市委“二中心一枢纽”战略决策</w:t>
      </w:r>
      <w:r>
        <w:rPr>
          <w:rFonts w:hint="eastAsia" w:ascii="仿宋" w:hAnsi="仿宋" w:eastAsia="仿宋" w:cs="仿宋"/>
          <w:color w:val="auto"/>
          <w:spacing w:val="0"/>
          <w:sz w:val="32"/>
          <w:szCs w:val="32"/>
          <w:highlight w:val="none"/>
        </w:rPr>
        <w:t>，</w:t>
      </w:r>
      <w:r>
        <w:rPr>
          <w:rFonts w:hint="eastAsia" w:ascii="仿宋" w:hAnsi="仿宋" w:eastAsia="仿宋" w:cs="仿宋"/>
          <w:color w:val="auto"/>
          <w:spacing w:val="0"/>
          <w:sz w:val="32"/>
          <w:szCs w:val="32"/>
          <w:highlight w:val="none"/>
          <w:lang w:eastAsia="zh-CN"/>
        </w:rPr>
        <w:t>大力实施经济强市、科教强市、文化强市、生态强市、开放强市战略，全面融入新发展格局，加快建设现代化经济体系，</w:t>
      </w:r>
      <w:r>
        <w:rPr>
          <w:rFonts w:hint="eastAsia" w:ascii="仿宋" w:hAnsi="仿宋" w:eastAsia="仿宋" w:cs="仿宋"/>
          <w:color w:val="auto"/>
          <w:sz w:val="32"/>
          <w:szCs w:val="32"/>
          <w:highlight w:val="none"/>
        </w:rPr>
        <w:t>以创建国家历史文化名城</w:t>
      </w:r>
      <w:r>
        <w:rPr>
          <w:rFonts w:hint="eastAsia" w:ascii="仿宋" w:hAnsi="仿宋" w:eastAsia="仿宋" w:cs="仿宋"/>
          <w:color w:val="auto"/>
          <w:sz w:val="32"/>
          <w:szCs w:val="32"/>
          <w:highlight w:val="none"/>
          <w:lang w:eastAsia="zh-CN"/>
        </w:rPr>
        <w:t>、打造新时代文明实践中心建设示范市</w:t>
      </w:r>
      <w:r>
        <w:rPr>
          <w:rFonts w:hint="eastAsia" w:ascii="仿宋" w:hAnsi="仿宋" w:eastAsia="仿宋" w:cs="仿宋"/>
          <w:color w:val="auto"/>
          <w:sz w:val="32"/>
          <w:szCs w:val="32"/>
          <w:highlight w:val="none"/>
        </w:rPr>
        <w:t>为抓手，</w:t>
      </w:r>
      <w:r>
        <w:rPr>
          <w:rFonts w:hint="eastAsia" w:ascii="仿宋" w:hAnsi="仿宋" w:eastAsia="仿宋" w:cs="仿宋"/>
          <w:color w:val="auto"/>
          <w:sz w:val="32"/>
          <w:szCs w:val="32"/>
          <w:highlight w:val="none"/>
          <w:lang w:eastAsia="zh-CN"/>
        </w:rPr>
        <w:t>持续发力建设文化旅游、科教卫生、商贸服务、特色产业、交通集散“五个中心”，深化“一核两翼三中心镇五示范镇百特色村”城乡发展格局，加快“一园一山一镇一城一基地一中心”产城融合发展，大力推进乡村振兴样板示范区建设，基本</w:t>
      </w:r>
      <w:r>
        <w:rPr>
          <w:rFonts w:hint="eastAsia" w:ascii="仿宋" w:hAnsi="仿宋" w:eastAsia="仿宋" w:cs="仿宋"/>
          <w:color w:val="auto"/>
          <w:sz w:val="32"/>
          <w:szCs w:val="32"/>
          <w:highlight w:val="none"/>
        </w:rPr>
        <w:t>建成</w:t>
      </w:r>
      <w:r>
        <w:rPr>
          <w:rFonts w:hint="eastAsia" w:ascii="仿宋" w:hAnsi="仿宋" w:eastAsia="仿宋" w:cs="仿宋"/>
          <w:color w:val="auto"/>
          <w:sz w:val="32"/>
          <w:szCs w:val="32"/>
          <w:highlight w:val="none"/>
          <w:lang w:eastAsia="zh-CN"/>
        </w:rPr>
        <w:t>湘西南明珠城市和</w:t>
      </w:r>
      <w:r>
        <w:rPr>
          <w:rFonts w:hint="eastAsia" w:ascii="仿宋" w:hAnsi="仿宋" w:eastAsia="仿宋" w:cs="仿宋"/>
          <w:color w:val="auto"/>
          <w:sz w:val="32"/>
          <w:szCs w:val="32"/>
          <w:highlight w:val="none"/>
        </w:rPr>
        <w:t>邵阳西部生态圈中心城市，</w:t>
      </w:r>
      <w:r>
        <w:rPr>
          <w:rFonts w:hint="eastAsia" w:ascii="仿宋" w:hAnsi="仿宋" w:eastAsia="仿宋" w:cs="仿宋"/>
          <w:color w:val="auto"/>
          <w:sz w:val="32"/>
          <w:szCs w:val="32"/>
          <w:highlight w:val="none"/>
          <w:lang w:eastAsia="zh-CN"/>
        </w:rPr>
        <w:t>奋力在打造“三个高地”、担当“四新”使命、落实“五项重点任务”中展现武冈新作为</w:t>
      </w:r>
      <w:r>
        <w:rPr>
          <w:rFonts w:hint="eastAsia" w:ascii="仿宋" w:hAnsi="仿宋" w:eastAsia="仿宋" w:cs="仿宋"/>
          <w:color w:val="auto"/>
          <w:sz w:val="32"/>
          <w:szCs w:val="32"/>
          <w:highlight w:val="none"/>
        </w:rPr>
        <w:t>。</w:t>
      </w:r>
    </w:p>
    <w:p w14:paraId="139093E5">
      <w:pPr>
        <w:pStyle w:val="4"/>
        <w:keepNext/>
        <w:keepLines/>
        <w:pageBreakBefore w:val="0"/>
        <w:widowControl w:val="0"/>
        <w:kinsoku/>
        <w:wordWrap/>
        <w:overflowPunct/>
        <w:topLinePunct w:val="0"/>
        <w:autoSpaceDE/>
        <w:autoSpaceDN/>
        <w:bidi w:val="0"/>
        <w:adjustRightInd/>
        <w:snapToGrid/>
        <w:spacing w:before="0" w:after="0" w:line="630" w:lineRule="exact"/>
        <w:jc w:val="center"/>
        <w:textAlignment w:val="auto"/>
        <w:rPr>
          <w:rFonts w:hint="eastAsia" w:ascii="黑体" w:hAnsi="黑体" w:eastAsia="黑体" w:cs="黑体"/>
          <w:b w:val="0"/>
          <w:bCs/>
          <w:color w:val="auto"/>
          <w:highlight w:val="none"/>
        </w:rPr>
      </w:pPr>
      <w:bookmarkStart w:id="39" w:name="_Toc2326"/>
      <w:r>
        <w:rPr>
          <w:rFonts w:hint="eastAsia" w:ascii="黑体" w:hAnsi="黑体" w:eastAsia="黑体" w:cs="黑体"/>
          <w:b w:val="0"/>
          <w:bCs/>
          <w:color w:val="auto"/>
          <w:kern w:val="44"/>
          <w:sz w:val="32"/>
          <w:szCs w:val="32"/>
          <w:highlight w:val="none"/>
          <w:lang w:val="en-US" w:eastAsia="zh-CN" w:bidi="ar-SA"/>
        </w:rPr>
        <w:t>第二节  基本原则</w:t>
      </w:r>
      <w:bookmarkEnd w:id="36"/>
      <w:bookmarkEnd w:id="37"/>
      <w:bookmarkEnd w:id="38"/>
      <w:bookmarkEnd w:id="39"/>
    </w:p>
    <w:p w14:paraId="7C240FE1">
      <w:pPr>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szCs w:val="32"/>
          <w:highlight w:val="none"/>
        </w:rPr>
      </w:pPr>
      <w:r>
        <w:rPr>
          <w:rFonts w:ascii="楷体" w:hAnsi="楷体" w:eastAsia="楷体" w:cs="楷体"/>
          <w:b/>
          <w:bCs/>
          <w:color w:val="auto"/>
          <w:highlight w:val="none"/>
        </w:rPr>
        <w:t>坚持</w:t>
      </w:r>
      <w:r>
        <w:rPr>
          <w:rFonts w:hint="eastAsia" w:ascii="楷体" w:hAnsi="楷体" w:eastAsia="楷体" w:cs="楷体"/>
          <w:b/>
          <w:bCs/>
          <w:color w:val="auto"/>
          <w:highlight w:val="none"/>
        </w:rPr>
        <w:t>党的全面领导。</w:t>
      </w:r>
      <w:r>
        <w:rPr>
          <w:rFonts w:hint="eastAsia" w:ascii="仿宋" w:hAnsi="仿宋" w:eastAsia="仿宋" w:cs="仿宋"/>
          <w:color w:val="auto"/>
          <w:szCs w:val="32"/>
          <w:highlight w:val="none"/>
        </w:rPr>
        <w:t>坚持和完善党领导经济社会发展的体制机制，增强“四个意识”、坚定“四个自信”、做到“两个维护”，不断提高贯彻新发展理念、构建新发展格局能力和水平，为实现高质量发展提供根本保证。</w:t>
      </w:r>
    </w:p>
    <w:p w14:paraId="1AEAA69D">
      <w:pPr>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highlight w:val="none"/>
          <w:lang w:eastAsia="zh-CN"/>
        </w:rPr>
      </w:pPr>
      <w:r>
        <w:rPr>
          <w:rFonts w:hint="eastAsia" w:ascii="楷体" w:hAnsi="楷体" w:eastAsia="楷体" w:cs="楷体"/>
          <w:b/>
          <w:bCs/>
          <w:color w:val="auto"/>
          <w:highlight w:val="none"/>
        </w:rPr>
        <w:t>坚持以人民为中心。</w:t>
      </w:r>
      <w:r>
        <w:rPr>
          <w:rFonts w:hint="eastAsia" w:ascii="仿宋" w:hAnsi="仿宋" w:eastAsia="仿宋" w:cs="仿宋"/>
          <w:color w:val="auto"/>
          <w:szCs w:val="32"/>
          <w:highlight w:val="none"/>
        </w:rPr>
        <w:t>坚持人民主体地位，坚持共同富裕方向，始终做到发展为了人民、发展依靠人民、发展成果由人民共享，维护人民根本利益，突出重点，完善制度，注重机会公平，增进民生福祉，努力在推动高质量发展过程中办好各项民生事业、补齐民生领域短板，形成惠及全市人民的共享发展新机制</w:t>
      </w:r>
      <w:r>
        <w:rPr>
          <w:rFonts w:hint="eastAsia" w:ascii="仿宋" w:hAnsi="仿宋" w:eastAsia="仿宋" w:cs="仿宋"/>
          <w:color w:val="auto"/>
          <w:szCs w:val="32"/>
          <w:highlight w:val="none"/>
          <w:lang w:eastAsia="zh-CN"/>
        </w:rPr>
        <w:t>，增强人民群众获得感、幸福感、安全感。</w:t>
      </w:r>
    </w:p>
    <w:p w14:paraId="3BCDCA0F">
      <w:pPr>
        <w:keepNext w:val="0"/>
        <w:keepLines w:val="0"/>
        <w:pageBreakBefore w:val="0"/>
        <w:widowControl w:val="0"/>
        <w:kinsoku w:val="0"/>
        <w:wordWrap/>
        <w:overflowPunct w:val="0"/>
        <w:topLinePunct w:val="0"/>
        <w:autoSpaceDE w:val="0"/>
        <w:autoSpaceDN w:val="0"/>
        <w:bidi w:val="0"/>
        <w:adjustRightInd/>
        <w:snapToGrid/>
        <w:spacing w:line="640" w:lineRule="exact"/>
        <w:ind w:firstLine="619"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pacing w:val="-6"/>
          <w:highlight w:val="none"/>
        </w:rPr>
        <w:t>坚持新发展理念。</w:t>
      </w:r>
      <w:r>
        <w:rPr>
          <w:rFonts w:hint="eastAsia" w:ascii="仿宋" w:hAnsi="仿宋" w:eastAsia="仿宋" w:cs="仿宋"/>
          <w:color w:val="auto"/>
          <w:spacing w:val="-6"/>
          <w:szCs w:val="32"/>
          <w:highlight w:val="none"/>
        </w:rPr>
        <w:t>把新发展理念贯穿发展全过程和各领域</w:t>
      </w:r>
      <w:r>
        <w:rPr>
          <w:rFonts w:hint="eastAsia" w:ascii="仿宋" w:hAnsi="仿宋" w:eastAsia="仿宋" w:cs="仿宋"/>
          <w:color w:val="auto"/>
          <w:szCs w:val="32"/>
          <w:highlight w:val="none"/>
        </w:rPr>
        <w:t>，构建新发展格局，坚持以创新为动力、以协调为路径、以绿色为方向、以开放为抓手、以共享为目标，切实转变发展方式，推动质量变革、效率变革、动力变革，实现更高质量、更有效率、更加公平、更可持续、更为安全的发展。</w:t>
      </w:r>
    </w:p>
    <w:p w14:paraId="11518B27">
      <w:pPr>
        <w:keepNext w:val="0"/>
        <w:keepLines w:val="0"/>
        <w:pageBreakBefore w:val="0"/>
        <w:widowControl w:val="0"/>
        <w:kinsoku w:val="0"/>
        <w:wordWrap/>
        <w:overflowPunct w:val="0"/>
        <w:topLinePunct w:val="0"/>
        <w:autoSpaceDE w:val="0"/>
        <w:autoSpaceDN w:val="0"/>
        <w:bidi w:val="0"/>
        <w:adjustRightInd/>
        <w:snapToGrid/>
        <w:spacing w:line="640"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highlight w:val="none"/>
        </w:rPr>
        <w:t>坚持深化改革开放。</w:t>
      </w:r>
      <w:r>
        <w:rPr>
          <w:rFonts w:hint="eastAsia" w:ascii="仿宋" w:hAnsi="仿宋" w:eastAsia="仿宋" w:cs="仿宋"/>
          <w:color w:val="auto"/>
          <w:szCs w:val="32"/>
          <w:highlight w:val="none"/>
        </w:rPr>
        <w:t>坚定不移推进改革</w:t>
      </w:r>
      <w:r>
        <w:rPr>
          <w:rFonts w:hint="eastAsia" w:ascii="仿宋" w:hAnsi="仿宋" w:eastAsia="仿宋" w:cs="仿宋"/>
          <w:color w:val="auto"/>
          <w:szCs w:val="32"/>
          <w:highlight w:val="none"/>
          <w:lang w:eastAsia="zh-CN"/>
        </w:rPr>
        <w:t>开放，加强治理体系和治理能力现代化建设，</w:t>
      </w:r>
      <w:r>
        <w:rPr>
          <w:rFonts w:hint="eastAsia" w:ascii="仿宋" w:hAnsi="仿宋" w:eastAsia="仿宋" w:cs="仿宋"/>
          <w:color w:val="auto"/>
          <w:szCs w:val="32"/>
          <w:highlight w:val="none"/>
        </w:rPr>
        <w:t>破除制约高质量发展、高品质生活的体制机制障碍，</w:t>
      </w:r>
      <w:r>
        <w:rPr>
          <w:rFonts w:hint="eastAsia" w:ascii="仿宋" w:hAnsi="仿宋" w:eastAsia="仿宋" w:cs="仿宋"/>
          <w:color w:val="auto"/>
          <w:szCs w:val="32"/>
          <w:highlight w:val="none"/>
          <w:lang w:eastAsia="zh-CN"/>
        </w:rPr>
        <w:t>推动更大范围更宽领域更深层次对外开放</w:t>
      </w:r>
      <w:r>
        <w:rPr>
          <w:rFonts w:hint="eastAsia" w:ascii="仿宋" w:hAnsi="仿宋" w:eastAsia="仿宋" w:cs="仿宋"/>
          <w:color w:val="auto"/>
          <w:szCs w:val="32"/>
          <w:highlight w:val="none"/>
        </w:rPr>
        <w:t>，持续增强发展动力和活力。</w:t>
      </w:r>
    </w:p>
    <w:p w14:paraId="14384101">
      <w:pPr>
        <w:keepNext w:val="0"/>
        <w:keepLines w:val="0"/>
        <w:pageBreakBefore w:val="0"/>
        <w:widowControl w:val="0"/>
        <w:kinsoku w:val="0"/>
        <w:wordWrap/>
        <w:overflowPunct w:val="0"/>
        <w:topLinePunct w:val="0"/>
        <w:autoSpaceDE w:val="0"/>
        <w:autoSpaceDN w:val="0"/>
        <w:bidi w:val="0"/>
        <w:adjustRightInd/>
        <w:snapToGrid/>
        <w:spacing w:line="640"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rPr>
        <w:t>坚持系统观念。</w:t>
      </w:r>
      <w:r>
        <w:rPr>
          <w:rFonts w:hint="eastAsia" w:ascii="仿宋" w:hAnsi="仿宋" w:eastAsia="仿宋" w:cs="仿宋"/>
          <w:color w:val="auto"/>
          <w:szCs w:val="32"/>
          <w:highlight w:val="none"/>
        </w:rPr>
        <w:t>加强前瞻性思考、全局性谋划、战略性布局、整体性推进，</w:t>
      </w:r>
      <w:r>
        <w:rPr>
          <w:rFonts w:hint="eastAsia" w:ascii="仿宋" w:hAnsi="仿宋" w:eastAsia="仿宋" w:cs="仿宋"/>
          <w:color w:val="auto"/>
          <w:szCs w:val="32"/>
          <w:highlight w:val="none"/>
          <w:lang w:eastAsia="zh-CN"/>
        </w:rPr>
        <w:t>办好发展和安全两件大事，</w:t>
      </w:r>
      <w:r>
        <w:rPr>
          <w:rFonts w:hint="eastAsia" w:ascii="仿宋" w:hAnsi="仿宋" w:eastAsia="仿宋" w:cs="仿宋"/>
          <w:color w:val="auto"/>
          <w:szCs w:val="32"/>
          <w:highlight w:val="none"/>
        </w:rPr>
        <w:t>大力实施乡村振兴和新型城镇化建设，积极推进融合发展，促进区域、城乡、经济社会、物质文明、精神文明和生态文明协调发展，注重防范化解重大风险挑战，实现发展质量、结构、规模、速度、效益、安全相统一。</w:t>
      </w:r>
    </w:p>
    <w:p w14:paraId="79703647">
      <w:pPr>
        <w:keepNext w:val="0"/>
        <w:keepLines w:val="0"/>
        <w:pageBreakBefore w:val="0"/>
        <w:widowControl w:val="0"/>
        <w:kinsoku w:val="0"/>
        <w:wordWrap/>
        <w:overflowPunct w:val="0"/>
        <w:topLinePunct w:val="0"/>
        <w:autoSpaceDE w:val="0"/>
        <w:autoSpaceDN w:val="0"/>
        <w:bidi w:val="0"/>
        <w:adjustRightInd/>
        <w:snapToGrid/>
        <w:spacing w:line="580" w:lineRule="exact"/>
        <w:ind w:firstLine="643" w:firstLineChars="200"/>
        <w:jc w:val="both"/>
        <w:textAlignment w:val="auto"/>
        <w:rPr>
          <w:rFonts w:hint="eastAsia" w:ascii="黑体" w:hAnsi="黑体" w:eastAsia="黑体" w:cs="黑体"/>
          <w:b w:val="0"/>
          <w:bCs/>
          <w:color w:val="auto"/>
          <w:spacing w:val="-11"/>
          <w:kern w:val="44"/>
          <w:sz w:val="32"/>
          <w:szCs w:val="32"/>
          <w:highlight w:val="none"/>
          <w:lang w:val="en-US" w:eastAsia="zh-CN" w:bidi="ar-SA"/>
        </w:rPr>
      </w:pPr>
      <w:r>
        <w:rPr>
          <w:rFonts w:hint="eastAsia" w:ascii="楷体" w:hAnsi="楷体" w:eastAsia="楷体" w:cs="楷体"/>
          <w:b/>
          <w:bCs/>
          <w:color w:val="auto"/>
          <w:szCs w:val="32"/>
          <w:highlight w:val="none"/>
          <w:lang w:val="en-US" w:eastAsia="zh-CN"/>
        </w:rPr>
        <w:t>坚持目标引领</w:t>
      </w:r>
      <w:r>
        <w:rPr>
          <w:rFonts w:hint="eastAsia" w:ascii="楷体" w:hAnsi="楷体" w:eastAsia="楷体" w:cs="楷体"/>
          <w:b/>
          <w:bCs/>
          <w:color w:val="auto"/>
          <w:szCs w:val="32"/>
          <w:highlight w:val="none"/>
          <w:lang w:val="en-US"/>
        </w:rPr>
        <w:t>。</w:t>
      </w:r>
      <w:r>
        <w:rPr>
          <w:rFonts w:hint="eastAsia" w:ascii="仿宋" w:hAnsi="仿宋" w:eastAsia="仿宋" w:cs="仿宋"/>
          <w:color w:val="auto"/>
          <w:spacing w:val="-11"/>
          <w:sz w:val="32"/>
          <w:szCs w:val="32"/>
          <w:highlight w:val="none"/>
          <w:lang w:val="en-US" w:eastAsia="zh-CN"/>
        </w:rPr>
        <w:t>围绕</w:t>
      </w:r>
      <w:r>
        <w:rPr>
          <w:rFonts w:hint="eastAsia" w:ascii="仿宋" w:hAnsi="仿宋" w:eastAsia="仿宋" w:cs="仿宋"/>
          <w:color w:val="auto"/>
          <w:spacing w:val="-11"/>
          <w:sz w:val="32"/>
          <w:szCs w:val="32"/>
          <w:highlight w:val="none"/>
        </w:rPr>
        <w:t>基本建成湘西南明珠城市和邵阳西部生态圈中心城</w:t>
      </w:r>
      <w:r>
        <w:rPr>
          <w:rFonts w:hint="eastAsia" w:ascii="仿宋" w:hAnsi="仿宋" w:eastAsia="仿宋" w:cs="仿宋"/>
          <w:color w:val="auto"/>
          <w:spacing w:val="-11"/>
          <w:sz w:val="32"/>
          <w:szCs w:val="32"/>
          <w:highlight w:val="none"/>
          <w:lang w:eastAsia="zh-CN"/>
        </w:rPr>
        <w:t>市的目标，贯彻落实</w:t>
      </w:r>
      <w:r>
        <w:rPr>
          <w:rFonts w:hint="eastAsia" w:ascii="仿宋" w:hAnsi="仿宋" w:eastAsia="仿宋" w:cs="仿宋"/>
          <w:color w:val="auto"/>
          <w:spacing w:val="-11"/>
          <w:sz w:val="32"/>
          <w:szCs w:val="32"/>
          <w:highlight w:val="none"/>
          <w:lang w:val="en-US" w:eastAsia="zh-CN"/>
        </w:rPr>
        <w:t>省委“三高四新”战略、邵阳市委“二中心一枢纽”战略和武冈市委</w:t>
      </w:r>
      <w:r>
        <w:rPr>
          <w:rFonts w:hint="eastAsia" w:ascii="仿宋" w:hAnsi="仿宋" w:eastAsia="仿宋" w:cs="仿宋"/>
          <w:color w:val="auto"/>
          <w:spacing w:val="-11"/>
          <w:sz w:val="32"/>
          <w:szCs w:val="32"/>
          <w:highlight w:val="none"/>
          <w:lang w:eastAsia="zh-CN"/>
        </w:rPr>
        <w:t>经济强市、科教强市、文化强市、生态强市、开放强市战略</w:t>
      </w:r>
      <w:r>
        <w:rPr>
          <w:rFonts w:hint="eastAsia" w:ascii="仿宋" w:hAnsi="仿宋" w:eastAsia="仿宋" w:cs="仿宋"/>
          <w:color w:val="auto"/>
          <w:spacing w:val="-11"/>
          <w:sz w:val="32"/>
          <w:szCs w:val="32"/>
          <w:highlight w:val="none"/>
          <w:lang w:val="en-US" w:eastAsia="zh-CN"/>
        </w:rPr>
        <w:t>，主动融入省邵发展大格局，统筹推进、精准施策，坚持一张蓝图干到底，</w:t>
      </w:r>
      <w:bookmarkStart w:id="40" w:name="_Toc308"/>
      <w:bookmarkStart w:id="41" w:name="_Toc21451"/>
      <w:bookmarkStart w:id="42" w:name="_Toc3965"/>
      <w:r>
        <w:rPr>
          <w:rFonts w:hint="eastAsia" w:ascii="仿宋" w:hAnsi="仿宋" w:eastAsia="仿宋" w:cs="仿宋"/>
          <w:color w:val="auto"/>
          <w:spacing w:val="-11"/>
          <w:sz w:val="32"/>
          <w:szCs w:val="32"/>
          <w:highlight w:val="none"/>
          <w:lang w:val="en-US" w:eastAsia="zh-CN"/>
        </w:rPr>
        <w:t>久久为功调结构、转方式、培动能、强优势，推动武冈更高质量发展。</w:t>
      </w:r>
    </w:p>
    <w:p w14:paraId="73D92FCB">
      <w:pPr>
        <w:pStyle w:val="4"/>
        <w:keepNext w:val="0"/>
        <w:keepLines w:val="0"/>
        <w:pageBreakBefore w:val="0"/>
        <w:widowControl w:val="0"/>
        <w:kinsoku w:val="0"/>
        <w:wordWrap/>
        <w:overflowPunct w:val="0"/>
        <w:topLinePunct w:val="0"/>
        <w:autoSpaceDE w:val="0"/>
        <w:autoSpaceDN w:val="0"/>
        <w:bidi w:val="0"/>
        <w:adjustRightInd/>
        <w:snapToGrid/>
        <w:spacing w:before="0" w:after="0" w:line="580" w:lineRule="exact"/>
        <w:jc w:val="center"/>
        <w:textAlignment w:val="auto"/>
        <w:rPr>
          <w:rFonts w:hint="eastAsia" w:ascii="黑体" w:hAnsi="黑体" w:eastAsia="黑体" w:cs="黑体"/>
          <w:b w:val="0"/>
          <w:bCs/>
          <w:color w:val="auto"/>
          <w:highlight w:val="none"/>
        </w:rPr>
      </w:pPr>
      <w:bookmarkStart w:id="43" w:name="_Toc30672"/>
      <w:r>
        <w:rPr>
          <w:rFonts w:hint="eastAsia" w:ascii="黑体" w:hAnsi="黑体" w:eastAsia="黑体" w:cs="黑体"/>
          <w:b w:val="0"/>
          <w:bCs/>
          <w:color w:val="auto"/>
          <w:kern w:val="44"/>
          <w:sz w:val="32"/>
          <w:szCs w:val="32"/>
          <w:highlight w:val="none"/>
          <w:lang w:val="en-US" w:eastAsia="zh-CN" w:bidi="ar-SA"/>
        </w:rPr>
        <w:t>第三节  发展定位</w:t>
      </w:r>
      <w:bookmarkEnd w:id="40"/>
      <w:bookmarkEnd w:id="41"/>
      <w:bookmarkEnd w:id="42"/>
      <w:bookmarkEnd w:id="43"/>
    </w:p>
    <w:p w14:paraId="66DC5D6B">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80" w:lineRule="exact"/>
        <w:ind w:firstLine="640" w:firstLineChars="200"/>
        <w:textAlignment w:val="auto"/>
        <w:rPr>
          <w:rFonts w:hint="eastAsia" w:ascii="仿宋" w:hAnsi="仿宋" w:eastAsia="仿宋" w:cs="仿宋"/>
          <w:color w:val="auto"/>
          <w:sz w:val="32"/>
          <w:szCs w:val="32"/>
          <w:highlight w:val="none"/>
          <w:lang w:val="en-US" w:eastAsia="zh-CN"/>
        </w:rPr>
      </w:pPr>
      <w:bookmarkStart w:id="44" w:name="_Toc19762"/>
      <w:bookmarkStart w:id="45" w:name="_Toc29890"/>
      <w:bookmarkStart w:id="46" w:name="_Toc10537"/>
      <w:r>
        <w:rPr>
          <w:rFonts w:hint="eastAsia" w:ascii="仿宋" w:hAnsi="仿宋" w:eastAsia="仿宋" w:cs="仿宋"/>
          <w:color w:val="auto"/>
          <w:sz w:val="32"/>
          <w:szCs w:val="32"/>
          <w:highlight w:val="none"/>
        </w:rPr>
        <w:t>以创建国家历史文化名城</w:t>
      </w:r>
      <w:r>
        <w:rPr>
          <w:rFonts w:hint="eastAsia" w:ascii="仿宋" w:hAnsi="仿宋" w:eastAsia="仿宋" w:cs="仿宋"/>
          <w:color w:val="auto"/>
          <w:sz w:val="32"/>
          <w:szCs w:val="32"/>
          <w:highlight w:val="none"/>
          <w:lang w:eastAsia="zh-CN"/>
        </w:rPr>
        <w:t>、打造全国新时代文明实践中心建设示范市</w:t>
      </w:r>
      <w:r>
        <w:rPr>
          <w:rFonts w:hint="eastAsia" w:ascii="仿宋" w:hAnsi="仿宋" w:eastAsia="仿宋" w:cs="仿宋"/>
          <w:color w:val="auto"/>
          <w:sz w:val="32"/>
          <w:szCs w:val="32"/>
          <w:highlight w:val="none"/>
        </w:rPr>
        <w:t>为抓手，</w:t>
      </w:r>
      <w:r>
        <w:rPr>
          <w:rFonts w:hint="eastAsia" w:ascii="仿宋" w:hAnsi="仿宋" w:eastAsia="仿宋" w:cs="仿宋"/>
          <w:color w:val="auto"/>
          <w:sz w:val="32"/>
          <w:szCs w:val="32"/>
          <w:highlight w:val="none"/>
          <w:lang w:eastAsia="zh-CN"/>
        </w:rPr>
        <w:t>大力推进乡村振兴样板示范区建设，基本建成湘西南明珠城市和邵阳西部生态圈中心城市。</w:t>
      </w:r>
    </w:p>
    <w:p w14:paraId="2F482D54">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80" w:lineRule="exact"/>
        <w:ind w:firstLine="640" w:firstLineChars="200"/>
        <w:jc w:val="both"/>
        <w:textAlignment w:val="auto"/>
        <w:rPr>
          <w:rFonts w:hint="eastAsia" w:ascii="楷体" w:hAnsi="楷体" w:eastAsia="楷体" w:cs="楷体"/>
          <w:b/>
          <w:bCs/>
          <w:color w:val="auto"/>
          <w:highlight w:val="none"/>
          <w:lang w:val="en-US" w:eastAsia="zh-CN"/>
        </w:rPr>
      </w:pPr>
      <w:r>
        <w:rPr>
          <w:rFonts w:hint="eastAsia" w:ascii="黑体" w:hAnsi="黑体" w:eastAsia="黑体" w:cs="黑体"/>
          <w:b w:val="0"/>
          <w:bCs w:val="0"/>
          <w:color w:val="auto"/>
          <w:highlight w:val="none"/>
          <w:lang w:val="en-US" w:eastAsia="zh-CN"/>
        </w:rPr>
        <w:t>发展定位</w:t>
      </w:r>
    </w:p>
    <w:p w14:paraId="48DE61C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default" w:ascii="楷体" w:hAnsi="楷体" w:eastAsia="楷体" w:cs="楷体"/>
          <w:b/>
          <w:bCs/>
          <w:color w:val="auto"/>
          <w:highlight w:val="none"/>
          <w:lang w:val="en-US" w:eastAsia="zh-CN"/>
        </w:rPr>
      </w:pPr>
      <w:r>
        <w:rPr>
          <w:rFonts w:hint="eastAsia" w:ascii="楷体" w:hAnsi="楷体" w:eastAsia="楷体" w:cs="楷体"/>
          <w:b/>
          <w:bCs/>
          <w:color w:val="auto"/>
          <w:highlight w:val="none"/>
          <w:lang w:val="en-US" w:eastAsia="zh-CN"/>
        </w:rPr>
        <w:t>湘西南明珠城市。</w:t>
      </w:r>
      <w:r>
        <w:rPr>
          <w:rFonts w:hint="eastAsia" w:ascii="仿宋" w:hAnsi="仿宋" w:eastAsia="仿宋" w:cs="仿宋"/>
          <w:b w:val="0"/>
          <w:bCs w:val="0"/>
          <w:color w:val="auto"/>
          <w:highlight w:val="none"/>
          <w:lang w:val="en-US" w:eastAsia="zh-CN"/>
        </w:rPr>
        <w:t>着眼湖南省“一核两副三带四区”和邵阳西部生态圈区域经济发展战略机遇，立足武冈区位优势和中心城市建设现实基础，</w:t>
      </w:r>
      <w:r>
        <w:rPr>
          <w:rFonts w:hint="eastAsia" w:ascii="仿宋" w:hAnsi="仿宋" w:eastAsia="仿宋" w:cs="仿宋"/>
          <w:color w:val="auto"/>
          <w:sz w:val="32"/>
          <w:szCs w:val="32"/>
          <w:highlight w:val="none"/>
          <w:lang w:val="en-US" w:eastAsia="zh-CN"/>
        </w:rPr>
        <w:t>充分发挥中部崛起、省直管县、湘南湘西承接产业重点区域等政策优势，着力打造重要先进制造业高地的“领头雁”，科技创新高地的“排头兵”，改革开放高地的“先行者”，打造湘西南生态旅游康养目的地及历史文化名城文旅休闲高地、商贸物流集散地、区域科教和医疗卫生健康</w:t>
      </w:r>
      <w:r>
        <w:rPr>
          <w:rFonts w:hint="eastAsia" w:ascii="仿宋" w:hAnsi="仿宋" w:eastAsia="仿宋" w:cs="仿宋"/>
          <w:color w:val="auto"/>
          <w:spacing w:val="-6"/>
          <w:sz w:val="32"/>
          <w:szCs w:val="32"/>
          <w:highlight w:val="none"/>
          <w:lang w:val="en-US" w:eastAsia="zh-CN"/>
        </w:rPr>
        <w:t>中心、特色产业中心、交通集散中心，形成要素集聚功能、科技创新功能、文化引领功能、综合服务功能更加完善的湘西南明珠城市。</w:t>
      </w:r>
    </w:p>
    <w:p w14:paraId="795587F6">
      <w:pPr>
        <w:pStyle w:val="9"/>
        <w:pageBreakBefore w:val="0"/>
        <w:widowControl w:val="0"/>
        <w:kinsoku/>
        <w:wordWrap/>
        <w:overflowPunct/>
        <w:topLinePunct w:val="0"/>
        <w:autoSpaceDE/>
        <w:autoSpaceDN/>
        <w:bidi w:val="0"/>
        <w:spacing w:line="580" w:lineRule="exact"/>
        <w:ind w:firstLine="643" w:firstLineChars="200"/>
        <w:textAlignment w:val="auto"/>
        <w:rPr>
          <w:rFonts w:hint="eastAsia" w:ascii="仿宋" w:hAnsi="仿宋" w:eastAsia="仿宋" w:cs="仿宋"/>
          <w:b w:val="0"/>
          <w:bCs w:val="0"/>
          <w:color w:val="auto"/>
          <w:highlight w:val="none"/>
          <w:lang w:val="en-US" w:eastAsia="zh-CN"/>
        </w:rPr>
      </w:pPr>
      <w:r>
        <w:rPr>
          <w:rFonts w:hint="eastAsia" w:ascii="楷体" w:hAnsi="楷体" w:eastAsia="楷体" w:cs="楷体"/>
          <w:b/>
          <w:bCs/>
          <w:color w:val="auto"/>
          <w:highlight w:val="none"/>
          <w:lang w:val="en-US" w:eastAsia="zh-CN"/>
        </w:rPr>
        <w:t>邵阳西部生态圈中心城市。</w:t>
      </w:r>
      <w:r>
        <w:rPr>
          <w:rFonts w:hint="eastAsia" w:ascii="仿宋" w:hAnsi="仿宋" w:eastAsia="仿宋" w:cs="仿宋"/>
          <w:b w:val="0"/>
          <w:bCs w:val="0"/>
          <w:color w:val="auto"/>
          <w:highlight w:val="none"/>
          <w:lang w:val="en-US" w:eastAsia="zh-CN"/>
        </w:rPr>
        <w:t>坚持绿水青山就是金山银山理念，促进经济社会发展全面绿色转型，构建</w:t>
      </w:r>
      <w:r>
        <w:rPr>
          <w:rFonts w:hint="eastAsia" w:ascii="仿宋" w:hAnsi="仿宋" w:eastAsia="仿宋" w:cs="仿宋"/>
          <w:color w:val="auto"/>
          <w:highlight w:val="none"/>
          <w:lang w:val="en-US" w:eastAsia="zh-CN"/>
        </w:rPr>
        <w:t>以武冈为邵阳</w:t>
      </w:r>
      <w:r>
        <w:rPr>
          <w:rFonts w:hint="eastAsia" w:ascii="仿宋" w:hAnsi="仿宋" w:eastAsia="仿宋" w:cs="仿宋"/>
          <w:color w:val="auto"/>
          <w:highlight w:val="none"/>
        </w:rPr>
        <w:t>西部城镇点轴发展区的中心，</w:t>
      </w:r>
      <w:r>
        <w:rPr>
          <w:rFonts w:hint="eastAsia" w:ascii="仿宋" w:hAnsi="仿宋" w:eastAsia="仿宋" w:cs="仿宋"/>
          <w:color w:val="auto"/>
          <w:highlight w:val="none"/>
          <w:lang w:val="en-US" w:eastAsia="zh-CN"/>
        </w:rPr>
        <w:t>建成半小时交通圈，实现崀山、云山、南山、黄桑等重点景区互联互通。推进绿色低碳发展，持续改善环境质量，提升生态质量和</w:t>
      </w:r>
      <w:r>
        <w:rPr>
          <w:rFonts w:hint="eastAsia" w:ascii="仿宋" w:hAnsi="仿宋" w:cs="仿宋"/>
          <w:color w:val="auto"/>
          <w:highlight w:val="none"/>
          <w:lang w:val="en-US" w:eastAsia="zh-CN"/>
        </w:rPr>
        <w:t>效益</w:t>
      </w:r>
      <w:r>
        <w:rPr>
          <w:rFonts w:hint="eastAsia" w:ascii="仿宋" w:hAnsi="仿宋" w:eastAsia="仿宋" w:cs="仿宋"/>
          <w:color w:val="auto"/>
          <w:highlight w:val="none"/>
          <w:lang w:val="en-US" w:eastAsia="zh-CN"/>
        </w:rPr>
        <w:t>，</w:t>
      </w:r>
      <w:r>
        <w:rPr>
          <w:rFonts w:hint="eastAsia" w:ascii="仿宋" w:hAnsi="仿宋" w:eastAsia="仿宋" w:cs="仿宋"/>
          <w:color w:val="auto"/>
          <w:sz w:val="32"/>
          <w:szCs w:val="32"/>
          <w:highlight w:val="none"/>
          <w:lang w:val="en-US" w:eastAsia="zh-CN"/>
        </w:rPr>
        <w:t>将武冈建设成邵阳西部美丽宜业宜居城市，</w:t>
      </w:r>
      <w:r>
        <w:rPr>
          <w:rFonts w:hint="eastAsia" w:ascii="仿宋" w:hAnsi="仿宋" w:eastAsia="仿宋" w:cs="仿宋"/>
          <w:color w:val="auto"/>
          <w:highlight w:val="none"/>
        </w:rPr>
        <w:t>辐射带动</w:t>
      </w:r>
      <w:r>
        <w:rPr>
          <w:rFonts w:hint="eastAsia" w:ascii="仿宋" w:hAnsi="仿宋" w:eastAsia="仿宋" w:cs="仿宋"/>
          <w:color w:val="auto"/>
          <w:highlight w:val="none"/>
          <w:lang w:eastAsia="zh-CN"/>
        </w:rPr>
        <w:t>邵阳</w:t>
      </w:r>
      <w:r>
        <w:rPr>
          <w:rFonts w:hint="eastAsia" w:ascii="仿宋" w:hAnsi="仿宋" w:eastAsia="仿宋" w:cs="仿宋"/>
          <w:color w:val="auto"/>
          <w:highlight w:val="none"/>
        </w:rPr>
        <w:t>西部地区的发展</w:t>
      </w:r>
      <w:r>
        <w:rPr>
          <w:rFonts w:hint="eastAsia" w:ascii="仿宋" w:hAnsi="仿宋" w:eastAsia="仿宋" w:cs="仿宋"/>
          <w:color w:val="auto"/>
          <w:highlight w:val="none"/>
          <w:lang w:eastAsia="zh-CN"/>
        </w:rPr>
        <w:t>。</w:t>
      </w:r>
    </w:p>
    <w:p w14:paraId="5DF4509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color w:val="auto"/>
          <w:highlight w:val="none"/>
          <w:lang w:val="en-US" w:eastAsia="zh-CN"/>
        </w:rPr>
      </w:pPr>
      <w:r>
        <w:rPr>
          <w:rFonts w:hint="eastAsia" w:ascii="黑体" w:hAnsi="黑体" w:eastAsia="黑体" w:cs="黑体"/>
          <w:b w:val="0"/>
          <w:bCs w:val="0"/>
          <w:color w:val="auto"/>
          <w:highlight w:val="none"/>
          <w:lang w:val="en-US" w:eastAsia="zh-CN"/>
        </w:rPr>
        <w:t>目标抓手</w:t>
      </w:r>
    </w:p>
    <w:p w14:paraId="4A2939D0">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highlight w:val="none"/>
          <w:lang w:val="en-US" w:eastAsia="zh-CN"/>
        </w:rPr>
        <w:t>国家历史文化名城。</w:t>
      </w:r>
      <w:r>
        <w:rPr>
          <w:rFonts w:hint="eastAsia" w:ascii="仿宋" w:hAnsi="仿宋" w:eastAsia="仿宋" w:cs="仿宋"/>
          <w:color w:val="auto"/>
          <w:sz w:val="32"/>
          <w:szCs w:val="32"/>
          <w:highlight w:val="none"/>
          <w:lang w:val="en-US" w:eastAsia="zh-CN"/>
        </w:rPr>
        <w:t>依托武冈2200余年的建城史和云山全国第六九福地道教文化，挖掘武冈丰厚的历史文化底蕴和文化内涵，加强历史文化名城名镇名村、历史文化街区、历史建筑和文物单位的保护和管理工作，把武冈创建成历史古都型文化名城，加快文化和旅游产业融合发展，引领区域经济社会发展。</w:t>
      </w:r>
    </w:p>
    <w:p w14:paraId="4C71783F">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highlight w:val="none"/>
          <w:lang w:val="en-US" w:eastAsia="zh-CN"/>
        </w:rPr>
        <w:t>全国新时代文明实践中心建设示范市。</w:t>
      </w:r>
      <w:r>
        <w:rPr>
          <w:rFonts w:hint="eastAsia" w:ascii="仿宋" w:hAnsi="仿宋" w:eastAsia="仿宋" w:cs="仿宋"/>
          <w:color w:val="auto"/>
          <w:sz w:val="32"/>
          <w:szCs w:val="32"/>
          <w:highlight w:val="none"/>
          <w:lang w:val="en-US" w:eastAsia="zh-CN"/>
        </w:rPr>
        <w:t>用中国特色社会主义文化、社会主义思想道德牢牢占领思想文化宣传阵地，不断满足人民日益增长的精神文化需求，依托省级卫生城市、省级森林城市等品牌，强化市民行为素质，提高社会文明程度。充分挖掘学校、社区、机关等宣传阵地的潜力，建成宣传思想文化和精神文明建设的精神性中心，联系群众、服务群众、打通群众工作“最后一公里”的物质性中心。</w:t>
      </w:r>
    </w:p>
    <w:p w14:paraId="43002FE1">
      <w:pPr>
        <w:pStyle w:val="10"/>
        <w:keepNext w:val="0"/>
        <w:keepLines w:val="0"/>
        <w:pageBreakBefore w:val="0"/>
        <w:widowControl w:val="0"/>
        <w:kinsoku/>
        <w:wordWrap/>
        <w:overflowPunct/>
        <w:topLinePunct w:val="0"/>
        <w:autoSpaceDE/>
        <w:autoSpaceDN/>
        <w:bidi w:val="0"/>
        <w:spacing w:line="580" w:lineRule="exact"/>
        <w:ind w:firstLine="643" w:firstLineChars="200"/>
        <w:textAlignment w:val="auto"/>
        <w:rPr>
          <w:rFonts w:hint="eastAsia" w:ascii="仿宋" w:hAnsi="仿宋" w:eastAsia="仿宋" w:cs="仿宋"/>
          <w:b w:val="0"/>
          <w:bCs/>
          <w:color w:val="auto"/>
          <w:highlight w:val="none"/>
          <w:lang w:val="en-US" w:eastAsia="zh-CN"/>
        </w:rPr>
      </w:pPr>
      <w:r>
        <w:rPr>
          <w:rFonts w:hint="eastAsia" w:ascii="楷体" w:hAnsi="楷体" w:eastAsia="楷体" w:cs="楷体"/>
          <w:b/>
          <w:bCs/>
          <w:color w:val="auto"/>
          <w:sz w:val="32"/>
          <w:szCs w:val="32"/>
          <w:highlight w:val="none"/>
          <w:lang w:val="en-US" w:eastAsia="zh-CN"/>
        </w:rPr>
        <w:t>乡村振兴样板示范区。</w:t>
      </w:r>
      <w:r>
        <w:rPr>
          <w:rFonts w:hint="eastAsia" w:ascii="仿宋" w:hAnsi="仿宋" w:eastAsia="仿宋" w:cs="仿宋"/>
          <w:color w:val="auto"/>
          <w:sz w:val="32"/>
          <w:szCs w:val="32"/>
          <w:highlight w:val="none"/>
          <w:lang w:val="en-US" w:eastAsia="zh-CN"/>
        </w:rPr>
        <w:t>按照产业兴旺、生态宜居、乡风文明、治理有效、生活富裕的总要求，全域</w:t>
      </w:r>
      <w:r>
        <w:rPr>
          <w:rFonts w:hint="eastAsia" w:ascii="仿宋" w:hAnsi="仿宋" w:eastAsia="仿宋" w:cs="仿宋"/>
          <w:color w:val="000000" w:themeColor="text1"/>
          <w:sz w:val="32"/>
          <w:szCs w:val="32"/>
          <w:highlight w:val="none"/>
          <w:lang w:val="en-US" w:eastAsia="zh-CN"/>
          <w14:textFill>
            <w14:solidFill>
              <w14:schemeClr w14:val="tx1"/>
            </w14:solidFill>
          </w14:textFill>
        </w:rPr>
        <w:t>开展爱国卫生运动，</w:t>
      </w:r>
      <w:r>
        <w:rPr>
          <w:rFonts w:hint="eastAsia" w:ascii="仿宋" w:hAnsi="仿宋" w:eastAsia="仿宋" w:cs="仿宋"/>
          <w:color w:val="auto"/>
          <w:sz w:val="32"/>
          <w:szCs w:val="32"/>
          <w:highlight w:val="none"/>
          <w:lang w:val="en-US" w:eastAsia="zh-CN"/>
        </w:rPr>
        <w:t>推进农村人居环境综合整治，着力补齐农村基础设施和公共服务短板，加快推进农业产业现代化，高质量巩固脱贫成果，全面推进美丽乡村建设，打造乡村振兴样板示范区。</w:t>
      </w:r>
    </w:p>
    <w:p w14:paraId="7DC5A838">
      <w:pPr>
        <w:pStyle w:val="4"/>
        <w:keepNext/>
        <w:keepLines/>
        <w:pageBreakBefore w:val="0"/>
        <w:widowControl w:val="0"/>
        <w:kinsoku/>
        <w:wordWrap/>
        <w:overflowPunct/>
        <w:topLinePunct w:val="0"/>
        <w:autoSpaceDE/>
        <w:autoSpaceDN/>
        <w:bidi w:val="0"/>
        <w:adjustRightInd/>
        <w:snapToGrid/>
        <w:spacing w:before="0" w:after="0" w:line="580" w:lineRule="exact"/>
        <w:jc w:val="center"/>
        <w:textAlignment w:val="auto"/>
        <w:rPr>
          <w:rFonts w:hint="eastAsia" w:ascii="黑体" w:hAnsi="黑体" w:eastAsia="黑体" w:cs="黑体"/>
          <w:b w:val="0"/>
          <w:bCs/>
          <w:color w:val="auto"/>
          <w:highlight w:val="none"/>
        </w:rPr>
      </w:pPr>
      <w:bookmarkStart w:id="47" w:name="_Toc3204"/>
      <w:r>
        <w:rPr>
          <w:rFonts w:hint="eastAsia" w:ascii="黑体" w:hAnsi="黑体" w:eastAsia="黑体" w:cs="黑体"/>
          <w:b w:val="0"/>
          <w:bCs/>
          <w:color w:val="auto"/>
          <w:kern w:val="44"/>
          <w:sz w:val="32"/>
          <w:szCs w:val="32"/>
          <w:highlight w:val="none"/>
          <w:lang w:val="en-US" w:eastAsia="zh-CN" w:bidi="ar-SA"/>
        </w:rPr>
        <w:t>第四节  发展目标</w:t>
      </w:r>
      <w:bookmarkEnd w:id="44"/>
      <w:bookmarkEnd w:id="45"/>
      <w:bookmarkEnd w:id="46"/>
      <w:bookmarkEnd w:id="47"/>
    </w:p>
    <w:p w14:paraId="1A77252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color w:val="auto"/>
          <w:spacing w:val="0"/>
          <w:szCs w:val="32"/>
          <w:highlight w:val="none"/>
          <w:lang w:eastAsia="zh-CN"/>
        </w:rPr>
      </w:pPr>
      <w:r>
        <w:rPr>
          <w:rFonts w:hint="eastAsia" w:ascii="仿宋" w:hAnsi="仿宋" w:eastAsia="仿宋" w:cs="仿宋"/>
          <w:color w:val="auto"/>
          <w:spacing w:val="0"/>
          <w:highlight w:val="none"/>
          <w:lang w:eastAsia="zh-CN"/>
        </w:rPr>
        <w:t>满足人民群众对美好生活的向往</w:t>
      </w:r>
      <w:r>
        <w:rPr>
          <w:rFonts w:hint="eastAsia" w:ascii="仿宋" w:hAnsi="仿宋" w:eastAsia="仿宋" w:cs="仿宋"/>
          <w:color w:val="auto"/>
          <w:spacing w:val="0"/>
          <w:szCs w:val="32"/>
          <w:highlight w:val="none"/>
          <w:lang w:eastAsia="zh-CN"/>
        </w:rPr>
        <w:t>，</w:t>
      </w:r>
      <w:r>
        <w:rPr>
          <w:rFonts w:hint="eastAsia" w:ascii="仿宋" w:hAnsi="仿宋" w:eastAsia="仿宋" w:cs="仿宋"/>
          <w:color w:val="auto"/>
          <w:spacing w:val="0"/>
          <w:szCs w:val="32"/>
          <w:highlight w:val="none"/>
        </w:rPr>
        <w:t>“十四五”时期经济社会发展主要目标</w:t>
      </w:r>
      <w:r>
        <w:rPr>
          <w:rFonts w:hint="eastAsia" w:ascii="仿宋" w:hAnsi="仿宋" w:eastAsia="仿宋" w:cs="仿宋"/>
          <w:color w:val="auto"/>
          <w:spacing w:val="0"/>
          <w:szCs w:val="32"/>
          <w:highlight w:val="none"/>
          <w:lang w:eastAsia="zh-CN"/>
        </w:rPr>
        <w:t>：</w:t>
      </w:r>
    </w:p>
    <w:p w14:paraId="4AF9B075">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 w:hAnsi="仿宋" w:eastAsia="仿宋" w:cs="仿宋"/>
          <w:color w:val="auto"/>
          <w:kern w:val="0"/>
          <w:szCs w:val="32"/>
          <w:highlight w:val="none"/>
          <w:shd w:val="clear" w:color="auto" w:fill="FFFFFF"/>
          <w:lang w:eastAsia="zh-CN"/>
        </w:rPr>
      </w:pPr>
      <w:r>
        <w:rPr>
          <w:rFonts w:hint="eastAsia" w:ascii="楷体" w:hAnsi="楷体" w:eastAsia="楷体" w:cs="楷体"/>
          <w:b/>
          <w:bCs/>
          <w:color w:val="auto"/>
          <w:highlight w:val="none"/>
        </w:rPr>
        <w:t>经济实力跃上新台阶。</w:t>
      </w:r>
      <w:r>
        <w:rPr>
          <w:rFonts w:hint="eastAsia" w:ascii="仿宋" w:hAnsi="仿宋" w:eastAsia="仿宋" w:cs="仿宋"/>
          <w:color w:val="auto"/>
          <w:highlight w:val="none"/>
        </w:rPr>
        <w:t>到2025年，地区生产总值达233-260亿元，年均增长7%-8%，进入邵阳市</w:t>
      </w:r>
      <w:r>
        <w:rPr>
          <w:rFonts w:hint="eastAsia" w:ascii="仿宋" w:hAnsi="仿宋" w:eastAsia="仿宋" w:cs="仿宋"/>
          <w:color w:val="auto"/>
          <w:highlight w:val="none"/>
          <w:lang w:eastAsia="zh-CN"/>
        </w:rPr>
        <w:t>第一方阵</w:t>
      </w:r>
      <w:r>
        <w:rPr>
          <w:rFonts w:hint="eastAsia" w:ascii="仿宋" w:hAnsi="仿宋" w:eastAsia="仿宋" w:cs="仿宋"/>
          <w:color w:val="auto"/>
          <w:highlight w:val="none"/>
        </w:rPr>
        <w:t>。规模工业增加值达到28-30亿元，年均增速7.5%-8.5%；</w:t>
      </w:r>
      <w:r>
        <w:rPr>
          <w:rFonts w:hint="eastAsia" w:ascii="仿宋" w:hAnsi="仿宋" w:eastAsia="仿宋" w:cs="仿宋"/>
          <w:color w:val="auto"/>
          <w:szCs w:val="32"/>
          <w:highlight w:val="none"/>
        </w:rPr>
        <w:t>财政总收入</w:t>
      </w:r>
      <w:r>
        <w:rPr>
          <w:rFonts w:hint="eastAsia" w:ascii="仿宋" w:hAnsi="仿宋" w:eastAsia="仿宋" w:cs="仿宋"/>
          <w:color w:val="auto"/>
          <w:szCs w:val="32"/>
          <w:highlight w:val="none"/>
          <w:lang w:val="en-US" w:eastAsia="zh-CN"/>
        </w:rPr>
        <w:t>16</w:t>
      </w:r>
      <w:r>
        <w:rPr>
          <w:rFonts w:hint="eastAsia" w:ascii="仿宋" w:hAnsi="仿宋" w:eastAsia="仿宋" w:cs="仿宋"/>
          <w:color w:val="auto"/>
          <w:highlight w:val="none"/>
        </w:rPr>
        <w:t>亿元</w:t>
      </w:r>
      <w:r>
        <w:rPr>
          <w:rFonts w:hint="eastAsia" w:ascii="仿宋" w:hAnsi="仿宋" w:eastAsia="仿宋" w:cs="仿宋"/>
          <w:color w:val="auto"/>
          <w:highlight w:val="none"/>
          <w:lang w:eastAsia="zh-CN"/>
        </w:rPr>
        <w:t>左右</w:t>
      </w:r>
      <w:r>
        <w:rPr>
          <w:rFonts w:hint="eastAsia" w:ascii="仿宋" w:hAnsi="仿宋" w:eastAsia="仿宋" w:cs="仿宋"/>
          <w:color w:val="auto"/>
          <w:szCs w:val="32"/>
          <w:highlight w:val="none"/>
        </w:rPr>
        <w:t>，年均增长6%以上；</w:t>
      </w:r>
      <w:r>
        <w:rPr>
          <w:rFonts w:hint="eastAsia" w:ascii="仿宋" w:hAnsi="仿宋" w:eastAsia="仿宋" w:cs="仿宋"/>
          <w:color w:val="auto"/>
          <w:kern w:val="0"/>
          <w:szCs w:val="32"/>
          <w:highlight w:val="none"/>
        </w:rPr>
        <w:t>全社会固定资产投资</w:t>
      </w:r>
      <w:r>
        <w:rPr>
          <w:rFonts w:hint="eastAsia" w:ascii="仿宋" w:hAnsi="仿宋" w:eastAsia="仿宋" w:cs="仿宋"/>
          <w:color w:val="auto"/>
          <w:kern w:val="0"/>
          <w:szCs w:val="32"/>
          <w:highlight w:val="none"/>
          <w:lang w:eastAsia="zh-CN"/>
        </w:rPr>
        <w:t>达</w:t>
      </w:r>
      <w:r>
        <w:rPr>
          <w:rFonts w:hint="eastAsia" w:ascii="仿宋" w:hAnsi="仿宋" w:eastAsia="仿宋" w:cs="仿宋"/>
          <w:color w:val="auto"/>
          <w:kern w:val="0"/>
          <w:szCs w:val="32"/>
          <w:highlight w:val="none"/>
        </w:rPr>
        <w:t>2</w:t>
      </w:r>
      <w:r>
        <w:rPr>
          <w:rFonts w:hint="eastAsia" w:ascii="仿宋" w:hAnsi="仿宋" w:eastAsia="仿宋" w:cs="仿宋"/>
          <w:color w:val="auto"/>
          <w:kern w:val="0"/>
          <w:szCs w:val="32"/>
          <w:highlight w:val="none"/>
          <w:lang w:val="en-US" w:eastAsia="zh-CN"/>
        </w:rPr>
        <w:t>60</w:t>
      </w:r>
      <w:r>
        <w:rPr>
          <w:rFonts w:hint="eastAsia" w:ascii="仿宋" w:hAnsi="仿宋" w:eastAsia="仿宋" w:cs="仿宋"/>
          <w:color w:val="auto"/>
          <w:highlight w:val="none"/>
        </w:rPr>
        <w:t>亿元</w:t>
      </w:r>
      <w:r>
        <w:rPr>
          <w:rFonts w:hint="eastAsia" w:ascii="仿宋" w:hAnsi="仿宋" w:eastAsia="仿宋" w:cs="仿宋"/>
          <w:color w:val="auto"/>
          <w:szCs w:val="32"/>
          <w:highlight w:val="none"/>
        </w:rPr>
        <w:t>，</w:t>
      </w:r>
      <w:r>
        <w:rPr>
          <w:rFonts w:hint="eastAsia" w:ascii="仿宋" w:hAnsi="仿宋" w:eastAsia="仿宋" w:cs="仿宋"/>
          <w:color w:val="auto"/>
          <w:kern w:val="0"/>
          <w:szCs w:val="32"/>
          <w:highlight w:val="none"/>
        </w:rPr>
        <w:t>年均增长</w:t>
      </w:r>
      <w:r>
        <w:rPr>
          <w:rFonts w:hint="eastAsia" w:ascii="仿宋" w:hAnsi="仿宋" w:eastAsia="仿宋" w:cs="仿宋"/>
          <w:color w:val="auto"/>
          <w:kern w:val="0"/>
          <w:szCs w:val="32"/>
          <w:highlight w:val="none"/>
          <w:lang w:val="en-US" w:eastAsia="zh-CN"/>
        </w:rPr>
        <w:t>10</w:t>
      </w:r>
      <w:r>
        <w:rPr>
          <w:rFonts w:hint="eastAsia" w:ascii="仿宋" w:hAnsi="仿宋" w:eastAsia="仿宋" w:cs="仿宋"/>
          <w:color w:val="auto"/>
          <w:kern w:val="0"/>
          <w:szCs w:val="32"/>
          <w:highlight w:val="none"/>
        </w:rPr>
        <w:t>%</w:t>
      </w:r>
      <w:r>
        <w:rPr>
          <w:rFonts w:hint="eastAsia" w:ascii="仿宋" w:hAnsi="仿宋" w:eastAsia="仿宋" w:cs="仿宋"/>
          <w:color w:val="auto"/>
          <w:kern w:val="0"/>
          <w:szCs w:val="32"/>
          <w:highlight w:val="none"/>
          <w:lang w:eastAsia="zh-CN"/>
        </w:rPr>
        <w:t>。</w:t>
      </w:r>
    </w:p>
    <w:p w14:paraId="2FCD5FFC">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color w:val="auto"/>
          <w:sz w:val="32"/>
          <w:szCs w:val="32"/>
          <w:highlight w:val="none"/>
        </w:rPr>
        <w:t>创新能力实现新提升。</w:t>
      </w:r>
      <w:r>
        <w:rPr>
          <w:rFonts w:hint="eastAsia" w:ascii="仿宋" w:hAnsi="仿宋" w:eastAsia="仿宋" w:cs="仿宋"/>
          <w:color w:val="auto"/>
          <w:sz w:val="32"/>
          <w:szCs w:val="32"/>
          <w:highlight w:val="none"/>
        </w:rPr>
        <w:t>研发投入大幅增加，创新平台不断完善，创新制度不断健全，创新人才加快聚集，自主创新能力显著提高，一批关键核心技术取得新突破，创新成果加速转化，具有核心竞争力的科技创新高地建设取得重大进展。</w:t>
      </w:r>
      <w:r>
        <w:rPr>
          <w:rFonts w:hint="eastAsia" w:ascii="仿宋" w:hAnsi="仿宋" w:eastAsia="仿宋" w:cs="仿宋"/>
          <w:color w:val="auto"/>
          <w:highlight w:val="none"/>
        </w:rPr>
        <w:t>到2025年</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val="en-US" w:eastAsia="zh-CN"/>
        </w:rPr>
        <w:t>高新技术产业增加值占GDP的比重达15%以上，全社会研发投入强度达2.7%，专利申请量达1000件以上。</w:t>
      </w:r>
    </w:p>
    <w:p w14:paraId="4E1EA85D">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rPr>
        <w:t>改革开放达到新高度。</w:t>
      </w:r>
      <w:r>
        <w:rPr>
          <w:rFonts w:hint="eastAsia" w:ascii="仿宋" w:hAnsi="仿宋" w:eastAsia="仿宋" w:cs="仿宋"/>
          <w:color w:val="auto"/>
          <w:highlight w:val="none"/>
        </w:rPr>
        <w:t>到2025年，全市实际利用外资</w:t>
      </w:r>
      <w:r>
        <w:rPr>
          <w:rFonts w:hint="eastAsia" w:ascii="仿宋" w:hAnsi="仿宋" w:eastAsia="仿宋" w:cs="仿宋"/>
          <w:color w:val="auto"/>
          <w:highlight w:val="none"/>
          <w:lang w:val="en-US" w:eastAsia="zh-CN"/>
        </w:rPr>
        <w:t>9755</w:t>
      </w:r>
      <w:r>
        <w:rPr>
          <w:rFonts w:hint="eastAsia" w:ascii="仿宋" w:hAnsi="仿宋" w:eastAsia="仿宋" w:cs="仿宋"/>
          <w:color w:val="auto"/>
          <w:highlight w:val="none"/>
        </w:rPr>
        <w:t>万美元，年均增长</w:t>
      </w: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rPr>
        <w:t>%以上。进出口</w:t>
      </w:r>
      <w:r>
        <w:rPr>
          <w:rFonts w:hint="eastAsia" w:ascii="仿宋" w:hAnsi="仿宋" w:eastAsia="仿宋" w:cs="仿宋"/>
          <w:color w:val="auto"/>
          <w:highlight w:val="none"/>
          <w:lang w:eastAsia="zh-CN"/>
        </w:rPr>
        <w:t>总额</w:t>
      </w:r>
      <w:r>
        <w:rPr>
          <w:rFonts w:hint="eastAsia" w:ascii="仿宋" w:hAnsi="仿宋" w:eastAsia="仿宋" w:cs="仿宋"/>
          <w:color w:val="auto"/>
          <w:highlight w:val="none"/>
        </w:rPr>
        <w:t>达到</w:t>
      </w:r>
      <w:r>
        <w:rPr>
          <w:rFonts w:hint="eastAsia" w:ascii="仿宋" w:hAnsi="仿宋" w:eastAsia="仿宋" w:cs="仿宋"/>
          <w:color w:val="auto"/>
          <w:highlight w:val="none"/>
          <w:lang w:val="en-US" w:eastAsia="zh-CN"/>
        </w:rPr>
        <w:t>4430</w:t>
      </w:r>
      <w:r>
        <w:rPr>
          <w:rFonts w:hint="eastAsia" w:ascii="仿宋" w:hAnsi="仿宋" w:eastAsia="仿宋" w:cs="仿宋"/>
          <w:color w:val="auto"/>
          <w:highlight w:val="none"/>
        </w:rPr>
        <w:t>万美元以上，年均增长</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5%，全市各类进出口企业达到30家，有进出口实绩的企业达到10家，其中进出口过1000万美元的企业2家。超过500万美元以上的4家。</w:t>
      </w:r>
    </w:p>
    <w:p w14:paraId="05639334">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FangSong_GB2312" w:hAnsi="FangSong_GB2312" w:eastAsia="FangSong_GB2312" w:cs="FangSong_GB2312"/>
          <w:b/>
          <w:bCs/>
          <w:color w:val="auto"/>
          <w:highlight w:val="none"/>
        </w:rPr>
      </w:pPr>
      <w:r>
        <w:rPr>
          <w:rFonts w:hint="eastAsia" w:ascii="楷体" w:hAnsi="楷体" w:eastAsia="楷体" w:cs="楷体"/>
          <w:b/>
          <w:bCs/>
          <w:color w:val="auto"/>
          <w:highlight w:val="none"/>
          <w:lang w:val="en-US" w:eastAsia="zh-CN"/>
        </w:rPr>
        <w:t>城乡建设焕发新面貌。</w:t>
      </w:r>
      <w:r>
        <w:rPr>
          <w:rFonts w:hint="eastAsia" w:ascii="仿宋" w:hAnsi="仿宋" w:eastAsia="仿宋" w:cs="仿宋"/>
          <w:color w:val="auto"/>
          <w:highlight w:val="none"/>
        </w:rPr>
        <w:t>到2025年，全市城镇化率达5</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中心</w:t>
      </w:r>
      <w:r>
        <w:rPr>
          <w:rFonts w:hint="eastAsia" w:ascii="仿宋" w:hAnsi="仿宋" w:eastAsia="仿宋" w:cs="仿宋"/>
          <w:color w:val="auto"/>
          <w:highlight w:val="none"/>
        </w:rPr>
        <w:t>城区面积35平方公里</w:t>
      </w:r>
      <w:r>
        <w:rPr>
          <w:rFonts w:hint="eastAsia" w:ascii="仿宋" w:hAnsi="仿宋" w:eastAsia="仿宋" w:cs="仿宋"/>
          <w:color w:val="auto"/>
          <w:highlight w:val="none"/>
          <w:lang w:eastAsia="zh-CN"/>
        </w:rPr>
        <w:t>、人口</w:t>
      </w:r>
      <w:r>
        <w:rPr>
          <w:rFonts w:hint="eastAsia" w:ascii="仿宋" w:hAnsi="仿宋" w:eastAsia="仿宋" w:cs="仿宋"/>
          <w:color w:val="auto"/>
          <w:highlight w:val="none"/>
          <w:lang w:val="en-US" w:eastAsia="zh-CN"/>
        </w:rPr>
        <w:t>35万</w:t>
      </w:r>
      <w:r>
        <w:rPr>
          <w:rFonts w:hint="eastAsia" w:ascii="仿宋" w:hAnsi="仿宋" w:eastAsia="仿宋" w:cs="仿宋"/>
          <w:color w:val="auto"/>
          <w:highlight w:val="none"/>
        </w:rPr>
        <w:t>，“一园一山一镇一城一基地</w:t>
      </w:r>
      <w:r>
        <w:rPr>
          <w:rFonts w:hint="eastAsia" w:ascii="仿宋" w:hAnsi="仿宋" w:eastAsia="仿宋" w:cs="仿宋"/>
          <w:color w:val="auto"/>
          <w:highlight w:val="none"/>
          <w:lang w:eastAsia="zh-CN"/>
        </w:rPr>
        <w:t>一中心</w:t>
      </w:r>
      <w:r>
        <w:rPr>
          <w:rFonts w:hint="eastAsia" w:ascii="仿宋" w:hAnsi="仿宋" w:eastAsia="仿宋" w:cs="仿宋"/>
          <w:color w:val="auto"/>
          <w:highlight w:val="none"/>
        </w:rPr>
        <w:t>”产城融合发展格局进一步深化</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全市森林覆盖率达</w:t>
      </w:r>
      <w:r>
        <w:rPr>
          <w:rFonts w:hint="eastAsia" w:ascii="仿宋" w:hAnsi="仿宋" w:eastAsia="仿宋" w:cs="仿宋"/>
          <w:color w:val="auto"/>
          <w:highlight w:val="none"/>
          <w:lang w:val="en-US" w:eastAsia="zh-CN"/>
        </w:rPr>
        <w:t>41.22</w:t>
      </w:r>
      <w:r>
        <w:rPr>
          <w:rFonts w:hint="eastAsia" w:ascii="仿宋" w:hAnsi="仿宋" w:eastAsia="仿宋" w:cs="仿宋"/>
          <w:color w:val="auto"/>
          <w:highlight w:val="none"/>
        </w:rPr>
        <w:t>%，森林资源蓄积量增长4%以上。</w:t>
      </w:r>
      <w:r>
        <w:rPr>
          <w:rFonts w:hint="eastAsia" w:ascii="仿宋" w:hAnsi="仿宋" w:eastAsia="仿宋" w:cs="仿宋"/>
          <w:color w:val="000000" w:themeColor="text1"/>
          <w:highlight w:val="none"/>
          <w14:textFill>
            <w14:solidFill>
              <w14:schemeClr w14:val="tx1"/>
            </w14:solidFill>
          </w14:textFill>
        </w:rPr>
        <w:t>自来水普及率9</w:t>
      </w: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，卫生厕所普及率</w:t>
      </w:r>
      <w:r>
        <w:rPr>
          <w:rFonts w:hint="eastAsia" w:ascii="仿宋" w:hAnsi="仿宋" w:eastAsia="仿宋" w:cs="仿宋"/>
          <w:color w:val="000000" w:themeColor="text1"/>
          <w:highlight w:val="none"/>
          <w:lang w:val="en-US" w:eastAsia="zh-CN"/>
          <w14:textFill>
            <w14:solidFill>
              <w14:schemeClr w14:val="tx1"/>
            </w14:solidFill>
          </w14:textFill>
        </w:rPr>
        <w:t>90</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，城镇污水处</w:t>
      </w:r>
      <w:r>
        <w:rPr>
          <w:rFonts w:hint="eastAsia" w:ascii="仿宋" w:hAnsi="仿宋" w:eastAsia="仿宋" w:cs="仿宋"/>
          <w:color w:val="auto"/>
          <w:highlight w:val="none"/>
        </w:rPr>
        <w:t>理率95%以上，</w:t>
      </w:r>
      <w:r>
        <w:rPr>
          <w:rFonts w:hint="eastAsia" w:ascii="仿宋" w:hAnsi="仿宋" w:eastAsia="仿宋" w:cs="仿宋"/>
          <w:color w:val="auto"/>
          <w:highlight w:val="none"/>
          <w:lang w:eastAsia="zh-CN"/>
        </w:rPr>
        <w:t>农村生活垃圾卫生处理率</w:t>
      </w:r>
      <w:r>
        <w:rPr>
          <w:rFonts w:hint="eastAsia" w:ascii="仿宋" w:hAnsi="仿宋" w:eastAsia="仿宋" w:cs="仿宋"/>
          <w:color w:val="auto"/>
          <w:highlight w:val="none"/>
          <w:lang w:val="en-US" w:eastAsia="zh-CN"/>
        </w:rPr>
        <w:t>95%，</w:t>
      </w:r>
      <w:r>
        <w:rPr>
          <w:rFonts w:hint="eastAsia" w:ascii="仿宋" w:hAnsi="仿宋" w:eastAsia="仿宋" w:cs="仿宋"/>
          <w:color w:val="auto"/>
          <w:highlight w:val="none"/>
        </w:rPr>
        <w:t>农村生活污水处理率80%以上。工业固体废物综合利用率达95%以上，危险废物、医疗废物和放射性废物安全处置率100%，单位GDP能耗降低15%以上，规模工业万元增加值能耗降低</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%以上。</w:t>
      </w:r>
    </w:p>
    <w:p w14:paraId="76805FD2">
      <w:pPr>
        <w:pStyle w:val="20"/>
        <w:keepNext w:val="0"/>
        <w:keepLines w:val="0"/>
        <w:pageBreakBefore w:val="0"/>
        <w:widowControl w:val="0"/>
        <w:kinsoku/>
        <w:wordWrap/>
        <w:overflowPunct/>
        <w:topLinePunct w:val="0"/>
        <w:autoSpaceDE/>
        <w:autoSpaceDN/>
        <w:bidi w:val="0"/>
        <w:adjustRightInd/>
        <w:snapToGrid/>
        <w:spacing w:after="0" w:line="580" w:lineRule="exact"/>
        <w:ind w:left="0" w:leftChars="0" w:firstLine="643"/>
        <w:jc w:val="both"/>
        <w:textAlignment w:val="auto"/>
        <w:rPr>
          <w:rFonts w:hint="eastAsia" w:ascii="仿宋" w:hAnsi="仿宋" w:eastAsia="仿宋" w:cs="仿宋"/>
          <w:color w:val="auto"/>
          <w:highlight w:val="none"/>
        </w:rPr>
      </w:pPr>
      <w:r>
        <w:rPr>
          <w:rFonts w:hint="eastAsia" w:ascii="楷体" w:hAnsi="楷体" w:eastAsia="楷体" w:cs="楷体"/>
          <w:b/>
          <w:bCs/>
          <w:color w:val="auto"/>
          <w:kern w:val="2"/>
          <w:sz w:val="32"/>
          <w:szCs w:val="24"/>
          <w:highlight w:val="none"/>
          <w:lang w:val="en-US" w:eastAsia="zh-CN" w:bidi="ar-SA"/>
        </w:rPr>
        <w:t>民生福祉得到新改善。</w:t>
      </w:r>
      <w:r>
        <w:rPr>
          <w:rFonts w:hint="eastAsia" w:ascii="仿宋" w:hAnsi="仿宋" w:eastAsia="仿宋" w:cs="仿宋"/>
          <w:color w:val="auto"/>
          <w:highlight w:val="none"/>
        </w:rPr>
        <w:t>坚持就业优先，实施更加积极的就业政策，城镇登记失业率控制在4%以内。办好人民满意教育，到2025年，学前三年幼儿教育毛入园率达到90%，九年义务教育巩固率达到99%以上，初中毕业生升学率达到95%以上。加大社会保障投入力度，建立覆盖城乡、功能完备、惠及全民的社会保障体系。</w:t>
      </w:r>
      <w:r>
        <w:rPr>
          <w:rFonts w:hint="eastAsia" w:ascii="仿宋" w:hAnsi="仿宋" w:eastAsia="仿宋" w:cs="仿宋"/>
          <w:color w:val="auto"/>
          <w:highlight w:val="none"/>
          <w:lang w:eastAsia="zh-CN"/>
        </w:rPr>
        <w:t>全体居民人均可支配收入增长7.5%，达30827元以上。</w:t>
      </w:r>
      <w:r>
        <w:rPr>
          <w:rFonts w:hint="eastAsia" w:ascii="仿宋" w:hAnsi="仿宋" w:eastAsia="仿宋" w:cs="仿宋"/>
          <w:color w:val="auto"/>
          <w:highlight w:val="none"/>
        </w:rPr>
        <w:t>完善公共卫生服务体系，保障人民群众健康需求。</w:t>
      </w:r>
    </w:p>
    <w:p w14:paraId="00FCD646">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hint="eastAsia" w:ascii="仿宋" w:hAnsi="仿宋" w:eastAsia="仿宋" w:cs="仿宋"/>
          <w:bCs/>
          <w:color w:val="auto"/>
          <w:szCs w:val="32"/>
          <w:highlight w:val="none"/>
        </w:rPr>
      </w:pPr>
      <w:r>
        <w:rPr>
          <w:rFonts w:hint="eastAsia" w:ascii="楷体" w:hAnsi="楷体" w:eastAsia="楷体" w:cs="楷体"/>
          <w:b/>
          <w:bCs/>
          <w:color w:val="auto"/>
          <w:highlight w:val="none"/>
        </w:rPr>
        <w:t>社会治理取得新成效。</w:t>
      </w:r>
      <w:r>
        <w:rPr>
          <w:rFonts w:hint="eastAsia" w:ascii="仿宋" w:hAnsi="仿宋" w:eastAsia="仿宋" w:cs="仿宋"/>
          <w:bCs/>
          <w:color w:val="auto"/>
          <w:szCs w:val="32"/>
          <w:highlight w:val="none"/>
        </w:rPr>
        <w:t>健全现代社会治理格局，</w:t>
      </w:r>
      <w:r>
        <w:rPr>
          <w:rFonts w:hint="eastAsia" w:ascii="仿宋" w:hAnsi="仿宋" w:eastAsia="仿宋" w:cs="仿宋"/>
          <w:color w:val="auto"/>
          <w:highlight w:val="none"/>
        </w:rPr>
        <w:t>深化拓展新时代文明实践中心建设工作，社会主义核心价值观深入人心，信访矛盾得到及时化解，安全生产成果得到巩固，基层自治、人民民主</w:t>
      </w:r>
      <w:r>
        <w:rPr>
          <w:rFonts w:hint="eastAsia" w:ascii="仿宋" w:hAnsi="仿宋" w:eastAsia="仿宋" w:cs="仿宋"/>
          <w:color w:val="auto"/>
          <w:highlight w:val="none"/>
          <w:lang w:eastAsia="zh-CN"/>
        </w:rPr>
        <w:t>专政</w:t>
      </w:r>
      <w:r>
        <w:rPr>
          <w:rFonts w:hint="eastAsia" w:ascii="仿宋" w:hAnsi="仿宋" w:eastAsia="仿宋" w:cs="仿宋"/>
          <w:color w:val="auto"/>
          <w:highlight w:val="none"/>
        </w:rPr>
        <w:t>得到加强，</w:t>
      </w:r>
      <w:r>
        <w:rPr>
          <w:rFonts w:hint="eastAsia" w:ascii="仿宋" w:hAnsi="仿宋" w:eastAsia="仿宋" w:cs="仿宋"/>
          <w:bCs/>
          <w:color w:val="auto"/>
          <w:szCs w:val="32"/>
          <w:highlight w:val="none"/>
        </w:rPr>
        <w:t>法治政府建设不断完善。深化“平安武冈”建设，构建立体化社会治安防控体系。</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37"/>
        <w:gridCol w:w="406"/>
        <w:gridCol w:w="3537"/>
        <w:gridCol w:w="872"/>
        <w:gridCol w:w="697"/>
        <w:gridCol w:w="712"/>
        <w:gridCol w:w="1209"/>
        <w:gridCol w:w="890"/>
      </w:tblGrid>
      <w:tr w14:paraId="6EB6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9060" w:type="dxa"/>
            <w:gridSpan w:val="8"/>
            <w:shd w:val="clear" w:color="auto" w:fill="FFFFFF"/>
            <w:noWrap/>
            <w:tcMar>
              <w:top w:w="15" w:type="dxa"/>
              <w:left w:w="15" w:type="dxa"/>
              <w:right w:w="15" w:type="dxa"/>
            </w:tcMar>
            <w:vAlign w:val="center"/>
          </w:tcPr>
          <w:p w14:paraId="656E4658">
            <w:pPr>
              <w:keepNext w:val="0"/>
              <w:keepLines w:val="0"/>
              <w:pageBreakBefore w:val="0"/>
              <w:widowControl w:val="0"/>
              <w:suppressLineNumbers w:val="0"/>
              <w:kinsoku/>
              <w:wordWrap/>
              <w:overflowPunct/>
              <w:bidi w:val="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bCs w:val="0"/>
                <w:i w:val="0"/>
                <w:color w:val="auto"/>
                <w:kern w:val="0"/>
                <w:sz w:val="28"/>
                <w:szCs w:val="28"/>
                <w:highlight w:val="none"/>
                <w:u w:val="none"/>
                <w:lang w:val="en-US" w:eastAsia="zh-CN" w:bidi="ar"/>
              </w:rPr>
              <w:t>专栏2：“十四五”经济社会发展主要指标</w:t>
            </w:r>
          </w:p>
        </w:tc>
      </w:tr>
      <w:tr w14:paraId="0A93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737" w:type="dxa"/>
            <w:shd w:val="clear" w:color="auto" w:fill="FFFFFF"/>
            <w:tcMar>
              <w:top w:w="15" w:type="dxa"/>
              <w:left w:w="15" w:type="dxa"/>
              <w:right w:w="15" w:type="dxa"/>
            </w:tcMar>
            <w:vAlign w:val="center"/>
          </w:tcPr>
          <w:p w14:paraId="212851D4">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类别</w:t>
            </w:r>
          </w:p>
        </w:tc>
        <w:tc>
          <w:tcPr>
            <w:tcW w:w="406" w:type="dxa"/>
            <w:shd w:val="clear" w:color="auto" w:fill="FFFFFF"/>
            <w:tcMar>
              <w:top w:w="15" w:type="dxa"/>
              <w:left w:w="15" w:type="dxa"/>
              <w:right w:w="15" w:type="dxa"/>
            </w:tcMar>
            <w:vAlign w:val="center"/>
          </w:tcPr>
          <w:p w14:paraId="56672D67">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3537" w:type="dxa"/>
            <w:shd w:val="clear" w:color="auto" w:fill="FFFFFF"/>
            <w:tcMar>
              <w:top w:w="15" w:type="dxa"/>
              <w:left w:w="15" w:type="dxa"/>
              <w:right w:w="15" w:type="dxa"/>
            </w:tcMar>
            <w:vAlign w:val="center"/>
          </w:tcPr>
          <w:p w14:paraId="3FF15918">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指标</w:t>
            </w:r>
          </w:p>
        </w:tc>
        <w:tc>
          <w:tcPr>
            <w:tcW w:w="872" w:type="dxa"/>
            <w:shd w:val="clear" w:color="auto" w:fill="FFFFFF"/>
            <w:tcMar>
              <w:top w:w="15" w:type="dxa"/>
              <w:left w:w="15" w:type="dxa"/>
              <w:right w:w="15" w:type="dxa"/>
            </w:tcMar>
            <w:vAlign w:val="center"/>
          </w:tcPr>
          <w:p w14:paraId="33F35F57">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属性</w:t>
            </w:r>
          </w:p>
        </w:tc>
        <w:tc>
          <w:tcPr>
            <w:tcW w:w="697" w:type="dxa"/>
            <w:shd w:val="clear" w:color="auto" w:fill="FFFFFF"/>
            <w:tcMar>
              <w:top w:w="15" w:type="dxa"/>
              <w:left w:w="15" w:type="dxa"/>
              <w:right w:w="15" w:type="dxa"/>
            </w:tcMar>
            <w:vAlign w:val="center"/>
          </w:tcPr>
          <w:p w14:paraId="38226128">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2020年</w:t>
            </w:r>
          </w:p>
        </w:tc>
        <w:tc>
          <w:tcPr>
            <w:tcW w:w="712" w:type="dxa"/>
            <w:shd w:val="clear" w:color="auto" w:fill="FFFFFF"/>
            <w:tcMar>
              <w:top w:w="15" w:type="dxa"/>
              <w:left w:w="15" w:type="dxa"/>
              <w:right w:w="15" w:type="dxa"/>
            </w:tcMar>
            <w:vAlign w:val="center"/>
          </w:tcPr>
          <w:p w14:paraId="01B421C1">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2025年</w:t>
            </w:r>
          </w:p>
        </w:tc>
        <w:tc>
          <w:tcPr>
            <w:tcW w:w="1209" w:type="dxa"/>
            <w:shd w:val="clear" w:color="auto" w:fill="FFFFFF"/>
            <w:tcMar>
              <w:top w:w="15" w:type="dxa"/>
              <w:left w:w="15" w:type="dxa"/>
              <w:right w:w="15" w:type="dxa"/>
            </w:tcMar>
            <w:vAlign w:val="center"/>
          </w:tcPr>
          <w:p w14:paraId="3A05EDBA">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年均增速[累计]</w:t>
            </w:r>
          </w:p>
        </w:tc>
        <w:tc>
          <w:tcPr>
            <w:tcW w:w="890" w:type="dxa"/>
            <w:shd w:val="clear" w:color="auto" w:fill="FFFFFF"/>
            <w:tcMar>
              <w:top w:w="15" w:type="dxa"/>
              <w:left w:w="15" w:type="dxa"/>
              <w:right w:w="15" w:type="dxa"/>
            </w:tcMar>
            <w:vAlign w:val="center"/>
          </w:tcPr>
          <w:p w14:paraId="0DF73136">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责任单位</w:t>
            </w:r>
          </w:p>
        </w:tc>
      </w:tr>
      <w:tr w14:paraId="75B4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1" w:hRule="atLeast"/>
        </w:trPr>
        <w:tc>
          <w:tcPr>
            <w:tcW w:w="737" w:type="dxa"/>
            <w:vMerge w:val="restart"/>
            <w:shd w:val="clear" w:color="auto" w:fill="FFFFFF"/>
            <w:noWrap/>
            <w:tcMar>
              <w:top w:w="15" w:type="dxa"/>
              <w:left w:w="15" w:type="dxa"/>
              <w:right w:w="15" w:type="dxa"/>
            </w:tcMar>
            <w:vAlign w:val="center"/>
          </w:tcPr>
          <w:p w14:paraId="0A861E65">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经</w:t>
            </w:r>
          </w:p>
          <w:p w14:paraId="794267E6">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济</w:t>
            </w:r>
          </w:p>
          <w:p w14:paraId="7E487476">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发</w:t>
            </w:r>
          </w:p>
          <w:p w14:paraId="0C3F6224">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展</w:t>
            </w:r>
          </w:p>
        </w:tc>
        <w:tc>
          <w:tcPr>
            <w:tcW w:w="406" w:type="dxa"/>
            <w:shd w:val="clear" w:color="auto" w:fill="FFFFFF"/>
            <w:tcMar>
              <w:top w:w="15" w:type="dxa"/>
              <w:left w:w="15" w:type="dxa"/>
              <w:right w:w="15" w:type="dxa"/>
            </w:tcMar>
            <w:vAlign w:val="center"/>
          </w:tcPr>
          <w:p w14:paraId="421F6789">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3537" w:type="dxa"/>
            <w:shd w:val="clear" w:color="auto" w:fill="FFFFFF"/>
            <w:tcMar>
              <w:top w:w="15" w:type="dxa"/>
              <w:left w:w="15" w:type="dxa"/>
              <w:right w:w="15" w:type="dxa"/>
            </w:tcMar>
            <w:vAlign w:val="center"/>
          </w:tcPr>
          <w:p w14:paraId="2C407945">
            <w:pPr>
              <w:keepNext w:val="0"/>
              <w:keepLines w:val="0"/>
              <w:pageBreakBefore w:val="0"/>
              <w:widowControl w:val="0"/>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地区生产总值(亿元)</w:t>
            </w:r>
          </w:p>
        </w:tc>
        <w:tc>
          <w:tcPr>
            <w:tcW w:w="872" w:type="dxa"/>
            <w:shd w:val="clear" w:color="auto" w:fill="FFFFFF"/>
            <w:tcMar>
              <w:top w:w="15" w:type="dxa"/>
              <w:left w:w="15" w:type="dxa"/>
              <w:right w:w="15" w:type="dxa"/>
            </w:tcMar>
            <w:vAlign w:val="center"/>
          </w:tcPr>
          <w:p w14:paraId="59CE5280">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070EC682">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172.2</w:t>
            </w:r>
          </w:p>
        </w:tc>
        <w:tc>
          <w:tcPr>
            <w:tcW w:w="712" w:type="dxa"/>
            <w:shd w:val="clear" w:color="auto" w:fill="FFFFFF"/>
            <w:noWrap/>
            <w:tcMar>
              <w:top w:w="15" w:type="dxa"/>
              <w:left w:w="15" w:type="dxa"/>
              <w:right w:w="15" w:type="dxa"/>
            </w:tcMar>
            <w:vAlign w:val="center"/>
          </w:tcPr>
          <w:p w14:paraId="399BAAA9">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233</w:t>
            </w:r>
          </w:p>
        </w:tc>
        <w:tc>
          <w:tcPr>
            <w:tcW w:w="1209" w:type="dxa"/>
            <w:shd w:val="clear" w:color="auto" w:fill="FFFFFF"/>
            <w:noWrap/>
            <w:tcMar>
              <w:top w:w="15" w:type="dxa"/>
              <w:left w:w="15" w:type="dxa"/>
              <w:right w:w="15" w:type="dxa"/>
            </w:tcMar>
            <w:vAlign w:val="center"/>
          </w:tcPr>
          <w:p w14:paraId="1779C041">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890" w:type="dxa"/>
            <w:shd w:val="clear" w:color="auto" w:fill="FFFFFF"/>
            <w:noWrap/>
            <w:tcMar>
              <w:top w:w="15" w:type="dxa"/>
              <w:left w:w="15" w:type="dxa"/>
              <w:right w:w="15" w:type="dxa"/>
            </w:tcMar>
            <w:vAlign w:val="center"/>
          </w:tcPr>
          <w:p w14:paraId="27A370E7">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发改局、</w:t>
            </w:r>
          </w:p>
          <w:p w14:paraId="0AC4B316">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住建局、</w:t>
            </w:r>
          </w:p>
          <w:p w14:paraId="5666A815">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科工信局</w:t>
            </w:r>
          </w:p>
        </w:tc>
      </w:tr>
      <w:tr w14:paraId="6878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rPr>
        <w:tc>
          <w:tcPr>
            <w:tcW w:w="737" w:type="dxa"/>
            <w:vMerge w:val="continue"/>
            <w:shd w:val="clear" w:color="auto" w:fill="FFFFFF"/>
            <w:noWrap/>
            <w:tcMar>
              <w:top w:w="15" w:type="dxa"/>
              <w:left w:w="15" w:type="dxa"/>
              <w:right w:w="15" w:type="dxa"/>
            </w:tcMar>
            <w:vAlign w:val="center"/>
          </w:tcPr>
          <w:p w14:paraId="29726A49">
            <w:pPr>
              <w:keepNext w:val="0"/>
              <w:keepLines w:val="0"/>
              <w:pageBreakBefore w:val="0"/>
              <w:widowControl w:val="0"/>
              <w:kinsoku/>
              <w:wordWrap/>
              <w:overflowPunct/>
              <w:topLinePunct w:val="0"/>
              <w:autoSpaceDE/>
              <w:autoSpaceDN/>
              <w:bidi w:val="0"/>
              <w:adjustRightInd/>
              <w:snapToGrid/>
              <w:spacing w:line="400" w:lineRule="exact"/>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6E323737">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3537" w:type="dxa"/>
            <w:shd w:val="clear" w:color="auto" w:fill="FFFFFF"/>
            <w:tcMar>
              <w:top w:w="15" w:type="dxa"/>
              <w:left w:w="15" w:type="dxa"/>
              <w:right w:w="15" w:type="dxa"/>
            </w:tcMar>
            <w:vAlign w:val="center"/>
          </w:tcPr>
          <w:p w14:paraId="2D82536E">
            <w:pPr>
              <w:keepNext w:val="0"/>
              <w:keepLines w:val="0"/>
              <w:pageBreakBefore w:val="0"/>
              <w:widowControl w:val="0"/>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制造业增加值占GDP比重（%）</w:t>
            </w:r>
          </w:p>
        </w:tc>
        <w:tc>
          <w:tcPr>
            <w:tcW w:w="872" w:type="dxa"/>
            <w:shd w:val="clear" w:color="auto" w:fill="FFFFFF"/>
            <w:tcMar>
              <w:top w:w="15" w:type="dxa"/>
              <w:left w:w="15" w:type="dxa"/>
              <w:right w:w="15" w:type="dxa"/>
            </w:tcMar>
            <w:vAlign w:val="center"/>
          </w:tcPr>
          <w:p w14:paraId="7FF61A65">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1EB0C0C8">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712" w:type="dxa"/>
            <w:shd w:val="clear" w:color="auto" w:fill="FFFFFF"/>
            <w:noWrap/>
            <w:tcMar>
              <w:top w:w="15" w:type="dxa"/>
              <w:left w:w="15" w:type="dxa"/>
              <w:right w:w="15" w:type="dxa"/>
            </w:tcMar>
            <w:vAlign w:val="center"/>
          </w:tcPr>
          <w:p w14:paraId="7F72C652">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209" w:type="dxa"/>
            <w:shd w:val="clear" w:color="auto" w:fill="FFFFFF"/>
            <w:noWrap/>
            <w:tcMar>
              <w:top w:w="15" w:type="dxa"/>
              <w:left w:w="15" w:type="dxa"/>
              <w:right w:w="15" w:type="dxa"/>
            </w:tcMar>
            <w:vAlign w:val="center"/>
          </w:tcPr>
          <w:p w14:paraId="2229FEB1">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7.5%</w:t>
            </w:r>
          </w:p>
        </w:tc>
        <w:tc>
          <w:tcPr>
            <w:tcW w:w="890" w:type="dxa"/>
            <w:vMerge w:val="restart"/>
            <w:shd w:val="clear" w:color="auto" w:fill="FFFFFF"/>
            <w:noWrap/>
            <w:tcMar>
              <w:top w:w="15" w:type="dxa"/>
              <w:left w:w="15" w:type="dxa"/>
              <w:right w:w="15" w:type="dxa"/>
            </w:tcMar>
            <w:vAlign w:val="center"/>
          </w:tcPr>
          <w:p w14:paraId="62B829D8">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科工信局</w:t>
            </w:r>
          </w:p>
        </w:tc>
      </w:tr>
      <w:tr w14:paraId="24E6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rPr>
        <w:tc>
          <w:tcPr>
            <w:tcW w:w="737" w:type="dxa"/>
            <w:vMerge w:val="continue"/>
            <w:shd w:val="clear" w:color="auto" w:fill="FFFFFF"/>
            <w:noWrap/>
            <w:tcMar>
              <w:top w:w="15" w:type="dxa"/>
              <w:left w:w="15" w:type="dxa"/>
              <w:right w:w="15" w:type="dxa"/>
            </w:tcMar>
            <w:vAlign w:val="center"/>
          </w:tcPr>
          <w:p w14:paraId="55690317">
            <w:pPr>
              <w:keepNext w:val="0"/>
              <w:keepLines w:val="0"/>
              <w:pageBreakBefore w:val="0"/>
              <w:widowControl w:val="0"/>
              <w:kinsoku/>
              <w:wordWrap/>
              <w:overflowPunct/>
              <w:topLinePunct w:val="0"/>
              <w:autoSpaceDE/>
              <w:autoSpaceDN/>
              <w:bidi w:val="0"/>
              <w:adjustRightInd/>
              <w:snapToGrid/>
              <w:spacing w:line="400" w:lineRule="exact"/>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47D8B325">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3537" w:type="dxa"/>
            <w:shd w:val="clear" w:color="auto" w:fill="FFFFFF"/>
            <w:tcMar>
              <w:top w:w="15" w:type="dxa"/>
              <w:left w:w="15" w:type="dxa"/>
              <w:right w:w="15" w:type="dxa"/>
            </w:tcMar>
            <w:vAlign w:val="center"/>
          </w:tcPr>
          <w:p w14:paraId="124B823B">
            <w:pPr>
              <w:keepNext w:val="0"/>
              <w:keepLines w:val="0"/>
              <w:pageBreakBefore w:val="0"/>
              <w:widowControl w:val="0"/>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规模工业增加值(亿元)</w:t>
            </w:r>
          </w:p>
        </w:tc>
        <w:tc>
          <w:tcPr>
            <w:tcW w:w="872" w:type="dxa"/>
            <w:shd w:val="clear" w:color="auto" w:fill="FFFFFF"/>
            <w:tcMar>
              <w:top w:w="15" w:type="dxa"/>
              <w:left w:w="15" w:type="dxa"/>
              <w:right w:w="15" w:type="dxa"/>
            </w:tcMar>
            <w:vAlign w:val="center"/>
          </w:tcPr>
          <w:p w14:paraId="34DCF778">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0CA0A38B">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19.88</w:t>
            </w:r>
          </w:p>
        </w:tc>
        <w:tc>
          <w:tcPr>
            <w:tcW w:w="712" w:type="dxa"/>
            <w:shd w:val="clear" w:color="auto" w:fill="FFFFFF"/>
            <w:noWrap/>
            <w:tcMar>
              <w:top w:w="15" w:type="dxa"/>
              <w:left w:w="15" w:type="dxa"/>
              <w:right w:w="15" w:type="dxa"/>
            </w:tcMar>
            <w:vAlign w:val="center"/>
          </w:tcPr>
          <w:p w14:paraId="62EC98B1">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w:t>
            </w:r>
          </w:p>
        </w:tc>
        <w:tc>
          <w:tcPr>
            <w:tcW w:w="1209" w:type="dxa"/>
            <w:shd w:val="clear" w:color="auto" w:fill="FFFFFF"/>
            <w:noWrap/>
            <w:tcMar>
              <w:top w:w="15" w:type="dxa"/>
              <w:left w:w="15" w:type="dxa"/>
              <w:right w:w="15" w:type="dxa"/>
            </w:tcMar>
            <w:vAlign w:val="center"/>
          </w:tcPr>
          <w:p w14:paraId="7FE657C6">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7.5%</w:t>
            </w:r>
          </w:p>
        </w:tc>
        <w:tc>
          <w:tcPr>
            <w:tcW w:w="890" w:type="dxa"/>
            <w:vMerge w:val="continue"/>
            <w:shd w:val="clear" w:color="auto" w:fill="FFFFFF"/>
            <w:noWrap/>
            <w:tcMar>
              <w:top w:w="15" w:type="dxa"/>
              <w:left w:w="15" w:type="dxa"/>
              <w:right w:w="15" w:type="dxa"/>
            </w:tcMar>
            <w:vAlign w:val="center"/>
          </w:tcPr>
          <w:p w14:paraId="2582B67D">
            <w:pPr>
              <w:keepNext w:val="0"/>
              <w:keepLines w:val="0"/>
              <w:pageBreakBefore w:val="0"/>
              <w:widowControl w:val="0"/>
              <w:kinsoku/>
              <w:wordWrap/>
              <w:overflowPunct/>
              <w:topLinePunct w:val="0"/>
              <w:autoSpaceDE/>
              <w:autoSpaceDN/>
              <w:bidi w:val="0"/>
              <w:adjustRightInd/>
              <w:snapToGrid/>
              <w:spacing w:line="400" w:lineRule="exact"/>
              <w:jc w:val="center"/>
              <w:rPr>
                <w:rFonts w:hint="eastAsia" w:ascii="宋体" w:hAnsi="宋体" w:eastAsia="宋体" w:cs="宋体"/>
                <w:i w:val="0"/>
                <w:color w:val="auto"/>
                <w:sz w:val="20"/>
                <w:szCs w:val="20"/>
                <w:highlight w:val="none"/>
                <w:u w:val="none"/>
              </w:rPr>
            </w:pPr>
          </w:p>
        </w:tc>
      </w:tr>
      <w:tr w14:paraId="7879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rPr>
        <w:tc>
          <w:tcPr>
            <w:tcW w:w="737" w:type="dxa"/>
            <w:vMerge w:val="continue"/>
            <w:shd w:val="clear" w:color="auto" w:fill="FFFFFF"/>
            <w:noWrap/>
            <w:tcMar>
              <w:top w:w="15" w:type="dxa"/>
              <w:left w:w="15" w:type="dxa"/>
              <w:right w:w="15" w:type="dxa"/>
            </w:tcMar>
            <w:vAlign w:val="center"/>
          </w:tcPr>
          <w:p w14:paraId="040A6F13">
            <w:pPr>
              <w:keepNext w:val="0"/>
              <w:keepLines w:val="0"/>
              <w:pageBreakBefore w:val="0"/>
              <w:widowControl w:val="0"/>
              <w:kinsoku/>
              <w:wordWrap/>
              <w:overflowPunct/>
              <w:topLinePunct w:val="0"/>
              <w:autoSpaceDE/>
              <w:autoSpaceDN/>
              <w:bidi w:val="0"/>
              <w:adjustRightInd/>
              <w:snapToGrid/>
              <w:spacing w:line="400" w:lineRule="exact"/>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3873A860">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537" w:type="dxa"/>
            <w:shd w:val="clear" w:color="auto" w:fill="FFFFFF"/>
            <w:tcMar>
              <w:top w:w="15" w:type="dxa"/>
              <w:left w:w="15" w:type="dxa"/>
              <w:right w:w="15" w:type="dxa"/>
            </w:tcMar>
            <w:vAlign w:val="center"/>
          </w:tcPr>
          <w:p w14:paraId="689D19F0">
            <w:pPr>
              <w:keepNext w:val="0"/>
              <w:keepLines w:val="0"/>
              <w:pageBreakBefore w:val="0"/>
              <w:widowControl w:val="0"/>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税收占GDP比重(%)</w:t>
            </w:r>
          </w:p>
        </w:tc>
        <w:tc>
          <w:tcPr>
            <w:tcW w:w="872" w:type="dxa"/>
            <w:shd w:val="clear" w:color="auto" w:fill="FFFFFF"/>
            <w:tcMar>
              <w:top w:w="15" w:type="dxa"/>
              <w:left w:w="15" w:type="dxa"/>
              <w:right w:w="15" w:type="dxa"/>
            </w:tcMar>
            <w:vAlign w:val="center"/>
          </w:tcPr>
          <w:p w14:paraId="1805D9EB">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7C2F9DE2">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12" w:type="dxa"/>
            <w:shd w:val="clear" w:color="auto" w:fill="FFFFFF"/>
            <w:noWrap/>
            <w:tcMar>
              <w:top w:w="15" w:type="dxa"/>
              <w:left w:w="15" w:type="dxa"/>
              <w:right w:w="15" w:type="dxa"/>
            </w:tcMar>
            <w:vAlign w:val="center"/>
          </w:tcPr>
          <w:p w14:paraId="17FDE2B2">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4.8</w:t>
            </w:r>
          </w:p>
        </w:tc>
        <w:tc>
          <w:tcPr>
            <w:tcW w:w="1209" w:type="dxa"/>
            <w:shd w:val="clear" w:color="auto" w:fill="FFFFFF"/>
            <w:noWrap/>
            <w:tcMar>
              <w:top w:w="15" w:type="dxa"/>
              <w:left w:w="15" w:type="dxa"/>
              <w:right w:w="15" w:type="dxa"/>
            </w:tcMar>
            <w:vAlign w:val="center"/>
          </w:tcPr>
          <w:p w14:paraId="0318FA80">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890" w:type="dxa"/>
            <w:vMerge w:val="restart"/>
            <w:shd w:val="clear" w:color="auto" w:fill="FFFFFF"/>
            <w:noWrap/>
            <w:tcMar>
              <w:top w:w="15" w:type="dxa"/>
              <w:left w:w="15" w:type="dxa"/>
              <w:right w:w="15" w:type="dxa"/>
            </w:tcMar>
            <w:vAlign w:val="center"/>
          </w:tcPr>
          <w:p w14:paraId="231369DD">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财政局</w:t>
            </w:r>
          </w:p>
        </w:tc>
      </w:tr>
      <w:tr w14:paraId="0541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noWrap/>
            <w:tcMar>
              <w:top w:w="15" w:type="dxa"/>
              <w:left w:w="15" w:type="dxa"/>
              <w:right w:w="15" w:type="dxa"/>
            </w:tcMar>
            <w:vAlign w:val="center"/>
          </w:tcPr>
          <w:p w14:paraId="2540D81F">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5D3900E4">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3537" w:type="dxa"/>
            <w:shd w:val="clear" w:color="auto" w:fill="FFFFFF"/>
            <w:tcMar>
              <w:top w:w="15" w:type="dxa"/>
              <w:left w:w="15" w:type="dxa"/>
              <w:right w:w="15" w:type="dxa"/>
            </w:tcMar>
            <w:vAlign w:val="center"/>
          </w:tcPr>
          <w:p w14:paraId="6FC3FE50">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一般公共预算收入（万元）</w:t>
            </w:r>
          </w:p>
        </w:tc>
        <w:tc>
          <w:tcPr>
            <w:tcW w:w="872" w:type="dxa"/>
            <w:shd w:val="clear" w:color="auto" w:fill="FFFFFF"/>
            <w:tcMar>
              <w:top w:w="15" w:type="dxa"/>
              <w:left w:w="15" w:type="dxa"/>
              <w:right w:w="15" w:type="dxa"/>
            </w:tcMar>
            <w:vAlign w:val="center"/>
          </w:tcPr>
          <w:p w14:paraId="5DEA540C">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75673E85">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75839</w:t>
            </w:r>
          </w:p>
        </w:tc>
        <w:tc>
          <w:tcPr>
            <w:tcW w:w="712" w:type="dxa"/>
            <w:shd w:val="clear" w:color="auto" w:fill="FFFFFF"/>
            <w:noWrap/>
            <w:tcMar>
              <w:top w:w="15" w:type="dxa"/>
              <w:left w:w="15" w:type="dxa"/>
              <w:right w:w="15" w:type="dxa"/>
            </w:tcMar>
            <w:vAlign w:val="center"/>
          </w:tcPr>
          <w:p w14:paraId="464EB9F1">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98895</w:t>
            </w:r>
          </w:p>
        </w:tc>
        <w:tc>
          <w:tcPr>
            <w:tcW w:w="1209" w:type="dxa"/>
            <w:shd w:val="clear" w:color="auto" w:fill="FFFFFF"/>
            <w:noWrap/>
            <w:tcMar>
              <w:top w:w="15" w:type="dxa"/>
              <w:left w:w="15" w:type="dxa"/>
              <w:right w:w="15" w:type="dxa"/>
            </w:tcMar>
            <w:vAlign w:val="center"/>
          </w:tcPr>
          <w:p w14:paraId="1B57814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890" w:type="dxa"/>
            <w:vMerge w:val="continue"/>
            <w:shd w:val="clear" w:color="auto" w:fill="FFFFFF"/>
            <w:noWrap/>
            <w:tcMar>
              <w:top w:w="15" w:type="dxa"/>
              <w:left w:w="15" w:type="dxa"/>
              <w:right w:w="15" w:type="dxa"/>
            </w:tcMar>
            <w:vAlign w:val="center"/>
          </w:tcPr>
          <w:p w14:paraId="47C4A788">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6949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noWrap/>
            <w:tcMar>
              <w:top w:w="15" w:type="dxa"/>
              <w:left w:w="15" w:type="dxa"/>
              <w:right w:w="15" w:type="dxa"/>
            </w:tcMar>
            <w:vAlign w:val="center"/>
          </w:tcPr>
          <w:p w14:paraId="02894C1E">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55AEDF25">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3537" w:type="dxa"/>
            <w:shd w:val="clear" w:color="auto" w:fill="FFFFFF"/>
            <w:tcMar>
              <w:top w:w="15" w:type="dxa"/>
              <w:left w:w="15" w:type="dxa"/>
              <w:right w:w="15" w:type="dxa"/>
            </w:tcMar>
            <w:vAlign w:val="center"/>
          </w:tcPr>
          <w:p w14:paraId="6C83589D">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固定资产投资(亿元)</w:t>
            </w:r>
          </w:p>
        </w:tc>
        <w:tc>
          <w:tcPr>
            <w:tcW w:w="872" w:type="dxa"/>
            <w:shd w:val="clear" w:color="auto" w:fill="FFFFFF"/>
            <w:tcMar>
              <w:top w:w="15" w:type="dxa"/>
              <w:left w:w="15" w:type="dxa"/>
              <w:right w:w="15" w:type="dxa"/>
            </w:tcMar>
            <w:vAlign w:val="center"/>
          </w:tcPr>
          <w:p w14:paraId="72F6C3F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1E545F1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170</w:t>
            </w:r>
          </w:p>
        </w:tc>
        <w:tc>
          <w:tcPr>
            <w:tcW w:w="712" w:type="dxa"/>
            <w:shd w:val="clear" w:color="auto" w:fill="FFFFFF"/>
            <w:noWrap/>
            <w:tcMar>
              <w:top w:w="15" w:type="dxa"/>
              <w:left w:w="15" w:type="dxa"/>
              <w:right w:w="15" w:type="dxa"/>
            </w:tcMar>
            <w:vAlign w:val="center"/>
          </w:tcPr>
          <w:p w14:paraId="1F3A0233">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260</w:t>
            </w:r>
          </w:p>
        </w:tc>
        <w:tc>
          <w:tcPr>
            <w:tcW w:w="1209" w:type="dxa"/>
            <w:shd w:val="clear" w:color="auto" w:fill="FFFFFF"/>
            <w:noWrap/>
            <w:tcMar>
              <w:top w:w="15" w:type="dxa"/>
              <w:left w:w="15" w:type="dxa"/>
              <w:right w:w="15" w:type="dxa"/>
            </w:tcMar>
            <w:vAlign w:val="center"/>
          </w:tcPr>
          <w:p w14:paraId="32B059B2">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890" w:type="dxa"/>
            <w:vMerge w:val="restart"/>
            <w:shd w:val="clear" w:color="auto" w:fill="FFFFFF"/>
            <w:noWrap/>
            <w:tcMar>
              <w:top w:w="15" w:type="dxa"/>
              <w:left w:w="15" w:type="dxa"/>
              <w:right w:w="15" w:type="dxa"/>
            </w:tcMar>
            <w:vAlign w:val="center"/>
          </w:tcPr>
          <w:p w14:paraId="0932D0C9">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发改局</w:t>
            </w:r>
          </w:p>
        </w:tc>
      </w:tr>
      <w:tr w14:paraId="6CBD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noWrap/>
            <w:tcMar>
              <w:top w:w="15" w:type="dxa"/>
              <w:left w:w="15" w:type="dxa"/>
              <w:right w:w="15" w:type="dxa"/>
            </w:tcMar>
            <w:vAlign w:val="center"/>
          </w:tcPr>
          <w:p w14:paraId="00DA0185">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1AA4BBCD">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3537" w:type="dxa"/>
            <w:shd w:val="clear" w:color="auto" w:fill="FFFFFF"/>
            <w:tcMar>
              <w:top w:w="15" w:type="dxa"/>
              <w:left w:w="15" w:type="dxa"/>
              <w:right w:w="15" w:type="dxa"/>
            </w:tcMar>
            <w:vAlign w:val="center"/>
          </w:tcPr>
          <w:p w14:paraId="12E31E17">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产业投资占固定资产投资比重（%）</w:t>
            </w:r>
          </w:p>
        </w:tc>
        <w:tc>
          <w:tcPr>
            <w:tcW w:w="872" w:type="dxa"/>
            <w:shd w:val="clear" w:color="auto" w:fill="FFFFFF"/>
            <w:tcMar>
              <w:top w:w="15" w:type="dxa"/>
              <w:left w:w="15" w:type="dxa"/>
              <w:right w:w="15" w:type="dxa"/>
            </w:tcMar>
            <w:vAlign w:val="center"/>
          </w:tcPr>
          <w:p w14:paraId="5D8E78EF">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36EEB459">
            <w:pPr>
              <w:pageBreakBefore w:val="0"/>
              <w:widowControl w:val="0"/>
              <w:kinsoku/>
              <w:wordWrap/>
              <w:overflowPunct/>
              <w:bidi w:val="0"/>
              <w:jc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58</w:t>
            </w:r>
          </w:p>
        </w:tc>
        <w:tc>
          <w:tcPr>
            <w:tcW w:w="712" w:type="dxa"/>
            <w:shd w:val="clear" w:color="auto" w:fill="FFFFFF"/>
            <w:noWrap/>
            <w:tcMar>
              <w:top w:w="15" w:type="dxa"/>
              <w:left w:w="15" w:type="dxa"/>
              <w:right w:w="15" w:type="dxa"/>
            </w:tcMar>
            <w:vAlign w:val="center"/>
          </w:tcPr>
          <w:p w14:paraId="51E31DE7">
            <w:pPr>
              <w:pageBreakBefore w:val="0"/>
              <w:widowControl w:val="0"/>
              <w:kinsoku/>
              <w:wordWrap/>
              <w:overflowPunct/>
              <w:bidi w:val="0"/>
              <w:jc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62</w:t>
            </w:r>
          </w:p>
        </w:tc>
        <w:tc>
          <w:tcPr>
            <w:tcW w:w="1209" w:type="dxa"/>
            <w:shd w:val="clear" w:color="auto" w:fill="FFFFFF"/>
            <w:noWrap/>
            <w:tcMar>
              <w:top w:w="15" w:type="dxa"/>
              <w:left w:w="15" w:type="dxa"/>
              <w:right w:w="15" w:type="dxa"/>
            </w:tcMar>
            <w:vAlign w:val="center"/>
          </w:tcPr>
          <w:p w14:paraId="40F016FA">
            <w:pPr>
              <w:pageBreakBefore w:val="0"/>
              <w:widowControl w:val="0"/>
              <w:kinsoku/>
              <w:wordWrap/>
              <w:overflowPunct/>
              <w:bidi w:val="0"/>
              <w:jc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1.3%</w:t>
            </w:r>
          </w:p>
        </w:tc>
        <w:tc>
          <w:tcPr>
            <w:tcW w:w="890" w:type="dxa"/>
            <w:vMerge w:val="continue"/>
            <w:shd w:val="clear" w:color="auto" w:fill="FFFFFF"/>
            <w:noWrap/>
            <w:tcMar>
              <w:top w:w="15" w:type="dxa"/>
              <w:left w:w="15" w:type="dxa"/>
              <w:right w:w="15" w:type="dxa"/>
            </w:tcMar>
            <w:vAlign w:val="center"/>
          </w:tcPr>
          <w:p w14:paraId="6BC9FB59">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3707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restart"/>
            <w:shd w:val="clear" w:color="auto" w:fill="FFFFFF"/>
            <w:noWrap/>
            <w:tcMar>
              <w:top w:w="15" w:type="dxa"/>
              <w:left w:w="15" w:type="dxa"/>
              <w:right w:w="15" w:type="dxa"/>
            </w:tcMar>
            <w:vAlign w:val="center"/>
          </w:tcPr>
          <w:p w14:paraId="0D27902A">
            <w:pPr>
              <w:pageBreakBefore w:val="0"/>
              <w:widowControl w:val="0"/>
              <w:kinsoku/>
              <w:wordWrap/>
              <w:overflowPunct/>
              <w:bidi w:val="0"/>
              <w:jc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sz w:val="20"/>
                <w:szCs w:val="20"/>
                <w:highlight w:val="none"/>
                <w:u w:val="none"/>
                <w:lang w:eastAsia="zh-CN"/>
              </w:rPr>
              <w:t>经</w:t>
            </w:r>
          </w:p>
          <w:p w14:paraId="626995E9">
            <w:pPr>
              <w:pageBreakBefore w:val="0"/>
              <w:widowControl w:val="0"/>
              <w:kinsoku/>
              <w:wordWrap/>
              <w:overflowPunct/>
              <w:bidi w:val="0"/>
              <w:jc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sz w:val="20"/>
                <w:szCs w:val="20"/>
                <w:highlight w:val="none"/>
                <w:u w:val="none"/>
                <w:lang w:eastAsia="zh-CN"/>
              </w:rPr>
              <w:t>济</w:t>
            </w:r>
          </w:p>
          <w:p w14:paraId="0BC387E0">
            <w:pPr>
              <w:pageBreakBefore w:val="0"/>
              <w:widowControl w:val="0"/>
              <w:kinsoku/>
              <w:wordWrap/>
              <w:overflowPunct/>
              <w:bidi w:val="0"/>
              <w:jc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sz w:val="20"/>
                <w:szCs w:val="20"/>
                <w:highlight w:val="none"/>
                <w:u w:val="none"/>
                <w:lang w:eastAsia="zh-CN"/>
              </w:rPr>
              <w:t>发</w:t>
            </w:r>
          </w:p>
          <w:p w14:paraId="3576F124">
            <w:pPr>
              <w:pageBreakBefore w:val="0"/>
              <w:widowControl w:val="0"/>
              <w:kinsoku/>
              <w:wordWrap/>
              <w:overflowPunct/>
              <w:bidi w:val="0"/>
              <w:jc w:val="center"/>
              <w:rPr>
                <w:rFonts w:hint="eastAsia" w:ascii="宋体" w:hAnsi="宋体" w:eastAsia="宋体" w:cs="宋体"/>
                <w:i w:val="0"/>
                <w:color w:val="auto"/>
                <w:sz w:val="20"/>
                <w:szCs w:val="20"/>
                <w:highlight w:val="none"/>
                <w:u w:val="none"/>
                <w:lang w:eastAsia="zh-CN"/>
              </w:rPr>
            </w:pPr>
            <w:r>
              <w:rPr>
                <w:rFonts w:hint="eastAsia" w:ascii="宋体" w:hAnsi="宋体" w:eastAsia="宋体" w:cs="宋体"/>
                <w:i w:val="0"/>
                <w:color w:val="auto"/>
                <w:sz w:val="20"/>
                <w:szCs w:val="20"/>
                <w:highlight w:val="none"/>
                <w:u w:val="none"/>
                <w:lang w:eastAsia="zh-CN"/>
              </w:rPr>
              <w:t>展</w:t>
            </w:r>
          </w:p>
        </w:tc>
        <w:tc>
          <w:tcPr>
            <w:tcW w:w="406" w:type="dxa"/>
            <w:shd w:val="clear" w:color="auto" w:fill="FFFFFF"/>
            <w:tcMar>
              <w:top w:w="15" w:type="dxa"/>
              <w:left w:w="15" w:type="dxa"/>
              <w:right w:w="15" w:type="dxa"/>
            </w:tcMar>
            <w:vAlign w:val="center"/>
          </w:tcPr>
          <w:p w14:paraId="6DE7A0A6">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3537" w:type="dxa"/>
            <w:shd w:val="clear" w:color="auto" w:fill="FFFFFF"/>
            <w:tcMar>
              <w:top w:w="15" w:type="dxa"/>
              <w:left w:w="15" w:type="dxa"/>
              <w:right w:w="15" w:type="dxa"/>
            </w:tcMar>
            <w:vAlign w:val="center"/>
          </w:tcPr>
          <w:p w14:paraId="63BBC86D">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社会消费品零售总额(亿元)</w:t>
            </w:r>
          </w:p>
        </w:tc>
        <w:tc>
          <w:tcPr>
            <w:tcW w:w="872" w:type="dxa"/>
            <w:shd w:val="clear" w:color="auto" w:fill="FFFFFF"/>
            <w:tcMar>
              <w:top w:w="15" w:type="dxa"/>
              <w:left w:w="15" w:type="dxa"/>
              <w:right w:w="15" w:type="dxa"/>
            </w:tcMar>
            <w:vAlign w:val="center"/>
          </w:tcPr>
          <w:p w14:paraId="7181106C">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58823891">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83</w:t>
            </w:r>
          </w:p>
        </w:tc>
        <w:tc>
          <w:tcPr>
            <w:tcW w:w="712" w:type="dxa"/>
            <w:shd w:val="clear" w:color="auto" w:fill="FFFFFF"/>
            <w:noWrap/>
            <w:tcMar>
              <w:top w:w="15" w:type="dxa"/>
              <w:left w:w="15" w:type="dxa"/>
              <w:right w:w="15" w:type="dxa"/>
            </w:tcMar>
            <w:vAlign w:val="center"/>
          </w:tcPr>
          <w:p w14:paraId="039DDB5C">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170</w:t>
            </w:r>
          </w:p>
        </w:tc>
        <w:tc>
          <w:tcPr>
            <w:tcW w:w="1209" w:type="dxa"/>
            <w:shd w:val="clear" w:color="auto" w:fill="FFFFFF"/>
            <w:noWrap/>
            <w:tcMar>
              <w:top w:w="15" w:type="dxa"/>
              <w:left w:w="15" w:type="dxa"/>
              <w:right w:w="15" w:type="dxa"/>
            </w:tcMar>
            <w:vAlign w:val="center"/>
          </w:tcPr>
          <w:p w14:paraId="3A9402AD">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890" w:type="dxa"/>
            <w:shd w:val="clear" w:color="auto" w:fill="FFFFFF"/>
            <w:noWrap/>
            <w:tcMar>
              <w:top w:w="15" w:type="dxa"/>
              <w:left w:w="15" w:type="dxa"/>
              <w:right w:w="15" w:type="dxa"/>
            </w:tcMar>
            <w:vAlign w:val="center"/>
          </w:tcPr>
          <w:p w14:paraId="195861A5">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商务局</w:t>
            </w:r>
          </w:p>
        </w:tc>
      </w:tr>
      <w:tr w14:paraId="3E40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noWrap/>
            <w:tcMar>
              <w:top w:w="15" w:type="dxa"/>
              <w:left w:w="15" w:type="dxa"/>
              <w:right w:w="15" w:type="dxa"/>
            </w:tcMar>
            <w:vAlign w:val="center"/>
          </w:tcPr>
          <w:p w14:paraId="00AA899C">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02C7494D">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3537" w:type="dxa"/>
            <w:shd w:val="clear" w:color="auto" w:fill="FFFFFF"/>
            <w:tcMar>
              <w:top w:w="15" w:type="dxa"/>
              <w:left w:w="15" w:type="dxa"/>
              <w:right w:w="15" w:type="dxa"/>
            </w:tcMar>
            <w:vAlign w:val="center"/>
          </w:tcPr>
          <w:p w14:paraId="46E364F6">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进出口总额(万美元)</w:t>
            </w:r>
          </w:p>
        </w:tc>
        <w:tc>
          <w:tcPr>
            <w:tcW w:w="872" w:type="dxa"/>
            <w:shd w:val="clear" w:color="auto" w:fill="FFFFFF"/>
            <w:tcMar>
              <w:top w:w="15" w:type="dxa"/>
              <w:left w:w="15" w:type="dxa"/>
              <w:right w:w="15" w:type="dxa"/>
            </w:tcMar>
            <w:vAlign w:val="center"/>
          </w:tcPr>
          <w:p w14:paraId="27B5C8D6">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627F29D4">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2160</w:t>
            </w:r>
          </w:p>
        </w:tc>
        <w:tc>
          <w:tcPr>
            <w:tcW w:w="712" w:type="dxa"/>
            <w:shd w:val="clear" w:color="auto" w:fill="FFFFFF"/>
            <w:noWrap/>
            <w:tcMar>
              <w:top w:w="15" w:type="dxa"/>
              <w:left w:w="15" w:type="dxa"/>
              <w:right w:w="15" w:type="dxa"/>
            </w:tcMar>
            <w:vAlign w:val="center"/>
          </w:tcPr>
          <w:p w14:paraId="6E415FB0">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4430</w:t>
            </w:r>
          </w:p>
        </w:tc>
        <w:tc>
          <w:tcPr>
            <w:tcW w:w="1209" w:type="dxa"/>
            <w:shd w:val="clear" w:color="auto" w:fill="FFFFFF"/>
            <w:noWrap/>
            <w:tcMar>
              <w:top w:w="15" w:type="dxa"/>
              <w:left w:w="15" w:type="dxa"/>
              <w:right w:w="15" w:type="dxa"/>
            </w:tcMar>
            <w:vAlign w:val="center"/>
          </w:tcPr>
          <w:p w14:paraId="5EFC71C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890" w:type="dxa"/>
            <w:vMerge w:val="restart"/>
            <w:shd w:val="clear" w:color="auto" w:fill="FFFFFF"/>
            <w:noWrap/>
            <w:tcMar>
              <w:top w:w="15" w:type="dxa"/>
              <w:left w:w="15" w:type="dxa"/>
              <w:right w:w="15" w:type="dxa"/>
            </w:tcMar>
            <w:vAlign w:val="center"/>
          </w:tcPr>
          <w:p w14:paraId="2086164B">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商务局</w:t>
            </w:r>
          </w:p>
          <w:p w14:paraId="6DD435BF">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商务局</w:t>
            </w:r>
          </w:p>
        </w:tc>
      </w:tr>
      <w:tr w14:paraId="2B55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trPr>
        <w:tc>
          <w:tcPr>
            <w:tcW w:w="737" w:type="dxa"/>
            <w:vMerge w:val="continue"/>
            <w:shd w:val="clear" w:color="auto" w:fill="FFFFFF"/>
            <w:noWrap/>
            <w:tcMar>
              <w:top w:w="15" w:type="dxa"/>
              <w:left w:w="15" w:type="dxa"/>
              <w:right w:w="15" w:type="dxa"/>
            </w:tcMar>
            <w:vAlign w:val="center"/>
          </w:tcPr>
          <w:p w14:paraId="6A483DE2">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6441473B">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10</w:t>
            </w:r>
          </w:p>
        </w:tc>
        <w:tc>
          <w:tcPr>
            <w:tcW w:w="3537" w:type="dxa"/>
            <w:shd w:val="clear" w:color="auto" w:fill="FFFFFF"/>
            <w:tcMar>
              <w:top w:w="15" w:type="dxa"/>
              <w:left w:w="15" w:type="dxa"/>
              <w:right w:w="15" w:type="dxa"/>
            </w:tcMar>
            <w:vAlign w:val="center"/>
          </w:tcPr>
          <w:p w14:paraId="7D8029F9">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人均货物和服务贸易总额（元）</w:t>
            </w:r>
          </w:p>
        </w:tc>
        <w:tc>
          <w:tcPr>
            <w:tcW w:w="872" w:type="dxa"/>
            <w:shd w:val="clear" w:color="auto" w:fill="FFFFFF"/>
            <w:tcMar>
              <w:top w:w="15" w:type="dxa"/>
              <w:left w:w="15" w:type="dxa"/>
              <w:right w:w="15" w:type="dxa"/>
            </w:tcMar>
            <w:vAlign w:val="center"/>
          </w:tcPr>
          <w:p w14:paraId="3DA3F4C7">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3CC70243">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180</w:t>
            </w:r>
          </w:p>
        </w:tc>
        <w:tc>
          <w:tcPr>
            <w:tcW w:w="712" w:type="dxa"/>
            <w:shd w:val="clear" w:color="auto" w:fill="FFFFFF"/>
            <w:noWrap/>
            <w:tcMar>
              <w:top w:w="15" w:type="dxa"/>
              <w:left w:w="15" w:type="dxa"/>
              <w:right w:w="15" w:type="dxa"/>
            </w:tcMar>
            <w:vAlign w:val="center"/>
          </w:tcPr>
          <w:p w14:paraId="33BE738B">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350</w:t>
            </w:r>
          </w:p>
        </w:tc>
        <w:tc>
          <w:tcPr>
            <w:tcW w:w="1209" w:type="dxa"/>
            <w:shd w:val="clear" w:color="auto" w:fill="FFFFFF"/>
            <w:noWrap/>
            <w:tcMar>
              <w:top w:w="15" w:type="dxa"/>
              <w:left w:w="15" w:type="dxa"/>
              <w:right w:w="15" w:type="dxa"/>
            </w:tcMar>
            <w:vAlign w:val="center"/>
          </w:tcPr>
          <w:p w14:paraId="6D3B8D3F">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890" w:type="dxa"/>
            <w:vMerge w:val="continue"/>
            <w:shd w:val="clear" w:color="auto" w:fill="FFFFFF"/>
            <w:noWrap/>
            <w:tcMar>
              <w:top w:w="15" w:type="dxa"/>
              <w:left w:w="15" w:type="dxa"/>
              <w:right w:w="15" w:type="dxa"/>
            </w:tcMar>
            <w:vAlign w:val="center"/>
          </w:tcPr>
          <w:p w14:paraId="3CB6CE8E">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4E5D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737" w:type="dxa"/>
            <w:vMerge w:val="continue"/>
            <w:shd w:val="clear" w:color="auto" w:fill="FFFFFF"/>
            <w:noWrap/>
            <w:tcMar>
              <w:top w:w="15" w:type="dxa"/>
              <w:left w:w="15" w:type="dxa"/>
              <w:right w:w="15" w:type="dxa"/>
            </w:tcMar>
            <w:vAlign w:val="center"/>
          </w:tcPr>
          <w:p w14:paraId="128C7924">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3EADCC26">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11</w:t>
            </w:r>
          </w:p>
        </w:tc>
        <w:tc>
          <w:tcPr>
            <w:tcW w:w="3537" w:type="dxa"/>
            <w:shd w:val="clear" w:color="auto" w:fill="FFFFFF"/>
            <w:tcMar>
              <w:top w:w="15" w:type="dxa"/>
              <w:left w:w="15" w:type="dxa"/>
              <w:right w:w="15" w:type="dxa"/>
            </w:tcMar>
            <w:vAlign w:val="center"/>
          </w:tcPr>
          <w:p w14:paraId="56837AF3">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常住人口城镇化率</w:t>
            </w:r>
          </w:p>
        </w:tc>
        <w:tc>
          <w:tcPr>
            <w:tcW w:w="872" w:type="dxa"/>
            <w:shd w:val="clear" w:color="auto" w:fill="FFFFFF"/>
            <w:tcMar>
              <w:top w:w="15" w:type="dxa"/>
              <w:left w:w="15" w:type="dxa"/>
              <w:right w:w="15" w:type="dxa"/>
            </w:tcMar>
            <w:vAlign w:val="center"/>
          </w:tcPr>
          <w:p w14:paraId="00B0D4B4">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7635C78D">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45.45</w:t>
            </w:r>
          </w:p>
        </w:tc>
        <w:tc>
          <w:tcPr>
            <w:tcW w:w="712" w:type="dxa"/>
            <w:shd w:val="clear" w:color="auto" w:fill="FFFFFF"/>
            <w:noWrap/>
            <w:tcMar>
              <w:top w:w="15" w:type="dxa"/>
              <w:left w:w="15" w:type="dxa"/>
              <w:right w:w="15" w:type="dxa"/>
            </w:tcMar>
            <w:vAlign w:val="center"/>
          </w:tcPr>
          <w:p w14:paraId="7F170905">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57</w:t>
            </w:r>
          </w:p>
        </w:tc>
        <w:tc>
          <w:tcPr>
            <w:tcW w:w="1209" w:type="dxa"/>
            <w:shd w:val="clear" w:color="auto" w:fill="FFFFFF"/>
            <w:noWrap/>
            <w:tcMar>
              <w:top w:w="15" w:type="dxa"/>
              <w:left w:w="15" w:type="dxa"/>
              <w:right w:w="15" w:type="dxa"/>
            </w:tcMar>
            <w:vAlign w:val="center"/>
          </w:tcPr>
          <w:p w14:paraId="78DA1CE9">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890" w:type="dxa"/>
            <w:shd w:val="clear" w:color="auto" w:fill="FFFFFF"/>
            <w:noWrap/>
            <w:tcMar>
              <w:top w:w="15" w:type="dxa"/>
              <w:left w:w="15" w:type="dxa"/>
              <w:right w:w="15" w:type="dxa"/>
            </w:tcMar>
            <w:vAlign w:val="center"/>
          </w:tcPr>
          <w:p w14:paraId="21699120">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住建局</w:t>
            </w:r>
          </w:p>
        </w:tc>
      </w:tr>
      <w:tr w14:paraId="31A4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737" w:type="dxa"/>
            <w:vMerge w:val="continue"/>
            <w:shd w:val="clear" w:color="auto" w:fill="FFFFFF"/>
            <w:noWrap/>
            <w:tcMar>
              <w:top w:w="15" w:type="dxa"/>
              <w:left w:w="15" w:type="dxa"/>
              <w:right w:w="15" w:type="dxa"/>
            </w:tcMar>
            <w:vAlign w:val="center"/>
          </w:tcPr>
          <w:p w14:paraId="6F7308D6">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6A75F52F">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12</w:t>
            </w:r>
          </w:p>
        </w:tc>
        <w:tc>
          <w:tcPr>
            <w:tcW w:w="3537" w:type="dxa"/>
            <w:shd w:val="clear" w:color="auto" w:fill="FFFFFF"/>
            <w:tcMar>
              <w:top w:w="15" w:type="dxa"/>
              <w:left w:w="15" w:type="dxa"/>
              <w:right w:w="15" w:type="dxa"/>
            </w:tcMar>
            <w:vAlign w:val="center"/>
          </w:tcPr>
          <w:p w14:paraId="7611B296">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全员劳动生产率增长（%）</w:t>
            </w:r>
          </w:p>
        </w:tc>
        <w:tc>
          <w:tcPr>
            <w:tcW w:w="872" w:type="dxa"/>
            <w:shd w:val="clear" w:color="auto" w:fill="FFFFFF"/>
            <w:tcMar>
              <w:top w:w="15" w:type="dxa"/>
              <w:left w:w="15" w:type="dxa"/>
              <w:right w:w="15" w:type="dxa"/>
            </w:tcMar>
            <w:vAlign w:val="center"/>
          </w:tcPr>
          <w:p w14:paraId="4699982F">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7EF1715F">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712" w:type="dxa"/>
            <w:shd w:val="clear" w:color="auto" w:fill="FFFFFF"/>
            <w:noWrap/>
            <w:tcMar>
              <w:top w:w="15" w:type="dxa"/>
              <w:left w:w="15" w:type="dxa"/>
              <w:right w:w="15" w:type="dxa"/>
            </w:tcMar>
            <w:vAlign w:val="center"/>
          </w:tcPr>
          <w:p w14:paraId="4B6B6B2B">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209" w:type="dxa"/>
            <w:shd w:val="clear" w:color="auto" w:fill="FFFFFF"/>
            <w:noWrap/>
            <w:tcMar>
              <w:top w:w="15" w:type="dxa"/>
              <w:left w:w="15" w:type="dxa"/>
              <w:right w:w="15" w:type="dxa"/>
            </w:tcMar>
            <w:vAlign w:val="center"/>
          </w:tcPr>
          <w:p w14:paraId="58F7AEF2">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高于GDP增长</w:t>
            </w:r>
          </w:p>
        </w:tc>
        <w:tc>
          <w:tcPr>
            <w:tcW w:w="890" w:type="dxa"/>
            <w:shd w:val="clear" w:color="auto" w:fill="FFFFFF"/>
            <w:noWrap/>
            <w:tcMar>
              <w:top w:w="15" w:type="dxa"/>
              <w:left w:w="15" w:type="dxa"/>
              <w:right w:w="15" w:type="dxa"/>
            </w:tcMar>
            <w:vAlign w:val="center"/>
          </w:tcPr>
          <w:p w14:paraId="2EEEB359">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kern w:val="0"/>
                <w:sz w:val="20"/>
                <w:szCs w:val="20"/>
                <w:highlight w:val="none"/>
                <w:u w:val="none"/>
                <w:lang w:val="en-US" w:eastAsia="zh-CN" w:bidi="ar"/>
              </w:rPr>
            </w:pPr>
          </w:p>
        </w:tc>
      </w:tr>
      <w:tr w14:paraId="007E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restart"/>
            <w:shd w:val="clear" w:color="auto" w:fill="FFFFFF"/>
            <w:tcMar>
              <w:top w:w="15" w:type="dxa"/>
              <w:left w:w="15" w:type="dxa"/>
              <w:right w:w="15" w:type="dxa"/>
            </w:tcMar>
            <w:vAlign w:val="center"/>
          </w:tcPr>
          <w:p w14:paraId="6C624CBF">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创</w:t>
            </w:r>
          </w:p>
          <w:p w14:paraId="42A71875">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新</w:t>
            </w:r>
          </w:p>
          <w:p w14:paraId="4E08BC75">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驱</w:t>
            </w:r>
          </w:p>
          <w:p w14:paraId="06F214CE">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动</w:t>
            </w:r>
          </w:p>
        </w:tc>
        <w:tc>
          <w:tcPr>
            <w:tcW w:w="406" w:type="dxa"/>
            <w:shd w:val="clear" w:color="auto" w:fill="FFFFFF"/>
            <w:tcMar>
              <w:top w:w="15" w:type="dxa"/>
              <w:left w:w="15" w:type="dxa"/>
              <w:right w:w="15" w:type="dxa"/>
            </w:tcMar>
            <w:vAlign w:val="center"/>
          </w:tcPr>
          <w:p w14:paraId="19011819">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12</w:t>
            </w:r>
          </w:p>
        </w:tc>
        <w:tc>
          <w:tcPr>
            <w:tcW w:w="3537" w:type="dxa"/>
            <w:shd w:val="clear" w:color="auto" w:fill="FFFFFF"/>
            <w:tcMar>
              <w:top w:w="15" w:type="dxa"/>
              <w:left w:w="15" w:type="dxa"/>
              <w:right w:w="15" w:type="dxa"/>
            </w:tcMar>
            <w:vAlign w:val="center"/>
          </w:tcPr>
          <w:p w14:paraId="608390C4">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R&amp;D经费支出占GDP比重(%)</w:t>
            </w:r>
          </w:p>
        </w:tc>
        <w:tc>
          <w:tcPr>
            <w:tcW w:w="872" w:type="dxa"/>
            <w:shd w:val="clear" w:color="auto" w:fill="FFFFFF"/>
            <w:tcMar>
              <w:top w:w="15" w:type="dxa"/>
              <w:left w:w="15" w:type="dxa"/>
              <w:right w:w="15" w:type="dxa"/>
            </w:tcMar>
            <w:vAlign w:val="center"/>
          </w:tcPr>
          <w:p w14:paraId="6DC91A1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center"/>
          </w:tcPr>
          <w:p w14:paraId="17473155">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12" w:type="dxa"/>
            <w:shd w:val="clear" w:color="auto" w:fill="FFFFFF"/>
            <w:noWrap/>
            <w:tcMar>
              <w:top w:w="15" w:type="dxa"/>
              <w:left w:w="15" w:type="dxa"/>
              <w:right w:w="15" w:type="dxa"/>
            </w:tcMar>
            <w:vAlign w:val="center"/>
          </w:tcPr>
          <w:p w14:paraId="3756B539">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1209" w:type="dxa"/>
            <w:shd w:val="clear" w:color="auto" w:fill="FFFFFF"/>
            <w:noWrap/>
            <w:tcMar>
              <w:top w:w="15" w:type="dxa"/>
              <w:left w:w="15" w:type="dxa"/>
              <w:right w:w="15" w:type="dxa"/>
            </w:tcMar>
            <w:vAlign w:val="center"/>
          </w:tcPr>
          <w:p w14:paraId="54C9075F">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4.5%</w:t>
            </w:r>
          </w:p>
        </w:tc>
        <w:tc>
          <w:tcPr>
            <w:tcW w:w="890" w:type="dxa"/>
            <w:vMerge w:val="restart"/>
            <w:shd w:val="clear" w:color="auto" w:fill="FFFFFF"/>
            <w:noWrap/>
            <w:tcMar>
              <w:top w:w="15" w:type="dxa"/>
              <w:left w:w="15" w:type="dxa"/>
              <w:right w:w="15" w:type="dxa"/>
            </w:tcMar>
            <w:vAlign w:val="center"/>
          </w:tcPr>
          <w:p w14:paraId="259784A7">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科工信局</w:t>
            </w:r>
          </w:p>
        </w:tc>
      </w:tr>
      <w:tr w14:paraId="226A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50EB48AE">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1525F652">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3537" w:type="dxa"/>
            <w:shd w:val="clear" w:color="auto" w:fill="FFFFFF"/>
            <w:tcMar>
              <w:top w:w="15" w:type="dxa"/>
              <w:left w:w="15" w:type="dxa"/>
              <w:right w:w="15" w:type="dxa"/>
            </w:tcMar>
            <w:vAlign w:val="center"/>
          </w:tcPr>
          <w:p w14:paraId="4548D3FF">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每万人高价值发明专利拥有量(件)</w:t>
            </w:r>
          </w:p>
        </w:tc>
        <w:tc>
          <w:tcPr>
            <w:tcW w:w="872" w:type="dxa"/>
            <w:shd w:val="clear" w:color="auto" w:fill="FFFFFF"/>
            <w:tcMar>
              <w:top w:w="15" w:type="dxa"/>
              <w:left w:w="15" w:type="dxa"/>
              <w:right w:w="15" w:type="dxa"/>
            </w:tcMar>
            <w:vAlign w:val="center"/>
          </w:tcPr>
          <w:p w14:paraId="74271559">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2232C372">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0.25</w:t>
            </w:r>
          </w:p>
        </w:tc>
        <w:tc>
          <w:tcPr>
            <w:tcW w:w="712" w:type="dxa"/>
            <w:shd w:val="clear" w:color="auto" w:fill="FFFFFF"/>
            <w:noWrap/>
            <w:tcMar>
              <w:top w:w="15" w:type="dxa"/>
              <w:left w:w="15" w:type="dxa"/>
              <w:right w:w="15" w:type="dxa"/>
            </w:tcMar>
            <w:vAlign w:val="center"/>
          </w:tcPr>
          <w:p w14:paraId="44B3DE3F">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1209" w:type="dxa"/>
            <w:shd w:val="clear" w:color="auto" w:fill="FFFFFF"/>
            <w:noWrap/>
            <w:tcMar>
              <w:top w:w="15" w:type="dxa"/>
              <w:left w:w="15" w:type="dxa"/>
              <w:right w:w="15" w:type="dxa"/>
            </w:tcMar>
            <w:vAlign w:val="center"/>
          </w:tcPr>
          <w:p w14:paraId="60FBE198">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76%</w:t>
            </w:r>
          </w:p>
        </w:tc>
        <w:tc>
          <w:tcPr>
            <w:tcW w:w="890" w:type="dxa"/>
            <w:vMerge w:val="continue"/>
            <w:shd w:val="clear" w:color="auto" w:fill="FFFFFF"/>
            <w:noWrap/>
            <w:tcMar>
              <w:top w:w="15" w:type="dxa"/>
              <w:left w:w="15" w:type="dxa"/>
              <w:right w:w="15" w:type="dxa"/>
            </w:tcMar>
            <w:vAlign w:val="center"/>
          </w:tcPr>
          <w:p w14:paraId="7848AA26">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16D0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trPr>
        <w:tc>
          <w:tcPr>
            <w:tcW w:w="737" w:type="dxa"/>
            <w:vMerge w:val="continue"/>
            <w:shd w:val="clear" w:color="auto" w:fill="FFFFFF"/>
            <w:tcMar>
              <w:top w:w="15" w:type="dxa"/>
              <w:left w:w="15" w:type="dxa"/>
              <w:right w:w="15" w:type="dxa"/>
            </w:tcMar>
            <w:vAlign w:val="center"/>
          </w:tcPr>
          <w:p w14:paraId="48F17861">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3237DBF5">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3537" w:type="dxa"/>
            <w:shd w:val="clear" w:color="auto" w:fill="FFFFFF"/>
            <w:tcMar>
              <w:top w:w="15" w:type="dxa"/>
              <w:left w:w="15" w:type="dxa"/>
              <w:right w:w="15" w:type="dxa"/>
            </w:tcMar>
            <w:vAlign w:val="center"/>
          </w:tcPr>
          <w:p w14:paraId="22F47617">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数字经济核心产业增加值占GDP比例（%）</w:t>
            </w:r>
          </w:p>
        </w:tc>
        <w:tc>
          <w:tcPr>
            <w:tcW w:w="872" w:type="dxa"/>
            <w:shd w:val="clear" w:color="auto" w:fill="FFFFFF"/>
            <w:tcMar>
              <w:top w:w="15" w:type="dxa"/>
              <w:left w:w="15" w:type="dxa"/>
              <w:right w:w="15" w:type="dxa"/>
            </w:tcMar>
            <w:vAlign w:val="center"/>
          </w:tcPr>
          <w:p w14:paraId="4BF22A78">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3E556690">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19.5</w:t>
            </w:r>
          </w:p>
        </w:tc>
        <w:tc>
          <w:tcPr>
            <w:tcW w:w="712" w:type="dxa"/>
            <w:shd w:val="clear" w:color="auto" w:fill="FFFFFF"/>
            <w:noWrap/>
            <w:tcMar>
              <w:top w:w="15" w:type="dxa"/>
              <w:left w:w="15" w:type="dxa"/>
              <w:right w:w="15" w:type="dxa"/>
            </w:tcMar>
            <w:vAlign w:val="center"/>
          </w:tcPr>
          <w:p w14:paraId="5EBA70B1">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41</w:t>
            </w:r>
          </w:p>
        </w:tc>
        <w:tc>
          <w:tcPr>
            <w:tcW w:w="1209" w:type="dxa"/>
            <w:shd w:val="clear" w:color="auto" w:fill="FFFFFF"/>
            <w:tcMar>
              <w:top w:w="15" w:type="dxa"/>
              <w:left w:w="15" w:type="dxa"/>
              <w:right w:w="15" w:type="dxa"/>
            </w:tcMar>
            <w:vAlign w:val="center"/>
          </w:tcPr>
          <w:p w14:paraId="01C2EC3D">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890" w:type="dxa"/>
            <w:vMerge w:val="continue"/>
            <w:shd w:val="clear" w:color="auto" w:fill="FFFFFF"/>
            <w:noWrap/>
            <w:tcMar>
              <w:top w:w="15" w:type="dxa"/>
              <w:left w:w="15" w:type="dxa"/>
              <w:right w:w="15" w:type="dxa"/>
            </w:tcMar>
            <w:vAlign w:val="center"/>
          </w:tcPr>
          <w:p w14:paraId="24BAFDA5">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1052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restart"/>
            <w:shd w:val="clear" w:color="auto" w:fill="FFFFFF"/>
            <w:tcMar>
              <w:top w:w="15" w:type="dxa"/>
              <w:left w:w="15" w:type="dxa"/>
              <w:right w:w="15" w:type="dxa"/>
            </w:tcMar>
            <w:vAlign w:val="center"/>
          </w:tcPr>
          <w:p w14:paraId="02098C71">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民</w:t>
            </w:r>
          </w:p>
          <w:p w14:paraId="3F3A679A">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生</w:t>
            </w:r>
          </w:p>
          <w:p w14:paraId="27CBF9D4">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福</w:t>
            </w:r>
          </w:p>
          <w:p w14:paraId="0E3512F9">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祉</w:t>
            </w:r>
          </w:p>
        </w:tc>
        <w:tc>
          <w:tcPr>
            <w:tcW w:w="406" w:type="dxa"/>
            <w:shd w:val="clear" w:color="auto" w:fill="FFFFFF"/>
            <w:tcMar>
              <w:top w:w="15" w:type="dxa"/>
              <w:left w:w="15" w:type="dxa"/>
              <w:right w:w="15" w:type="dxa"/>
            </w:tcMar>
            <w:vAlign w:val="center"/>
          </w:tcPr>
          <w:p w14:paraId="12503B7B">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15</w:t>
            </w:r>
          </w:p>
        </w:tc>
        <w:tc>
          <w:tcPr>
            <w:tcW w:w="3537" w:type="dxa"/>
            <w:shd w:val="clear" w:color="auto" w:fill="FFFFFF"/>
            <w:tcMar>
              <w:top w:w="15" w:type="dxa"/>
              <w:left w:w="15" w:type="dxa"/>
              <w:right w:w="15" w:type="dxa"/>
            </w:tcMar>
            <w:vAlign w:val="center"/>
          </w:tcPr>
          <w:p w14:paraId="5F89C7DB">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城镇登记失业率(%)</w:t>
            </w:r>
          </w:p>
        </w:tc>
        <w:tc>
          <w:tcPr>
            <w:tcW w:w="872" w:type="dxa"/>
            <w:shd w:val="clear" w:color="auto" w:fill="FFFFFF"/>
            <w:tcMar>
              <w:top w:w="15" w:type="dxa"/>
              <w:left w:w="15" w:type="dxa"/>
              <w:right w:w="15" w:type="dxa"/>
            </w:tcMar>
            <w:vAlign w:val="center"/>
          </w:tcPr>
          <w:p w14:paraId="19FC39D7">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5EC9D00B">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4.1</w:t>
            </w:r>
          </w:p>
        </w:tc>
        <w:tc>
          <w:tcPr>
            <w:tcW w:w="712" w:type="dxa"/>
            <w:shd w:val="clear" w:color="auto" w:fill="FFFFFF"/>
            <w:noWrap/>
            <w:tcMar>
              <w:top w:w="15" w:type="dxa"/>
              <w:left w:w="15" w:type="dxa"/>
              <w:right w:w="15" w:type="dxa"/>
            </w:tcMar>
            <w:vAlign w:val="center"/>
          </w:tcPr>
          <w:p w14:paraId="62010890">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4.0</w:t>
            </w:r>
          </w:p>
        </w:tc>
        <w:tc>
          <w:tcPr>
            <w:tcW w:w="1209" w:type="dxa"/>
            <w:shd w:val="clear" w:color="auto" w:fill="FFFFFF"/>
            <w:noWrap/>
            <w:tcMar>
              <w:top w:w="15" w:type="dxa"/>
              <w:left w:w="15" w:type="dxa"/>
              <w:right w:w="15" w:type="dxa"/>
            </w:tcMar>
            <w:vAlign w:val="center"/>
          </w:tcPr>
          <w:p w14:paraId="477BA735">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890" w:type="dxa"/>
            <w:shd w:val="clear" w:color="auto" w:fill="FFFFFF"/>
            <w:noWrap/>
            <w:tcMar>
              <w:top w:w="15" w:type="dxa"/>
              <w:left w:w="15" w:type="dxa"/>
              <w:right w:w="15" w:type="dxa"/>
            </w:tcMar>
            <w:vAlign w:val="center"/>
          </w:tcPr>
          <w:p w14:paraId="3980D7F6">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人社局</w:t>
            </w:r>
          </w:p>
        </w:tc>
      </w:tr>
      <w:tr w14:paraId="349C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3C3EB5F3">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141E6FC1">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16</w:t>
            </w:r>
          </w:p>
        </w:tc>
        <w:tc>
          <w:tcPr>
            <w:tcW w:w="3537" w:type="dxa"/>
            <w:shd w:val="clear" w:color="auto" w:fill="FFFFFF"/>
            <w:tcMar>
              <w:top w:w="15" w:type="dxa"/>
              <w:left w:w="15" w:type="dxa"/>
              <w:right w:w="15" w:type="dxa"/>
            </w:tcMar>
            <w:vAlign w:val="center"/>
          </w:tcPr>
          <w:p w14:paraId="243F341E">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基本养老保险参保率（%）</w:t>
            </w:r>
          </w:p>
        </w:tc>
        <w:tc>
          <w:tcPr>
            <w:tcW w:w="872" w:type="dxa"/>
            <w:shd w:val="clear" w:color="auto" w:fill="FFFFFF"/>
            <w:tcMar>
              <w:top w:w="15" w:type="dxa"/>
              <w:left w:w="15" w:type="dxa"/>
              <w:right w:w="15" w:type="dxa"/>
            </w:tcMar>
            <w:vAlign w:val="center"/>
          </w:tcPr>
          <w:p w14:paraId="726B61F2">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24EC7AF5">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100</w:t>
            </w:r>
          </w:p>
        </w:tc>
        <w:tc>
          <w:tcPr>
            <w:tcW w:w="712" w:type="dxa"/>
            <w:shd w:val="clear" w:color="auto" w:fill="FFFFFF"/>
            <w:noWrap/>
            <w:tcMar>
              <w:top w:w="15" w:type="dxa"/>
              <w:left w:w="15" w:type="dxa"/>
              <w:right w:w="15" w:type="dxa"/>
            </w:tcMar>
            <w:vAlign w:val="center"/>
          </w:tcPr>
          <w:p w14:paraId="677BE563">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100</w:t>
            </w:r>
          </w:p>
        </w:tc>
        <w:tc>
          <w:tcPr>
            <w:tcW w:w="1209" w:type="dxa"/>
            <w:shd w:val="clear" w:color="auto" w:fill="FFFFFF"/>
            <w:noWrap/>
            <w:tcMar>
              <w:top w:w="15" w:type="dxa"/>
              <w:left w:w="15" w:type="dxa"/>
              <w:right w:w="15" w:type="dxa"/>
            </w:tcMar>
            <w:vAlign w:val="center"/>
          </w:tcPr>
          <w:p w14:paraId="79099670">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890" w:type="dxa"/>
            <w:shd w:val="clear" w:color="auto" w:fill="FFFFFF"/>
            <w:noWrap/>
            <w:tcMar>
              <w:top w:w="15" w:type="dxa"/>
              <w:left w:w="15" w:type="dxa"/>
              <w:right w:w="15" w:type="dxa"/>
            </w:tcMar>
            <w:vAlign w:val="center"/>
          </w:tcPr>
          <w:p w14:paraId="348FEA82">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人社局</w:t>
            </w:r>
          </w:p>
        </w:tc>
      </w:tr>
      <w:tr w14:paraId="5BCF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3982933E">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05BF158F">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17</w:t>
            </w:r>
          </w:p>
        </w:tc>
        <w:tc>
          <w:tcPr>
            <w:tcW w:w="3537" w:type="dxa"/>
            <w:shd w:val="clear" w:color="auto" w:fill="FFFFFF"/>
            <w:tcMar>
              <w:top w:w="15" w:type="dxa"/>
              <w:left w:w="15" w:type="dxa"/>
              <w:right w:w="15" w:type="dxa"/>
            </w:tcMar>
            <w:vAlign w:val="center"/>
          </w:tcPr>
          <w:p w14:paraId="691F6874">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劳动年龄人口平均受教育年限（年）</w:t>
            </w:r>
          </w:p>
        </w:tc>
        <w:tc>
          <w:tcPr>
            <w:tcW w:w="872" w:type="dxa"/>
            <w:shd w:val="clear" w:color="auto" w:fill="FFFFFF"/>
            <w:tcMar>
              <w:top w:w="15" w:type="dxa"/>
              <w:left w:w="15" w:type="dxa"/>
              <w:right w:w="15" w:type="dxa"/>
            </w:tcMar>
            <w:vAlign w:val="center"/>
          </w:tcPr>
          <w:p w14:paraId="6D03ACEA">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center"/>
          </w:tcPr>
          <w:p w14:paraId="66970257">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11.2</w:t>
            </w:r>
          </w:p>
        </w:tc>
        <w:tc>
          <w:tcPr>
            <w:tcW w:w="712" w:type="dxa"/>
            <w:shd w:val="clear" w:color="auto" w:fill="FFFFFF"/>
            <w:noWrap/>
            <w:tcMar>
              <w:top w:w="15" w:type="dxa"/>
              <w:left w:w="15" w:type="dxa"/>
              <w:right w:w="15" w:type="dxa"/>
            </w:tcMar>
            <w:vAlign w:val="center"/>
          </w:tcPr>
          <w:p w14:paraId="3DF44DF2">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12.1</w:t>
            </w:r>
          </w:p>
        </w:tc>
        <w:tc>
          <w:tcPr>
            <w:tcW w:w="1209" w:type="dxa"/>
            <w:shd w:val="clear" w:color="auto" w:fill="FFFFFF"/>
            <w:noWrap/>
            <w:tcMar>
              <w:top w:w="15" w:type="dxa"/>
              <w:left w:w="15" w:type="dxa"/>
              <w:right w:w="15" w:type="dxa"/>
            </w:tcMar>
            <w:vAlign w:val="center"/>
          </w:tcPr>
          <w:p w14:paraId="6A1F6FA3">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890" w:type="dxa"/>
            <w:shd w:val="clear" w:color="auto" w:fill="FFFFFF"/>
            <w:noWrap/>
            <w:tcMar>
              <w:top w:w="15" w:type="dxa"/>
              <w:left w:w="15" w:type="dxa"/>
              <w:right w:w="15" w:type="dxa"/>
            </w:tcMar>
            <w:vAlign w:val="center"/>
          </w:tcPr>
          <w:p w14:paraId="25519F1C">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教育局</w:t>
            </w:r>
          </w:p>
        </w:tc>
      </w:tr>
      <w:tr w14:paraId="0343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2D07D68B">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570E3820">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18</w:t>
            </w:r>
          </w:p>
        </w:tc>
        <w:tc>
          <w:tcPr>
            <w:tcW w:w="3537" w:type="dxa"/>
            <w:shd w:val="clear" w:color="auto" w:fill="FFFFFF"/>
            <w:tcMar>
              <w:top w:w="15" w:type="dxa"/>
              <w:left w:w="15" w:type="dxa"/>
              <w:right w:w="15" w:type="dxa"/>
            </w:tcMar>
            <w:vAlign w:val="center"/>
          </w:tcPr>
          <w:p w14:paraId="5966822E">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pacing w:val="-11"/>
                <w:kern w:val="0"/>
                <w:sz w:val="20"/>
                <w:szCs w:val="20"/>
                <w:highlight w:val="none"/>
                <w:u w:val="none"/>
                <w:lang w:val="en-US" w:eastAsia="zh-CN" w:bidi="ar"/>
              </w:rPr>
              <w:t>每千人口拥有三岁以下婴幼儿托位数（个）</w:t>
            </w:r>
          </w:p>
        </w:tc>
        <w:tc>
          <w:tcPr>
            <w:tcW w:w="872" w:type="dxa"/>
            <w:shd w:val="clear" w:color="auto" w:fill="FFFFFF"/>
            <w:tcMar>
              <w:top w:w="15" w:type="dxa"/>
              <w:left w:w="15" w:type="dxa"/>
              <w:right w:w="15" w:type="dxa"/>
            </w:tcMar>
            <w:vAlign w:val="center"/>
          </w:tcPr>
          <w:p w14:paraId="7D253F08">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5A77BCA8">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0.5</w:t>
            </w:r>
          </w:p>
        </w:tc>
        <w:tc>
          <w:tcPr>
            <w:tcW w:w="712" w:type="dxa"/>
            <w:shd w:val="clear" w:color="auto" w:fill="FFFFFF"/>
            <w:noWrap/>
            <w:tcMar>
              <w:top w:w="15" w:type="dxa"/>
              <w:left w:w="15" w:type="dxa"/>
              <w:right w:w="15" w:type="dxa"/>
            </w:tcMar>
            <w:vAlign w:val="center"/>
          </w:tcPr>
          <w:p w14:paraId="46261862">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209" w:type="dxa"/>
            <w:shd w:val="clear" w:color="auto" w:fill="FFFFFF"/>
            <w:noWrap/>
            <w:tcMar>
              <w:top w:w="15" w:type="dxa"/>
              <w:left w:w="15" w:type="dxa"/>
              <w:right w:w="15" w:type="dxa"/>
            </w:tcMar>
            <w:vAlign w:val="center"/>
          </w:tcPr>
          <w:p w14:paraId="46A050C2">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51.5%</w:t>
            </w:r>
          </w:p>
        </w:tc>
        <w:tc>
          <w:tcPr>
            <w:tcW w:w="890" w:type="dxa"/>
            <w:vMerge w:val="restart"/>
            <w:shd w:val="clear" w:color="auto" w:fill="FFFFFF"/>
            <w:noWrap/>
            <w:tcMar>
              <w:top w:w="15" w:type="dxa"/>
              <w:left w:w="15" w:type="dxa"/>
              <w:right w:w="15" w:type="dxa"/>
            </w:tcMar>
            <w:vAlign w:val="center"/>
          </w:tcPr>
          <w:p w14:paraId="06B71947">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卫健局</w:t>
            </w:r>
          </w:p>
        </w:tc>
      </w:tr>
      <w:tr w14:paraId="32F6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71F6C0B9">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10F28F0B">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19</w:t>
            </w:r>
          </w:p>
        </w:tc>
        <w:tc>
          <w:tcPr>
            <w:tcW w:w="3537" w:type="dxa"/>
            <w:shd w:val="clear" w:color="auto" w:fill="FFFFFF"/>
            <w:tcMar>
              <w:top w:w="15" w:type="dxa"/>
              <w:left w:w="15" w:type="dxa"/>
              <w:right w:w="15" w:type="dxa"/>
            </w:tcMar>
            <w:vAlign w:val="center"/>
          </w:tcPr>
          <w:p w14:paraId="60D6DFB6">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每千人拥有执业（助理）医师数(人)</w:t>
            </w:r>
          </w:p>
        </w:tc>
        <w:tc>
          <w:tcPr>
            <w:tcW w:w="872" w:type="dxa"/>
            <w:shd w:val="clear" w:color="auto" w:fill="FFFFFF"/>
            <w:tcMar>
              <w:top w:w="15" w:type="dxa"/>
              <w:left w:w="15" w:type="dxa"/>
              <w:right w:w="15" w:type="dxa"/>
            </w:tcMar>
            <w:vAlign w:val="center"/>
          </w:tcPr>
          <w:p w14:paraId="4575BD6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center"/>
          </w:tcPr>
          <w:p w14:paraId="0608D7D9">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2.02</w:t>
            </w:r>
          </w:p>
        </w:tc>
        <w:tc>
          <w:tcPr>
            <w:tcW w:w="712" w:type="dxa"/>
            <w:shd w:val="clear" w:color="auto" w:fill="FFFFFF"/>
            <w:noWrap/>
            <w:tcMar>
              <w:top w:w="15" w:type="dxa"/>
              <w:left w:w="15" w:type="dxa"/>
              <w:right w:w="15" w:type="dxa"/>
            </w:tcMar>
            <w:vAlign w:val="center"/>
          </w:tcPr>
          <w:p w14:paraId="7E158438">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2.65</w:t>
            </w:r>
          </w:p>
        </w:tc>
        <w:tc>
          <w:tcPr>
            <w:tcW w:w="1209" w:type="dxa"/>
            <w:shd w:val="clear" w:color="auto" w:fill="FFFFFF"/>
            <w:noWrap/>
            <w:tcMar>
              <w:top w:w="15" w:type="dxa"/>
              <w:left w:w="15" w:type="dxa"/>
              <w:right w:w="15" w:type="dxa"/>
            </w:tcMar>
            <w:vAlign w:val="center"/>
          </w:tcPr>
          <w:p w14:paraId="0EEACD53">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5.5%</w:t>
            </w:r>
          </w:p>
        </w:tc>
        <w:tc>
          <w:tcPr>
            <w:tcW w:w="890" w:type="dxa"/>
            <w:vMerge w:val="continue"/>
            <w:shd w:val="clear" w:color="auto" w:fill="FFFFFF"/>
            <w:noWrap/>
            <w:tcMar>
              <w:top w:w="15" w:type="dxa"/>
              <w:left w:w="15" w:type="dxa"/>
              <w:right w:w="15" w:type="dxa"/>
            </w:tcMar>
            <w:vAlign w:val="center"/>
          </w:tcPr>
          <w:p w14:paraId="24402BCF">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3AE1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0087E7D1">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29BD2C56">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3537" w:type="dxa"/>
            <w:shd w:val="clear" w:color="auto" w:fill="FFFFFF"/>
            <w:tcMar>
              <w:top w:w="15" w:type="dxa"/>
              <w:left w:w="15" w:type="dxa"/>
              <w:right w:w="15" w:type="dxa"/>
            </w:tcMar>
            <w:vAlign w:val="center"/>
          </w:tcPr>
          <w:p w14:paraId="1EC702D8">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人均预期寿命（岁）</w:t>
            </w:r>
          </w:p>
        </w:tc>
        <w:tc>
          <w:tcPr>
            <w:tcW w:w="872" w:type="dxa"/>
            <w:shd w:val="clear" w:color="auto" w:fill="FFFFFF"/>
            <w:tcMar>
              <w:top w:w="15" w:type="dxa"/>
              <w:left w:w="15" w:type="dxa"/>
              <w:right w:w="15" w:type="dxa"/>
            </w:tcMar>
            <w:vAlign w:val="center"/>
          </w:tcPr>
          <w:p w14:paraId="44525B53">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465F85BA">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76.8</w:t>
            </w:r>
          </w:p>
        </w:tc>
        <w:tc>
          <w:tcPr>
            <w:tcW w:w="712" w:type="dxa"/>
            <w:shd w:val="clear" w:color="auto" w:fill="FFFFFF"/>
            <w:noWrap/>
            <w:tcMar>
              <w:top w:w="15" w:type="dxa"/>
              <w:left w:w="15" w:type="dxa"/>
              <w:right w:w="15" w:type="dxa"/>
            </w:tcMar>
            <w:vAlign w:val="center"/>
          </w:tcPr>
          <w:p w14:paraId="712006B0">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77.8</w:t>
            </w:r>
          </w:p>
        </w:tc>
        <w:tc>
          <w:tcPr>
            <w:tcW w:w="1209" w:type="dxa"/>
            <w:shd w:val="clear" w:color="auto" w:fill="FFFFFF"/>
            <w:noWrap/>
            <w:tcMar>
              <w:top w:w="15" w:type="dxa"/>
              <w:left w:w="15" w:type="dxa"/>
              <w:right w:w="15" w:type="dxa"/>
            </w:tcMar>
            <w:vAlign w:val="center"/>
          </w:tcPr>
          <w:p w14:paraId="68456411">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0.2%</w:t>
            </w:r>
          </w:p>
        </w:tc>
        <w:tc>
          <w:tcPr>
            <w:tcW w:w="890" w:type="dxa"/>
            <w:vMerge w:val="continue"/>
            <w:shd w:val="clear" w:color="auto" w:fill="FFFFFF"/>
            <w:noWrap/>
            <w:tcMar>
              <w:top w:w="15" w:type="dxa"/>
              <w:left w:w="15" w:type="dxa"/>
              <w:right w:w="15" w:type="dxa"/>
            </w:tcMar>
            <w:vAlign w:val="center"/>
          </w:tcPr>
          <w:p w14:paraId="23F7F345">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0356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737" w:type="dxa"/>
            <w:vMerge w:val="continue"/>
            <w:shd w:val="clear" w:color="auto" w:fill="FFFFFF"/>
            <w:tcMar>
              <w:top w:w="15" w:type="dxa"/>
              <w:left w:w="15" w:type="dxa"/>
              <w:right w:w="15" w:type="dxa"/>
            </w:tcMar>
            <w:vAlign w:val="center"/>
          </w:tcPr>
          <w:p w14:paraId="12CAA2CA">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3D596BAB">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3537" w:type="dxa"/>
            <w:shd w:val="clear" w:color="auto" w:fill="FFFFFF"/>
            <w:tcMar>
              <w:top w:w="15" w:type="dxa"/>
              <w:left w:w="15" w:type="dxa"/>
              <w:right w:w="15" w:type="dxa"/>
            </w:tcMar>
            <w:vAlign w:val="center"/>
          </w:tcPr>
          <w:p w14:paraId="3D75CBBC">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居民人均可支配收入（元）</w:t>
            </w:r>
          </w:p>
        </w:tc>
        <w:tc>
          <w:tcPr>
            <w:tcW w:w="872" w:type="dxa"/>
            <w:shd w:val="clear" w:color="auto" w:fill="FFFFFF"/>
            <w:tcMar>
              <w:top w:w="15" w:type="dxa"/>
              <w:left w:w="15" w:type="dxa"/>
              <w:right w:w="15" w:type="dxa"/>
            </w:tcMar>
            <w:vAlign w:val="center"/>
          </w:tcPr>
          <w:p w14:paraId="1DCA94C1">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1C489B36">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20950</w:t>
            </w:r>
          </w:p>
        </w:tc>
        <w:tc>
          <w:tcPr>
            <w:tcW w:w="712" w:type="dxa"/>
            <w:shd w:val="clear" w:color="auto" w:fill="FFFFFF"/>
            <w:noWrap/>
            <w:tcMar>
              <w:top w:w="15" w:type="dxa"/>
              <w:left w:w="15" w:type="dxa"/>
              <w:right w:w="15" w:type="dxa"/>
            </w:tcMar>
            <w:vAlign w:val="center"/>
          </w:tcPr>
          <w:p w14:paraId="55C05A7E">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30827</w:t>
            </w:r>
          </w:p>
        </w:tc>
        <w:tc>
          <w:tcPr>
            <w:tcW w:w="1209" w:type="dxa"/>
            <w:shd w:val="clear" w:color="auto" w:fill="FFFFFF"/>
            <w:noWrap/>
            <w:tcMar>
              <w:top w:w="15" w:type="dxa"/>
              <w:left w:w="15" w:type="dxa"/>
              <w:right w:w="15" w:type="dxa"/>
            </w:tcMar>
            <w:vAlign w:val="center"/>
          </w:tcPr>
          <w:p w14:paraId="734C298F">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7.5%</w:t>
            </w:r>
          </w:p>
        </w:tc>
        <w:tc>
          <w:tcPr>
            <w:tcW w:w="890" w:type="dxa"/>
            <w:shd w:val="clear" w:color="auto" w:fill="FFFFFF"/>
            <w:noWrap/>
            <w:tcMar>
              <w:top w:w="15" w:type="dxa"/>
              <w:left w:w="15" w:type="dxa"/>
              <w:right w:w="15" w:type="dxa"/>
            </w:tcMar>
            <w:vAlign w:val="center"/>
          </w:tcPr>
          <w:p w14:paraId="2B884853">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社会经济</w:t>
            </w:r>
          </w:p>
          <w:p w14:paraId="6CF74D03">
            <w:pPr>
              <w:keepNext w:val="0"/>
              <w:keepLines w:val="0"/>
              <w:pageBreakBefore w:val="0"/>
              <w:widowControl w:val="0"/>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调查队</w:t>
            </w:r>
          </w:p>
        </w:tc>
      </w:tr>
      <w:tr w14:paraId="4561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restart"/>
            <w:shd w:val="clear" w:color="auto" w:fill="FFFFFF"/>
            <w:tcMar>
              <w:top w:w="15" w:type="dxa"/>
              <w:left w:w="15" w:type="dxa"/>
              <w:right w:w="15" w:type="dxa"/>
            </w:tcMar>
            <w:vAlign w:val="center"/>
          </w:tcPr>
          <w:p w14:paraId="27B615EA">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绿</w:t>
            </w:r>
          </w:p>
          <w:p w14:paraId="34FF3DF7">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色</w:t>
            </w:r>
          </w:p>
          <w:p w14:paraId="60060BC0">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生</w:t>
            </w:r>
          </w:p>
          <w:p w14:paraId="1FBAAFF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态</w:t>
            </w:r>
          </w:p>
        </w:tc>
        <w:tc>
          <w:tcPr>
            <w:tcW w:w="406" w:type="dxa"/>
            <w:shd w:val="clear" w:color="auto" w:fill="FFFFFF"/>
            <w:tcMar>
              <w:top w:w="15" w:type="dxa"/>
              <w:left w:w="15" w:type="dxa"/>
              <w:right w:w="15" w:type="dxa"/>
            </w:tcMar>
            <w:vAlign w:val="center"/>
          </w:tcPr>
          <w:p w14:paraId="70B244C8">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3537" w:type="dxa"/>
            <w:shd w:val="clear" w:color="auto" w:fill="FFFFFF"/>
            <w:tcMar>
              <w:top w:w="15" w:type="dxa"/>
              <w:left w:w="15" w:type="dxa"/>
              <w:right w:w="15" w:type="dxa"/>
            </w:tcMar>
            <w:vAlign w:val="center"/>
          </w:tcPr>
          <w:p w14:paraId="7F2D2722">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单位GDP能源消耗降幅（%）</w:t>
            </w:r>
          </w:p>
        </w:tc>
        <w:tc>
          <w:tcPr>
            <w:tcW w:w="872" w:type="dxa"/>
            <w:shd w:val="clear" w:color="auto" w:fill="FFFFFF"/>
            <w:tcMar>
              <w:top w:w="15" w:type="dxa"/>
              <w:left w:w="15" w:type="dxa"/>
              <w:right w:w="15" w:type="dxa"/>
            </w:tcMar>
            <w:vAlign w:val="center"/>
          </w:tcPr>
          <w:p w14:paraId="0529535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top"/>
          </w:tcPr>
          <w:p w14:paraId="10571314">
            <w:pPr>
              <w:pageBreakBefore w:val="0"/>
              <w:widowControl w:val="0"/>
              <w:kinsoku/>
              <w:wordWrap/>
              <w:overflowPunct/>
              <w:bidi w:val="0"/>
              <w:jc w:val="center"/>
              <w:rPr>
                <w:rFonts w:hint="default" w:ascii="宋体" w:hAnsi="宋体" w:eastAsia="宋体" w:cs="宋体"/>
                <w:i w:val="0"/>
                <w:color w:val="auto"/>
                <w:sz w:val="20"/>
                <w:szCs w:val="20"/>
                <w:highlight w:val="none"/>
                <w:u w:val="none"/>
                <w:lang w:val="en-US" w:eastAsia="zh-CN"/>
              </w:rPr>
            </w:pPr>
          </w:p>
        </w:tc>
        <w:tc>
          <w:tcPr>
            <w:tcW w:w="712" w:type="dxa"/>
            <w:shd w:val="clear" w:color="auto" w:fill="FFFFFF"/>
            <w:tcMar>
              <w:top w:w="15" w:type="dxa"/>
              <w:left w:w="15" w:type="dxa"/>
              <w:right w:w="15" w:type="dxa"/>
            </w:tcMar>
            <w:vAlign w:val="top"/>
          </w:tcPr>
          <w:p w14:paraId="7A3105AA">
            <w:pPr>
              <w:pageBreakBefore w:val="0"/>
              <w:widowControl w:val="0"/>
              <w:kinsoku/>
              <w:wordWrap/>
              <w:overflowPunct/>
              <w:bidi w:val="0"/>
              <w:jc w:val="center"/>
              <w:rPr>
                <w:rFonts w:hint="eastAsia" w:ascii="宋体" w:hAnsi="宋体" w:eastAsia="宋体" w:cs="宋体"/>
                <w:i w:val="0"/>
                <w:color w:val="auto"/>
                <w:sz w:val="20"/>
                <w:szCs w:val="20"/>
                <w:highlight w:val="none"/>
                <w:u w:val="none"/>
                <w:lang w:val="en-US" w:eastAsia="zh-CN"/>
              </w:rPr>
            </w:pPr>
          </w:p>
        </w:tc>
        <w:tc>
          <w:tcPr>
            <w:tcW w:w="1209" w:type="dxa"/>
            <w:shd w:val="clear" w:color="auto" w:fill="FFFFFF"/>
            <w:tcMar>
              <w:top w:w="15" w:type="dxa"/>
              <w:left w:w="15" w:type="dxa"/>
              <w:right w:w="15" w:type="dxa"/>
            </w:tcMar>
            <w:vAlign w:val="top"/>
          </w:tcPr>
          <w:p w14:paraId="3D08AD5D">
            <w:pPr>
              <w:pageBreakBefore w:val="0"/>
              <w:widowControl w:val="0"/>
              <w:kinsoku/>
              <w:wordWrap/>
              <w:overflowPunct/>
              <w:bidi w:val="0"/>
              <w:jc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w:t>
            </w:r>
            <w:r>
              <w:rPr>
                <w:rFonts w:hint="eastAsia" w:ascii="宋体" w:hAnsi="宋体" w:eastAsia="宋体" w:cs="宋体"/>
                <w:i w:val="0"/>
                <w:color w:val="auto"/>
                <w:sz w:val="20"/>
                <w:szCs w:val="20"/>
                <w:highlight w:val="none"/>
                <w:u w:val="none"/>
                <w:lang w:val="en-US" w:eastAsia="zh-CN"/>
              </w:rPr>
              <w:t>-15%</w:t>
            </w:r>
            <w:r>
              <w:rPr>
                <w:rFonts w:hint="eastAsia" w:ascii="宋体" w:hAnsi="宋体" w:eastAsia="宋体" w:cs="宋体"/>
                <w:i w:val="0"/>
                <w:color w:val="auto"/>
                <w:kern w:val="0"/>
                <w:sz w:val="20"/>
                <w:szCs w:val="20"/>
                <w:highlight w:val="none"/>
                <w:u w:val="none"/>
                <w:lang w:val="en-US" w:eastAsia="zh-CN" w:bidi="ar"/>
              </w:rPr>
              <w:t>]</w:t>
            </w:r>
          </w:p>
        </w:tc>
        <w:tc>
          <w:tcPr>
            <w:tcW w:w="890" w:type="dxa"/>
            <w:shd w:val="clear" w:color="auto" w:fill="FFFFFF"/>
            <w:noWrap/>
            <w:tcMar>
              <w:top w:w="15" w:type="dxa"/>
              <w:left w:w="15" w:type="dxa"/>
              <w:right w:w="15" w:type="dxa"/>
            </w:tcMar>
            <w:vAlign w:val="center"/>
          </w:tcPr>
          <w:p w14:paraId="306B4003">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发改局</w:t>
            </w:r>
          </w:p>
        </w:tc>
      </w:tr>
      <w:tr w14:paraId="695C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2587F220">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0FF9FE7A">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23</w:t>
            </w:r>
          </w:p>
        </w:tc>
        <w:tc>
          <w:tcPr>
            <w:tcW w:w="3537" w:type="dxa"/>
            <w:shd w:val="clear" w:color="auto" w:fill="FFFFFF"/>
            <w:tcMar>
              <w:top w:w="15" w:type="dxa"/>
              <w:left w:w="15" w:type="dxa"/>
              <w:right w:w="15" w:type="dxa"/>
            </w:tcMar>
            <w:vAlign w:val="center"/>
          </w:tcPr>
          <w:p w14:paraId="4D91B6C6">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单位GDP二氧化碳排放降幅（%）</w:t>
            </w:r>
          </w:p>
        </w:tc>
        <w:tc>
          <w:tcPr>
            <w:tcW w:w="872" w:type="dxa"/>
            <w:shd w:val="clear" w:color="auto" w:fill="FFFFFF"/>
            <w:tcMar>
              <w:top w:w="15" w:type="dxa"/>
              <w:left w:w="15" w:type="dxa"/>
              <w:right w:w="15" w:type="dxa"/>
            </w:tcMar>
            <w:vAlign w:val="center"/>
          </w:tcPr>
          <w:p w14:paraId="21974E2B">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预期性</w:t>
            </w:r>
          </w:p>
        </w:tc>
        <w:tc>
          <w:tcPr>
            <w:tcW w:w="697" w:type="dxa"/>
            <w:shd w:val="clear" w:color="auto" w:fill="FFFFFF"/>
            <w:tcMar>
              <w:top w:w="15" w:type="dxa"/>
              <w:left w:w="15" w:type="dxa"/>
              <w:right w:w="15" w:type="dxa"/>
            </w:tcMar>
            <w:vAlign w:val="center"/>
          </w:tcPr>
          <w:p w14:paraId="04145B86">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c>
          <w:tcPr>
            <w:tcW w:w="712" w:type="dxa"/>
            <w:shd w:val="clear" w:color="auto" w:fill="FFFFFF"/>
            <w:tcMar>
              <w:top w:w="15" w:type="dxa"/>
              <w:left w:w="15" w:type="dxa"/>
              <w:right w:w="15" w:type="dxa"/>
            </w:tcMar>
            <w:vAlign w:val="center"/>
          </w:tcPr>
          <w:p w14:paraId="2E69B87C">
            <w:pPr>
              <w:pageBreakBefore w:val="0"/>
              <w:widowControl w:val="0"/>
              <w:kinsoku/>
              <w:wordWrap/>
              <w:overflowPunct/>
              <w:bidi w:val="0"/>
              <w:jc w:val="center"/>
              <w:rPr>
                <w:rFonts w:hint="eastAsia" w:ascii="宋体" w:hAnsi="宋体" w:eastAsia="宋体" w:cs="宋体"/>
                <w:i w:val="0"/>
                <w:color w:val="auto"/>
                <w:sz w:val="20"/>
                <w:szCs w:val="20"/>
                <w:highlight w:val="none"/>
                <w:u w:val="none"/>
                <w:lang w:val="en-US" w:eastAsia="zh-CN"/>
              </w:rPr>
            </w:pPr>
          </w:p>
        </w:tc>
        <w:tc>
          <w:tcPr>
            <w:tcW w:w="1209" w:type="dxa"/>
            <w:shd w:val="clear" w:color="auto" w:fill="FFFFFF"/>
            <w:tcMar>
              <w:top w:w="15" w:type="dxa"/>
              <w:left w:w="15" w:type="dxa"/>
              <w:right w:w="15" w:type="dxa"/>
            </w:tcMar>
            <w:vAlign w:val="center"/>
          </w:tcPr>
          <w:p w14:paraId="34BC43BF">
            <w:pPr>
              <w:pageBreakBefore w:val="0"/>
              <w:widowControl w:val="0"/>
              <w:kinsoku/>
              <w:wordWrap/>
              <w:overflowPunct/>
              <w:bidi w:val="0"/>
              <w:jc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w:t>
            </w:r>
            <w:r>
              <w:rPr>
                <w:rFonts w:hint="eastAsia" w:ascii="宋体" w:hAnsi="宋体" w:eastAsia="宋体" w:cs="宋体"/>
                <w:i w:val="0"/>
                <w:color w:val="auto"/>
                <w:sz w:val="20"/>
                <w:szCs w:val="20"/>
                <w:highlight w:val="none"/>
                <w:u w:val="none"/>
                <w:lang w:val="en-US" w:eastAsia="zh-CN"/>
              </w:rPr>
              <w:t>-20%</w:t>
            </w:r>
            <w:r>
              <w:rPr>
                <w:rFonts w:hint="eastAsia" w:ascii="宋体" w:hAnsi="宋体" w:eastAsia="宋体" w:cs="宋体"/>
                <w:i w:val="0"/>
                <w:color w:val="auto"/>
                <w:kern w:val="0"/>
                <w:sz w:val="20"/>
                <w:szCs w:val="20"/>
                <w:highlight w:val="none"/>
                <w:u w:val="none"/>
                <w:lang w:val="en-US" w:eastAsia="zh-CN" w:bidi="ar"/>
              </w:rPr>
              <w:t>]</w:t>
            </w:r>
          </w:p>
        </w:tc>
        <w:tc>
          <w:tcPr>
            <w:tcW w:w="890" w:type="dxa"/>
            <w:vMerge w:val="restart"/>
            <w:shd w:val="clear" w:color="auto" w:fill="FFFFFF"/>
            <w:tcMar>
              <w:top w:w="15" w:type="dxa"/>
              <w:left w:w="15" w:type="dxa"/>
              <w:right w:w="15" w:type="dxa"/>
            </w:tcMar>
            <w:vAlign w:val="center"/>
          </w:tcPr>
          <w:p w14:paraId="46BD4F28">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邵阳生态环境局武冈分局</w:t>
            </w:r>
          </w:p>
        </w:tc>
      </w:tr>
      <w:tr w14:paraId="14F5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70CFB7C0">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10B657E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w:t>
            </w:r>
          </w:p>
        </w:tc>
        <w:tc>
          <w:tcPr>
            <w:tcW w:w="3537" w:type="dxa"/>
            <w:shd w:val="clear" w:color="auto" w:fill="FFFFFF"/>
            <w:tcMar>
              <w:top w:w="15" w:type="dxa"/>
              <w:left w:w="15" w:type="dxa"/>
              <w:right w:w="15" w:type="dxa"/>
            </w:tcMar>
            <w:vAlign w:val="center"/>
          </w:tcPr>
          <w:p w14:paraId="0FA68F11">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城市空气质量优良天数比例（%）</w:t>
            </w:r>
          </w:p>
        </w:tc>
        <w:tc>
          <w:tcPr>
            <w:tcW w:w="872" w:type="dxa"/>
            <w:shd w:val="clear" w:color="auto" w:fill="FFFFFF"/>
            <w:tcMar>
              <w:top w:w="15" w:type="dxa"/>
              <w:left w:w="15" w:type="dxa"/>
              <w:right w:w="15" w:type="dxa"/>
            </w:tcMar>
            <w:vAlign w:val="center"/>
          </w:tcPr>
          <w:p w14:paraId="2FFFF428">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center"/>
          </w:tcPr>
          <w:p w14:paraId="2755583C">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88</w:t>
            </w:r>
          </w:p>
        </w:tc>
        <w:tc>
          <w:tcPr>
            <w:tcW w:w="712" w:type="dxa"/>
            <w:shd w:val="clear" w:color="auto" w:fill="FFFFFF"/>
            <w:noWrap/>
            <w:tcMar>
              <w:top w:w="15" w:type="dxa"/>
              <w:left w:w="15" w:type="dxa"/>
              <w:right w:w="15" w:type="dxa"/>
            </w:tcMar>
            <w:vAlign w:val="center"/>
          </w:tcPr>
          <w:p w14:paraId="60AAE584">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90</w:t>
            </w:r>
          </w:p>
        </w:tc>
        <w:tc>
          <w:tcPr>
            <w:tcW w:w="1209" w:type="dxa"/>
            <w:shd w:val="clear" w:color="auto" w:fill="FFFFFF"/>
            <w:noWrap/>
            <w:tcMar>
              <w:top w:w="15" w:type="dxa"/>
              <w:left w:w="15" w:type="dxa"/>
              <w:right w:w="15" w:type="dxa"/>
            </w:tcMar>
            <w:vAlign w:val="center"/>
          </w:tcPr>
          <w:p w14:paraId="5E647CF8">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1.2%</w:t>
            </w:r>
          </w:p>
        </w:tc>
        <w:tc>
          <w:tcPr>
            <w:tcW w:w="890" w:type="dxa"/>
            <w:vMerge w:val="continue"/>
            <w:shd w:val="clear" w:color="auto" w:fill="FFFFFF"/>
            <w:tcMar>
              <w:top w:w="15" w:type="dxa"/>
              <w:left w:w="15" w:type="dxa"/>
              <w:right w:w="15" w:type="dxa"/>
            </w:tcMar>
            <w:vAlign w:val="center"/>
          </w:tcPr>
          <w:p w14:paraId="665C6799">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435E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13FA8721">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711186F6">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3537" w:type="dxa"/>
            <w:shd w:val="clear" w:color="auto" w:fill="FFFFFF"/>
            <w:tcMar>
              <w:top w:w="15" w:type="dxa"/>
              <w:left w:w="15" w:type="dxa"/>
              <w:right w:w="15" w:type="dxa"/>
            </w:tcMar>
            <w:vAlign w:val="center"/>
          </w:tcPr>
          <w:p w14:paraId="7B4FFFD2">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地表水达到或优于Ⅲ类水体比例（%）</w:t>
            </w:r>
          </w:p>
        </w:tc>
        <w:tc>
          <w:tcPr>
            <w:tcW w:w="872" w:type="dxa"/>
            <w:shd w:val="clear" w:color="auto" w:fill="FFFFFF"/>
            <w:tcMar>
              <w:top w:w="15" w:type="dxa"/>
              <w:left w:w="15" w:type="dxa"/>
              <w:right w:w="15" w:type="dxa"/>
            </w:tcMar>
            <w:vAlign w:val="center"/>
          </w:tcPr>
          <w:p w14:paraId="6AADE9F1">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center"/>
          </w:tcPr>
          <w:p w14:paraId="21FDD530">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95</w:t>
            </w:r>
          </w:p>
        </w:tc>
        <w:tc>
          <w:tcPr>
            <w:tcW w:w="712" w:type="dxa"/>
            <w:shd w:val="clear" w:color="auto" w:fill="FFFFFF"/>
            <w:noWrap/>
            <w:tcMar>
              <w:top w:w="15" w:type="dxa"/>
              <w:left w:w="15" w:type="dxa"/>
              <w:right w:w="15" w:type="dxa"/>
            </w:tcMar>
            <w:vAlign w:val="center"/>
          </w:tcPr>
          <w:p w14:paraId="2F888E98">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95</w:t>
            </w:r>
          </w:p>
        </w:tc>
        <w:tc>
          <w:tcPr>
            <w:tcW w:w="1209" w:type="dxa"/>
            <w:shd w:val="clear" w:color="auto" w:fill="FFFFFF"/>
            <w:noWrap/>
            <w:tcMar>
              <w:top w:w="15" w:type="dxa"/>
              <w:left w:w="15" w:type="dxa"/>
              <w:right w:w="15" w:type="dxa"/>
            </w:tcMar>
            <w:vAlign w:val="center"/>
          </w:tcPr>
          <w:p w14:paraId="701095DA">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890" w:type="dxa"/>
            <w:vMerge w:val="continue"/>
            <w:shd w:val="clear" w:color="auto" w:fill="FFFFFF"/>
            <w:tcMar>
              <w:top w:w="15" w:type="dxa"/>
              <w:left w:w="15" w:type="dxa"/>
              <w:right w:w="15" w:type="dxa"/>
            </w:tcMar>
            <w:vAlign w:val="center"/>
          </w:tcPr>
          <w:p w14:paraId="0C75CD6E">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12EC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143C6B17">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7036A745">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26</w:t>
            </w:r>
          </w:p>
        </w:tc>
        <w:tc>
          <w:tcPr>
            <w:tcW w:w="3537" w:type="dxa"/>
            <w:shd w:val="clear" w:color="auto" w:fill="FFFFFF"/>
            <w:tcMar>
              <w:top w:w="15" w:type="dxa"/>
              <w:left w:w="15" w:type="dxa"/>
              <w:right w:w="15" w:type="dxa"/>
            </w:tcMar>
            <w:vAlign w:val="center"/>
          </w:tcPr>
          <w:p w14:paraId="63395B07">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主要污染物排放总量降幅（%）</w:t>
            </w:r>
          </w:p>
        </w:tc>
        <w:tc>
          <w:tcPr>
            <w:tcW w:w="872" w:type="dxa"/>
            <w:shd w:val="clear" w:color="auto" w:fill="FFFFFF"/>
            <w:tcMar>
              <w:top w:w="15" w:type="dxa"/>
              <w:left w:w="15" w:type="dxa"/>
              <w:right w:w="15" w:type="dxa"/>
            </w:tcMar>
            <w:vAlign w:val="center"/>
          </w:tcPr>
          <w:p w14:paraId="5CE7E140">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center"/>
          </w:tcPr>
          <w:p w14:paraId="107ECD4C">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12" w:type="dxa"/>
            <w:shd w:val="clear" w:color="auto" w:fill="FFFFFF"/>
            <w:noWrap/>
            <w:tcMar>
              <w:top w:w="15" w:type="dxa"/>
              <w:left w:w="15" w:type="dxa"/>
              <w:right w:w="15" w:type="dxa"/>
            </w:tcMar>
            <w:vAlign w:val="center"/>
          </w:tcPr>
          <w:p w14:paraId="3FA95556">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2</w:t>
            </w:r>
          </w:p>
        </w:tc>
        <w:tc>
          <w:tcPr>
            <w:tcW w:w="1209" w:type="dxa"/>
            <w:shd w:val="clear" w:color="auto" w:fill="FFFFFF"/>
            <w:noWrap/>
            <w:tcMar>
              <w:top w:w="15" w:type="dxa"/>
              <w:left w:w="15" w:type="dxa"/>
              <w:right w:w="15" w:type="dxa"/>
            </w:tcMar>
            <w:vAlign w:val="center"/>
          </w:tcPr>
          <w:p w14:paraId="12554A61">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890" w:type="dxa"/>
            <w:vMerge w:val="continue"/>
            <w:shd w:val="clear" w:color="auto" w:fill="FFFFFF"/>
            <w:tcMar>
              <w:top w:w="15" w:type="dxa"/>
              <w:left w:w="15" w:type="dxa"/>
              <w:right w:w="15" w:type="dxa"/>
            </w:tcMar>
            <w:vAlign w:val="center"/>
          </w:tcPr>
          <w:p w14:paraId="5BF6EA18">
            <w:pPr>
              <w:pageBreakBefore w:val="0"/>
              <w:widowControl w:val="0"/>
              <w:kinsoku/>
              <w:wordWrap/>
              <w:overflowPunct/>
              <w:bidi w:val="0"/>
              <w:jc w:val="center"/>
              <w:rPr>
                <w:rFonts w:hint="eastAsia" w:ascii="宋体" w:hAnsi="宋体" w:eastAsia="宋体" w:cs="宋体"/>
                <w:i w:val="0"/>
                <w:color w:val="auto"/>
                <w:sz w:val="20"/>
                <w:szCs w:val="20"/>
                <w:highlight w:val="none"/>
                <w:u w:val="none"/>
              </w:rPr>
            </w:pPr>
          </w:p>
        </w:tc>
      </w:tr>
      <w:tr w14:paraId="2C6D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continue"/>
            <w:shd w:val="clear" w:color="auto" w:fill="FFFFFF"/>
            <w:tcMar>
              <w:top w:w="15" w:type="dxa"/>
              <w:left w:w="15" w:type="dxa"/>
              <w:right w:w="15" w:type="dxa"/>
            </w:tcMar>
            <w:vAlign w:val="center"/>
          </w:tcPr>
          <w:p w14:paraId="28EF3E39">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011D3D17">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27</w:t>
            </w:r>
          </w:p>
        </w:tc>
        <w:tc>
          <w:tcPr>
            <w:tcW w:w="3537" w:type="dxa"/>
            <w:shd w:val="clear" w:color="auto" w:fill="FFFFFF"/>
            <w:tcMar>
              <w:top w:w="15" w:type="dxa"/>
              <w:left w:w="15" w:type="dxa"/>
              <w:right w:w="15" w:type="dxa"/>
            </w:tcMar>
            <w:vAlign w:val="center"/>
          </w:tcPr>
          <w:p w14:paraId="5775EAE3">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森林覆盖率（%）</w:t>
            </w:r>
          </w:p>
        </w:tc>
        <w:tc>
          <w:tcPr>
            <w:tcW w:w="872" w:type="dxa"/>
            <w:shd w:val="clear" w:color="auto" w:fill="FFFFFF"/>
            <w:tcMar>
              <w:top w:w="15" w:type="dxa"/>
              <w:left w:w="15" w:type="dxa"/>
              <w:right w:w="15" w:type="dxa"/>
            </w:tcMar>
            <w:vAlign w:val="center"/>
          </w:tcPr>
          <w:p w14:paraId="16527E01">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center"/>
          </w:tcPr>
          <w:p w14:paraId="34813511">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41.2</w:t>
            </w:r>
          </w:p>
        </w:tc>
        <w:tc>
          <w:tcPr>
            <w:tcW w:w="712" w:type="dxa"/>
            <w:shd w:val="clear" w:color="auto" w:fill="FFFFFF"/>
            <w:noWrap/>
            <w:tcMar>
              <w:top w:w="15" w:type="dxa"/>
              <w:left w:w="15" w:type="dxa"/>
              <w:right w:w="15" w:type="dxa"/>
            </w:tcMar>
            <w:vAlign w:val="center"/>
          </w:tcPr>
          <w:p w14:paraId="4BA02928">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41.22</w:t>
            </w:r>
          </w:p>
        </w:tc>
        <w:tc>
          <w:tcPr>
            <w:tcW w:w="1209" w:type="dxa"/>
            <w:shd w:val="clear" w:color="auto" w:fill="FFFFFF"/>
            <w:noWrap/>
            <w:tcMar>
              <w:top w:w="15" w:type="dxa"/>
              <w:left w:w="15" w:type="dxa"/>
              <w:right w:w="15" w:type="dxa"/>
            </w:tcMar>
            <w:vAlign w:val="center"/>
          </w:tcPr>
          <w:p w14:paraId="71C85069">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890" w:type="dxa"/>
            <w:shd w:val="clear" w:color="auto" w:fill="FFFFFF"/>
            <w:noWrap/>
            <w:tcMar>
              <w:top w:w="15" w:type="dxa"/>
              <w:left w:w="15" w:type="dxa"/>
              <w:right w:w="15" w:type="dxa"/>
            </w:tcMar>
            <w:vAlign w:val="center"/>
          </w:tcPr>
          <w:p w14:paraId="40B0605E">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林业局</w:t>
            </w:r>
          </w:p>
        </w:tc>
      </w:tr>
      <w:tr w14:paraId="3C86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737" w:type="dxa"/>
            <w:vMerge w:val="restart"/>
            <w:shd w:val="clear" w:color="auto" w:fill="FFFFFF"/>
            <w:tcMar>
              <w:top w:w="15" w:type="dxa"/>
              <w:left w:w="15" w:type="dxa"/>
              <w:right w:w="15" w:type="dxa"/>
            </w:tcMar>
            <w:vAlign w:val="center"/>
          </w:tcPr>
          <w:p w14:paraId="7EC61698">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安</w:t>
            </w:r>
          </w:p>
          <w:p w14:paraId="5CB71456">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全</w:t>
            </w:r>
          </w:p>
          <w:p w14:paraId="1B1A7C78">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保</w:t>
            </w:r>
          </w:p>
          <w:p w14:paraId="7942D25F">
            <w:pPr>
              <w:keepNext w:val="0"/>
              <w:keepLines w:val="0"/>
              <w:pageBreakBefore w:val="0"/>
              <w:widowControl w:val="0"/>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障</w:t>
            </w:r>
          </w:p>
        </w:tc>
        <w:tc>
          <w:tcPr>
            <w:tcW w:w="406" w:type="dxa"/>
            <w:shd w:val="clear" w:color="auto" w:fill="FFFFFF"/>
            <w:tcMar>
              <w:top w:w="15" w:type="dxa"/>
              <w:left w:w="15" w:type="dxa"/>
              <w:right w:w="15" w:type="dxa"/>
            </w:tcMar>
            <w:vAlign w:val="center"/>
          </w:tcPr>
          <w:p w14:paraId="4ABB9830">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28</w:t>
            </w:r>
          </w:p>
        </w:tc>
        <w:tc>
          <w:tcPr>
            <w:tcW w:w="3537" w:type="dxa"/>
            <w:shd w:val="clear" w:color="auto" w:fill="FFFFFF"/>
            <w:tcMar>
              <w:top w:w="15" w:type="dxa"/>
              <w:left w:w="15" w:type="dxa"/>
              <w:right w:w="15" w:type="dxa"/>
            </w:tcMar>
            <w:vAlign w:val="center"/>
          </w:tcPr>
          <w:p w14:paraId="0354F90A">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粮食综合生产能力（万吨）</w:t>
            </w:r>
          </w:p>
        </w:tc>
        <w:tc>
          <w:tcPr>
            <w:tcW w:w="872" w:type="dxa"/>
            <w:shd w:val="clear" w:color="auto" w:fill="FFFFFF"/>
            <w:tcMar>
              <w:top w:w="15" w:type="dxa"/>
              <w:left w:w="15" w:type="dxa"/>
              <w:right w:w="15" w:type="dxa"/>
            </w:tcMar>
            <w:vAlign w:val="center"/>
          </w:tcPr>
          <w:p w14:paraId="46C66339">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center"/>
          </w:tcPr>
          <w:p w14:paraId="511CB7A6">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45.36</w:t>
            </w:r>
          </w:p>
        </w:tc>
        <w:tc>
          <w:tcPr>
            <w:tcW w:w="712" w:type="dxa"/>
            <w:shd w:val="clear" w:color="auto" w:fill="FFFFFF"/>
            <w:noWrap/>
            <w:tcMar>
              <w:top w:w="15" w:type="dxa"/>
              <w:left w:w="15" w:type="dxa"/>
              <w:right w:w="15" w:type="dxa"/>
            </w:tcMar>
            <w:vAlign w:val="center"/>
          </w:tcPr>
          <w:p w14:paraId="753D08A7">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48.5</w:t>
            </w:r>
          </w:p>
        </w:tc>
        <w:tc>
          <w:tcPr>
            <w:tcW w:w="1209" w:type="dxa"/>
            <w:shd w:val="clear" w:color="auto" w:fill="FFFFFF"/>
            <w:tcMar>
              <w:top w:w="15" w:type="dxa"/>
              <w:left w:w="15" w:type="dxa"/>
              <w:right w:w="15" w:type="dxa"/>
            </w:tcMar>
            <w:vAlign w:val="center"/>
          </w:tcPr>
          <w:p w14:paraId="0BD4B18F">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890" w:type="dxa"/>
            <w:shd w:val="clear" w:color="auto" w:fill="FFFFFF"/>
            <w:tcMar>
              <w:top w:w="15" w:type="dxa"/>
              <w:left w:w="15" w:type="dxa"/>
              <w:right w:w="15" w:type="dxa"/>
            </w:tcMar>
            <w:vAlign w:val="center"/>
          </w:tcPr>
          <w:p w14:paraId="27310E25">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农业局</w:t>
            </w:r>
          </w:p>
        </w:tc>
      </w:tr>
      <w:tr w14:paraId="7735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737" w:type="dxa"/>
            <w:vMerge w:val="continue"/>
            <w:shd w:val="clear" w:color="auto" w:fill="FFFFFF"/>
            <w:tcMar>
              <w:top w:w="15" w:type="dxa"/>
              <w:left w:w="15" w:type="dxa"/>
              <w:right w:w="15" w:type="dxa"/>
            </w:tcMar>
            <w:vAlign w:val="center"/>
          </w:tcPr>
          <w:p w14:paraId="0A41B0C2">
            <w:pPr>
              <w:pageBreakBefore w:val="0"/>
              <w:widowControl w:val="0"/>
              <w:kinsoku/>
              <w:wordWrap/>
              <w:overflowPunct/>
              <w:bidi w:val="0"/>
              <w:rPr>
                <w:rFonts w:hint="eastAsia" w:ascii="宋体" w:hAnsi="宋体" w:eastAsia="宋体" w:cs="宋体"/>
                <w:i w:val="0"/>
                <w:color w:val="auto"/>
                <w:sz w:val="20"/>
                <w:szCs w:val="20"/>
                <w:highlight w:val="none"/>
                <w:u w:val="none"/>
              </w:rPr>
            </w:pPr>
          </w:p>
        </w:tc>
        <w:tc>
          <w:tcPr>
            <w:tcW w:w="406" w:type="dxa"/>
            <w:shd w:val="clear" w:color="auto" w:fill="FFFFFF"/>
            <w:tcMar>
              <w:top w:w="15" w:type="dxa"/>
              <w:left w:w="15" w:type="dxa"/>
              <w:right w:w="15" w:type="dxa"/>
            </w:tcMar>
            <w:vAlign w:val="center"/>
          </w:tcPr>
          <w:p w14:paraId="0FE751D8">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29</w:t>
            </w:r>
          </w:p>
        </w:tc>
        <w:tc>
          <w:tcPr>
            <w:tcW w:w="3537" w:type="dxa"/>
            <w:shd w:val="clear" w:color="auto" w:fill="FFFFFF"/>
            <w:tcMar>
              <w:top w:w="15" w:type="dxa"/>
              <w:left w:w="15" w:type="dxa"/>
              <w:right w:w="15" w:type="dxa"/>
            </w:tcMar>
            <w:vAlign w:val="center"/>
          </w:tcPr>
          <w:p w14:paraId="26D25F76">
            <w:pPr>
              <w:keepNext w:val="0"/>
              <w:keepLines w:val="0"/>
              <w:pageBreakBefore w:val="0"/>
              <w:widowControl w:val="0"/>
              <w:suppressLineNumbers w:val="0"/>
              <w:kinsoku/>
              <w:wordWrap/>
              <w:overflowPunct/>
              <w:bidi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亿元GDP生产安全事故死亡率（%）</w:t>
            </w:r>
          </w:p>
        </w:tc>
        <w:tc>
          <w:tcPr>
            <w:tcW w:w="872" w:type="dxa"/>
            <w:shd w:val="clear" w:color="auto" w:fill="FFFFFF"/>
            <w:tcMar>
              <w:top w:w="15" w:type="dxa"/>
              <w:left w:w="15" w:type="dxa"/>
              <w:right w:w="15" w:type="dxa"/>
            </w:tcMar>
            <w:vAlign w:val="center"/>
          </w:tcPr>
          <w:p w14:paraId="58C21CC0">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约束性</w:t>
            </w:r>
          </w:p>
        </w:tc>
        <w:tc>
          <w:tcPr>
            <w:tcW w:w="697" w:type="dxa"/>
            <w:shd w:val="clear" w:color="auto" w:fill="FFFFFF"/>
            <w:tcMar>
              <w:top w:w="15" w:type="dxa"/>
              <w:left w:w="15" w:type="dxa"/>
              <w:right w:w="15" w:type="dxa"/>
            </w:tcMar>
            <w:vAlign w:val="center"/>
          </w:tcPr>
          <w:p w14:paraId="70A3D7EF">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0.022</w:t>
            </w:r>
          </w:p>
        </w:tc>
        <w:tc>
          <w:tcPr>
            <w:tcW w:w="712" w:type="dxa"/>
            <w:shd w:val="clear" w:color="auto" w:fill="FFFFFF"/>
            <w:noWrap/>
            <w:tcMar>
              <w:top w:w="15" w:type="dxa"/>
              <w:left w:w="15" w:type="dxa"/>
              <w:right w:w="15" w:type="dxa"/>
            </w:tcMar>
            <w:vAlign w:val="center"/>
          </w:tcPr>
          <w:p w14:paraId="73D4C4D7">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0.02</w:t>
            </w:r>
          </w:p>
        </w:tc>
        <w:tc>
          <w:tcPr>
            <w:tcW w:w="1209" w:type="dxa"/>
            <w:shd w:val="clear" w:color="auto" w:fill="FFFFFF"/>
            <w:tcMar>
              <w:top w:w="15" w:type="dxa"/>
              <w:left w:w="15" w:type="dxa"/>
              <w:right w:w="15" w:type="dxa"/>
            </w:tcMar>
            <w:vAlign w:val="center"/>
          </w:tcPr>
          <w:p w14:paraId="757F38B4">
            <w:pPr>
              <w:keepNext w:val="0"/>
              <w:keepLines w:val="0"/>
              <w:pageBreakBefore w:val="0"/>
              <w:widowControl w:val="0"/>
              <w:suppressLineNumbers w:val="0"/>
              <w:kinsoku/>
              <w:wordWrap/>
              <w:overflowPunct/>
              <w:bidi w:val="0"/>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-2%</w:t>
            </w:r>
          </w:p>
        </w:tc>
        <w:tc>
          <w:tcPr>
            <w:tcW w:w="890" w:type="dxa"/>
            <w:shd w:val="clear" w:color="auto" w:fill="FFFFFF"/>
            <w:tcMar>
              <w:top w:w="15" w:type="dxa"/>
              <w:left w:w="15" w:type="dxa"/>
              <w:right w:w="15" w:type="dxa"/>
            </w:tcMar>
            <w:vAlign w:val="center"/>
          </w:tcPr>
          <w:p w14:paraId="40886E33">
            <w:pPr>
              <w:keepNext w:val="0"/>
              <w:keepLines w:val="0"/>
              <w:pageBreakBefore w:val="0"/>
              <w:widowControl w:val="0"/>
              <w:suppressLineNumbers w:val="0"/>
              <w:kinsoku/>
              <w:wordWrap/>
              <w:overflowPunct/>
              <w:bidi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应急局</w:t>
            </w:r>
          </w:p>
        </w:tc>
      </w:tr>
    </w:tbl>
    <w:p w14:paraId="215F8A20">
      <w:pPr>
        <w:pStyle w:val="3"/>
        <w:keepNext/>
        <w:keepLines/>
        <w:pageBreakBefore w:val="0"/>
        <w:widowControl w:val="0"/>
        <w:kinsoku/>
        <w:wordWrap/>
        <w:overflowPunct/>
        <w:topLinePunct w:val="0"/>
        <w:autoSpaceDE/>
        <w:autoSpaceDN/>
        <w:bidi w:val="0"/>
        <w:adjustRightInd/>
        <w:snapToGrid/>
        <w:spacing w:before="0" w:after="0"/>
        <w:jc w:val="center"/>
        <w:textAlignment w:val="auto"/>
        <w:outlineLvl w:val="0"/>
        <w:rPr>
          <w:rFonts w:hint="eastAsia" w:ascii="方正大标宋简体" w:hAnsi="方正大标宋简体" w:eastAsia="方正大标宋简体" w:cs="方正大标宋简体"/>
          <w:color w:val="auto"/>
          <w:highlight w:val="none"/>
        </w:rPr>
      </w:pPr>
      <w:bookmarkStart w:id="48" w:name="_Toc23925"/>
      <w:bookmarkStart w:id="49" w:name="_Toc17956"/>
      <w:bookmarkStart w:id="50" w:name="_Toc16959"/>
      <w:bookmarkStart w:id="51" w:name="_Toc18343"/>
      <w:bookmarkStart w:id="52" w:name="_Toc1624"/>
      <w:bookmarkStart w:id="53" w:name="_Toc10573"/>
      <w:bookmarkStart w:id="54" w:name="_Toc24709"/>
      <w:r>
        <w:rPr>
          <w:rFonts w:hint="eastAsia" w:ascii="黑体" w:hAnsi="黑体" w:eastAsia="黑体" w:cs="黑体"/>
          <w:color w:val="auto"/>
          <w:highlight w:val="none"/>
        </w:rPr>
        <w:t xml:space="preserve">第三章 </w:t>
      </w:r>
      <w:r>
        <w:rPr>
          <w:rFonts w:hint="eastAsia" w:ascii="黑体" w:hAnsi="黑体" w:eastAsia="黑体" w:cs="黑体"/>
          <w:color w:val="auto"/>
          <w:highlight w:val="none"/>
          <w:lang w:val="en-US" w:eastAsia="zh-CN"/>
        </w:rPr>
        <w:t xml:space="preserve"> </w:t>
      </w:r>
      <w:r>
        <w:rPr>
          <w:rFonts w:hint="eastAsia" w:ascii="黑体" w:hAnsi="黑体" w:eastAsia="黑体" w:cs="黑体"/>
          <w:color w:val="auto"/>
          <w:highlight w:val="none"/>
        </w:rPr>
        <w:t>构建现代产业体系，打造重要先进制造业高地</w:t>
      </w:r>
      <w:bookmarkEnd w:id="48"/>
    </w:p>
    <w:p w14:paraId="6A1AF12F">
      <w:pPr>
        <w:pageBreakBefore w:val="0"/>
        <w:widowControl w:val="0"/>
        <w:kinsoku/>
        <w:wordWrap/>
        <w:overflowPunct/>
        <w:bidi w:val="0"/>
        <w:spacing w:line="420" w:lineRule="auto"/>
        <w:ind w:firstLine="640"/>
        <w:jc w:val="both"/>
        <w:rPr>
          <w:rFonts w:hint="eastAsia" w:ascii="仿宋" w:hAnsi="仿宋" w:eastAsia="仿宋" w:cs="仿宋"/>
          <w:color w:val="auto"/>
          <w:szCs w:val="32"/>
          <w:highlight w:val="none"/>
        </w:rPr>
      </w:pPr>
      <w:r>
        <w:rPr>
          <w:rFonts w:hint="eastAsia" w:ascii="仿宋" w:hAnsi="仿宋" w:eastAsia="仿宋" w:cs="仿宋"/>
          <w:color w:val="auto"/>
          <w:szCs w:val="32"/>
          <w:highlight w:val="none"/>
        </w:rPr>
        <w:t>坚持</w:t>
      </w:r>
      <w:r>
        <w:rPr>
          <w:rFonts w:hint="eastAsia" w:ascii="仿宋" w:hAnsi="仿宋" w:eastAsia="仿宋" w:cs="仿宋"/>
          <w:color w:val="auto"/>
          <w:szCs w:val="32"/>
          <w:highlight w:val="none"/>
          <w:lang w:val="en-US" w:eastAsia="zh-CN"/>
        </w:rPr>
        <w:t>把承接最优质最具潜力的项目放在高起点、高标准的位置，坚持把最高端、最精深的技术放在突出的位置，坚持把新经济、新业态放在推动跨越式发展的地位，高度重视重大产业项目的引进和落地建设，</w:t>
      </w:r>
      <w:r>
        <w:rPr>
          <w:rFonts w:hint="eastAsia" w:ascii="仿宋" w:hAnsi="仿宋" w:eastAsia="仿宋" w:cs="仿宋"/>
          <w:color w:val="auto"/>
          <w:szCs w:val="32"/>
          <w:highlight w:val="none"/>
        </w:rPr>
        <w:t>推动制造业高质量发展，全面实施质量强</w:t>
      </w:r>
      <w:r>
        <w:rPr>
          <w:rFonts w:hint="eastAsia" w:ascii="仿宋" w:hAnsi="仿宋" w:eastAsia="仿宋" w:cs="仿宋"/>
          <w:color w:val="auto"/>
          <w:szCs w:val="32"/>
          <w:highlight w:val="none"/>
          <w:lang w:eastAsia="zh-CN"/>
        </w:rPr>
        <w:t>市</w:t>
      </w:r>
      <w:r>
        <w:rPr>
          <w:rFonts w:hint="eastAsia" w:ascii="仿宋" w:hAnsi="仿宋" w:eastAsia="仿宋" w:cs="仿宋"/>
          <w:color w:val="auto"/>
          <w:szCs w:val="32"/>
          <w:highlight w:val="none"/>
        </w:rPr>
        <w:t>战略，开展质量提升行动</w:t>
      </w:r>
      <w:r>
        <w:rPr>
          <w:rFonts w:hint="eastAsia" w:ascii="仿宋" w:hAnsi="仿宋" w:eastAsia="仿宋" w:cs="仿宋"/>
          <w:color w:val="auto"/>
          <w:szCs w:val="32"/>
          <w:highlight w:val="none"/>
          <w:lang w:eastAsia="zh-CN"/>
        </w:rPr>
        <w:t>，提高</w:t>
      </w:r>
      <w:r>
        <w:rPr>
          <w:rFonts w:hint="eastAsia" w:ascii="仿宋" w:hAnsi="仿宋" w:eastAsia="仿宋" w:cs="仿宋"/>
          <w:color w:val="auto"/>
          <w:szCs w:val="32"/>
          <w:highlight w:val="none"/>
        </w:rPr>
        <w:t>产业发展质量效益和竞争力</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打造最具潜力的重要先进制造业高地</w:t>
      </w:r>
      <w:r>
        <w:rPr>
          <w:rFonts w:hint="eastAsia" w:ascii="仿宋" w:hAnsi="仿宋" w:eastAsia="仿宋" w:cs="仿宋"/>
          <w:color w:val="auto"/>
          <w:szCs w:val="32"/>
          <w:highlight w:val="none"/>
        </w:rPr>
        <w:t>。</w:t>
      </w:r>
    </w:p>
    <w:p w14:paraId="1E6E6368">
      <w:pPr>
        <w:pStyle w:val="4"/>
        <w:keepNext/>
        <w:keepLines/>
        <w:pageBreakBefore w:val="0"/>
        <w:widowControl w:val="0"/>
        <w:numPr>
          <w:ilvl w:val="0"/>
          <w:numId w:val="0"/>
        </w:numPr>
        <w:kinsoku/>
        <w:wordWrap/>
        <w:overflowPunct/>
        <w:topLinePunct w:val="0"/>
        <w:autoSpaceDE/>
        <w:autoSpaceDN/>
        <w:bidi w:val="0"/>
        <w:adjustRightInd/>
        <w:snapToGrid/>
        <w:spacing w:before="100" w:after="100" w:line="420" w:lineRule="auto"/>
        <w:ind w:left="292" w:leftChars="0"/>
        <w:jc w:val="center"/>
        <w:textAlignment w:val="auto"/>
        <w:rPr>
          <w:rFonts w:hint="eastAsia" w:ascii="黑体" w:hAnsi="黑体" w:eastAsia="黑体" w:cs="黑体"/>
          <w:b w:val="0"/>
          <w:bCs/>
          <w:color w:val="auto"/>
          <w:highlight w:val="none"/>
        </w:rPr>
      </w:pPr>
      <w:bookmarkStart w:id="55" w:name="_Toc26726"/>
      <w:bookmarkStart w:id="56" w:name="_Toc8772"/>
      <w:r>
        <w:rPr>
          <w:rFonts w:hint="eastAsia" w:ascii="黑体" w:hAnsi="黑体" w:eastAsia="黑体" w:cs="黑体"/>
          <w:b w:val="0"/>
          <w:bCs/>
          <w:color w:val="auto"/>
          <w:kern w:val="44"/>
          <w:sz w:val="32"/>
          <w:szCs w:val="32"/>
          <w:highlight w:val="none"/>
          <w:lang w:val="en-US" w:eastAsia="zh-CN" w:bidi="ar-SA"/>
        </w:rPr>
        <w:t>第一节  推进先进制造业发展</w:t>
      </w:r>
      <w:bookmarkEnd w:id="55"/>
      <w:bookmarkEnd w:id="56"/>
    </w:p>
    <w:p w14:paraId="6F5C1FCC">
      <w:pPr>
        <w:pageBreakBefore w:val="0"/>
        <w:widowControl w:val="0"/>
        <w:kinsoku/>
        <w:wordWrap/>
        <w:overflowPunct/>
        <w:bidi w:val="0"/>
        <w:spacing w:line="420" w:lineRule="auto"/>
        <w:ind w:firstLine="640" w:firstLineChars="200"/>
        <w:jc w:val="both"/>
        <w:rPr>
          <w:rFonts w:hint="eastAsia" w:ascii="仿宋" w:hAnsi="仿宋" w:eastAsia="仿宋" w:cs="仿宋"/>
          <w:color w:val="auto"/>
          <w:highlight w:val="none"/>
        </w:rPr>
      </w:pPr>
      <w:r>
        <w:rPr>
          <w:rFonts w:hint="eastAsia" w:ascii="仿宋" w:hAnsi="仿宋" w:eastAsia="仿宋" w:cs="仿宋"/>
          <w:color w:val="auto"/>
          <w:szCs w:val="32"/>
          <w:highlight w:val="none"/>
          <w:lang w:eastAsia="zh-CN"/>
        </w:rPr>
        <w:t>积极主动承接</w:t>
      </w:r>
      <w:r>
        <w:rPr>
          <w:rFonts w:hint="eastAsia" w:ascii="仿宋" w:hAnsi="仿宋" w:eastAsia="仿宋" w:cs="仿宋"/>
          <w:color w:val="auto"/>
          <w:szCs w:val="32"/>
          <w:highlight w:val="none"/>
          <w:lang w:val="en-US" w:eastAsia="zh-CN"/>
        </w:rPr>
        <w:t>先进制造业转移，锚定“三类500强”企业，积极对接</w:t>
      </w:r>
      <w:r>
        <w:rPr>
          <w:rFonts w:hint="eastAsia" w:ascii="仿宋" w:hAnsi="仿宋" w:eastAsia="仿宋" w:cs="仿宋"/>
          <w:color w:val="auto"/>
          <w:szCs w:val="32"/>
          <w:highlight w:val="none"/>
          <w:lang w:eastAsia="zh-CN"/>
        </w:rPr>
        <w:t>粤港澳</w:t>
      </w:r>
      <w:r>
        <w:rPr>
          <w:rFonts w:hint="eastAsia" w:ascii="仿宋" w:hAnsi="仿宋" w:eastAsia="仿宋" w:cs="仿宋"/>
          <w:color w:val="auto"/>
          <w:szCs w:val="32"/>
          <w:highlight w:val="none"/>
          <w:lang w:val="en-US" w:eastAsia="zh-CN"/>
        </w:rPr>
        <w:t>大湾区</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长三角、长株潭</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加快高、精、深、实产学研成果转化落地，</w:t>
      </w:r>
      <w:r>
        <w:rPr>
          <w:rFonts w:hint="eastAsia" w:ascii="仿宋" w:hAnsi="仿宋" w:eastAsia="仿宋" w:cs="仿宋"/>
          <w:color w:val="auto"/>
          <w:szCs w:val="32"/>
          <w:highlight w:val="none"/>
          <w:lang w:eastAsia="zh-CN"/>
        </w:rPr>
        <w:t>以</w:t>
      </w:r>
      <w:r>
        <w:rPr>
          <w:rFonts w:hint="eastAsia" w:ascii="仿宋" w:hAnsi="仿宋" w:eastAsia="仿宋" w:cs="仿宋"/>
          <w:color w:val="auto"/>
          <w:szCs w:val="32"/>
          <w:highlight w:val="none"/>
        </w:rPr>
        <w:t>“湘南湘西承接产业转移示范区”</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沪昆百里工业走</w:t>
      </w:r>
      <w:r>
        <w:rPr>
          <w:rFonts w:hint="eastAsia" w:ascii="仿宋" w:hAnsi="仿宋" w:eastAsia="仿宋" w:cs="仿宋"/>
          <w:color w:val="auto"/>
          <w:szCs w:val="32"/>
          <w:highlight w:val="none"/>
          <w:lang w:eastAsia="zh-CN"/>
        </w:rPr>
        <w:t>廊</w:t>
      </w:r>
      <w:r>
        <w:rPr>
          <w:rFonts w:hint="eastAsia" w:ascii="仿宋" w:hAnsi="仿宋" w:eastAsia="仿宋" w:cs="仿宋"/>
          <w:color w:val="auto"/>
          <w:szCs w:val="32"/>
          <w:highlight w:val="none"/>
        </w:rPr>
        <w:t>建设</w:t>
      </w:r>
      <w:r>
        <w:rPr>
          <w:rFonts w:hint="eastAsia" w:ascii="仿宋" w:hAnsi="仿宋" w:eastAsia="仿宋" w:cs="仿宋"/>
          <w:color w:val="auto"/>
          <w:szCs w:val="32"/>
          <w:highlight w:val="none"/>
          <w:lang w:eastAsia="zh-CN"/>
        </w:rPr>
        <w:t>为契机，大力</w:t>
      </w:r>
      <w:r>
        <w:rPr>
          <w:rFonts w:hint="eastAsia" w:ascii="仿宋" w:hAnsi="仿宋" w:eastAsia="仿宋" w:cs="仿宋"/>
          <w:color w:val="auto"/>
          <w:szCs w:val="32"/>
          <w:highlight w:val="none"/>
        </w:rPr>
        <w:t>推进制造业高质量发展。至2025年，实现规模工业总产值150亿元，年增长</w:t>
      </w:r>
      <w:r>
        <w:rPr>
          <w:rFonts w:hint="eastAsia" w:ascii="仿宋" w:hAnsi="仿宋" w:eastAsia="仿宋" w:cs="仿宋"/>
          <w:color w:val="auto"/>
          <w:szCs w:val="32"/>
          <w:highlight w:val="none"/>
          <w:lang w:val="en-US" w:eastAsia="zh-CN"/>
        </w:rPr>
        <w:t>10%</w:t>
      </w:r>
      <w:r>
        <w:rPr>
          <w:rFonts w:hint="eastAsia" w:ascii="仿宋" w:hAnsi="仿宋" w:eastAsia="仿宋" w:cs="仿宋"/>
          <w:color w:val="auto"/>
          <w:szCs w:val="32"/>
          <w:highlight w:val="none"/>
          <w:lang w:eastAsia="zh-CN"/>
        </w:rPr>
        <w:t>以上</w:t>
      </w:r>
      <w:r>
        <w:rPr>
          <w:rFonts w:hint="eastAsia" w:ascii="仿宋" w:hAnsi="仿宋" w:eastAsia="仿宋" w:cs="仿宋"/>
          <w:color w:val="auto"/>
          <w:szCs w:val="32"/>
          <w:highlight w:val="none"/>
        </w:rPr>
        <w:t>；规模工业增加值</w:t>
      </w:r>
      <w:r>
        <w:rPr>
          <w:rFonts w:hint="eastAsia" w:ascii="仿宋" w:hAnsi="仿宋" w:eastAsia="仿宋" w:cs="仿宋"/>
          <w:color w:val="auto"/>
          <w:szCs w:val="32"/>
          <w:highlight w:val="none"/>
          <w:lang w:val="en-US" w:eastAsia="zh-CN"/>
        </w:rPr>
        <w:t>28</w:t>
      </w:r>
      <w:r>
        <w:rPr>
          <w:rFonts w:hint="eastAsia" w:ascii="仿宋" w:hAnsi="仿宋" w:eastAsia="仿宋" w:cs="仿宋"/>
          <w:color w:val="auto"/>
          <w:szCs w:val="32"/>
          <w:highlight w:val="none"/>
        </w:rPr>
        <w:t>亿元，年增长7</w:t>
      </w:r>
      <w:r>
        <w:rPr>
          <w:rFonts w:hint="eastAsia" w:ascii="仿宋" w:hAnsi="仿宋" w:eastAsia="仿宋" w:cs="仿宋"/>
          <w:color w:val="auto"/>
          <w:szCs w:val="32"/>
          <w:highlight w:val="none"/>
          <w:lang w:val="en-US" w:eastAsia="zh-CN"/>
        </w:rPr>
        <w:t>.5%</w:t>
      </w:r>
      <w:r>
        <w:rPr>
          <w:rFonts w:hint="eastAsia" w:ascii="仿宋" w:hAnsi="仿宋" w:eastAsia="仿宋" w:cs="仿宋"/>
          <w:color w:val="auto"/>
          <w:szCs w:val="32"/>
          <w:highlight w:val="none"/>
          <w:lang w:eastAsia="zh-CN"/>
        </w:rPr>
        <w:t>以上</w:t>
      </w:r>
      <w:r>
        <w:rPr>
          <w:rFonts w:hint="eastAsia" w:ascii="仿宋" w:hAnsi="仿宋" w:eastAsia="仿宋" w:cs="仿宋"/>
          <w:color w:val="auto"/>
          <w:szCs w:val="32"/>
          <w:highlight w:val="none"/>
        </w:rPr>
        <w:t>；规模工业企业1</w:t>
      </w:r>
      <w:r>
        <w:rPr>
          <w:rFonts w:hint="eastAsia" w:ascii="仿宋" w:hAnsi="仿宋" w:eastAsia="仿宋" w:cs="仿宋"/>
          <w:color w:val="auto"/>
          <w:szCs w:val="32"/>
          <w:highlight w:val="none"/>
          <w:lang w:val="en-US" w:eastAsia="zh-CN"/>
        </w:rPr>
        <w:t>4</w:t>
      </w:r>
      <w:r>
        <w:rPr>
          <w:rFonts w:hint="eastAsia" w:ascii="仿宋" w:hAnsi="仿宋" w:eastAsia="仿宋" w:cs="仿宋"/>
          <w:color w:val="auto"/>
          <w:szCs w:val="32"/>
          <w:highlight w:val="none"/>
        </w:rPr>
        <w:t>0家，高新技术企业</w:t>
      </w:r>
      <w:r>
        <w:rPr>
          <w:rFonts w:hint="eastAsia" w:ascii="仿宋" w:hAnsi="仿宋" w:eastAsia="仿宋" w:cs="仿宋"/>
          <w:color w:val="auto"/>
          <w:szCs w:val="32"/>
          <w:highlight w:val="none"/>
          <w:lang w:val="en-US" w:eastAsia="zh-CN"/>
        </w:rPr>
        <w:t>50</w:t>
      </w:r>
      <w:r>
        <w:rPr>
          <w:rFonts w:hint="eastAsia" w:ascii="仿宋" w:hAnsi="仿宋" w:eastAsia="仿宋" w:cs="仿宋"/>
          <w:color w:val="auto"/>
          <w:szCs w:val="32"/>
          <w:highlight w:val="none"/>
        </w:rPr>
        <w:t>家。</w:t>
      </w:r>
    </w:p>
    <w:p w14:paraId="53F817F4">
      <w:pPr>
        <w:keepNext w:val="0"/>
        <w:keepLines w:val="0"/>
        <w:pageBreakBefore w:val="0"/>
        <w:widowControl w:val="0"/>
        <w:kinsoku/>
        <w:wordWrap/>
        <w:overflowPunct/>
        <w:topLinePunct w:val="0"/>
        <w:autoSpaceDE/>
        <w:autoSpaceDN/>
        <w:bidi w:val="0"/>
        <w:adjustRightInd/>
        <w:snapToGrid/>
        <w:spacing w:after="63" w:afterLines="20" w:line="624" w:lineRule="exact"/>
        <w:ind w:firstLine="643" w:firstLineChars="200"/>
        <w:jc w:val="both"/>
        <w:textAlignment w:val="auto"/>
        <w:rPr>
          <w:rFonts w:hint="eastAsia" w:ascii="仿宋" w:hAnsi="仿宋" w:eastAsia="仿宋" w:cs="仿宋"/>
          <w:b/>
          <w:bCs/>
          <w:color w:val="auto"/>
          <w:szCs w:val="32"/>
          <w:highlight w:val="none"/>
        </w:rPr>
      </w:pPr>
      <w:r>
        <w:rPr>
          <w:rFonts w:hint="eastAsia" w:ascii="楷体" w:hAnsi="楷体" w:eastAsia="楷体" w:cs="楷体"/>
          <w:b/>
          <w:bCs/>
          <w:color w:val="auto"/>
          <w:szCs w:val="32"/>
          <w:highlight w:val="none"/>
          <w:lang w:val="en-US" w:eastAsia="zh-CN"/>
        </w:rPr>
        <w:t>整合大平台，</w:t>
      </w:r>
      <w:r>
        <w:rPr>
          <w:rFonts w:hint="eastAsia" w:ascii="楷体" w:hAnsi="楷体" w:eastAsia="楷体" w:cs="楷体"/>
          <w:b/>
          <w:bCs/>
          <w:color w:val="auto"/>
          <w:szCs w:val="32"/>
          <w:highlight w:val="none"/>
        </w:rPr>
        <w:t>打造</w:t>
      </w:r>
      <w:r>
        <w:rPr>
          <w:rFonts w:hint="eastAsia" w:ascii="楷体" w:hAnsi="楷体" w:eastAsia="楷体" w:cs="楷体"/>
          <w:b/>
          <w:bCs/>
          <w:color w:val="auto"/>
          <w:szCs w:val="32"/>
          <w:highlight w:val="none"/>
          <w:lang w:val="en-US" w:eastAsia="zh-CN"/>
        </w:rPr>
        <w:t>先进</w:t>
      </w:r>
      <w:r>
        <w:rPr>
          <w:rFonts w:hint="eastAsia" w:ascii="楷体" w:hAnsi="楷体" w:eastAsia="楷体" w:cs="楷体"/>
          <w:b/>
          <w:bCs/>
          <w:color w:val="auto"/>
          <w:szCs w:val="32"/>
          <w:highlight w:val="none"/>
        </w:rPr>
        <w:t>制造业集群</w:t>
      </w:r>
      <w:r>
        <w:rPr>
          <w:rFonts w:hint="eastAsia" w:ascii="楷体" w:hAnsi="楷体" w:eastAsia="楷体" w:cs="楷体"/>
          <w:b/>
          <w:bCs/>
          <w:color w:val="auto"/>
          <w:szCs w:val="32"/>
          <w:highlight w:val="none"/>
          <w:lang w:val="en-US" w:eastAsia="zh-CN"/>
        </w:rPr>
        <w:t>聚集区</w:t>
      </w:r>
      <w:r>
        <w:rPr>
          <w:rFonts w:hint="eastAsia" w:ascii="楷体" w:hAnsi="楷体" w:eastAsia="楷体" w:cs="楷体"/>
          <w:b/>
          <w:bCs/>
          <w:color w:val="auto"/>
          <w:szCs w:val="32"/>
          <w:highlight w:val="none"/>
        </w:rPr>
        <w:t>。</w:t>
      </w:r>
      <w:r>
        <w:rPr>
          <w:rFonts w:hint="eastAsia" w:ascii="仿宋" w:hAnsi="仿宋" w:eastAsia="仿宋" w:cs="仿宋"/>
          <w:color w:val="auto"/>
          <w:szCs w:val="32"/>
          <w:highlight w:val="none"/>
          <w:lang w:val="en-US" w:eastAsia="zh-CN"/>
        </w:rPr>
        <w:t>坚持不懈锻长板补短板，着力构建自主可控、安全高效的产业链供应链。大力建链延链强链，推动产业链与供应链、创新链、资金链、政策链深度融合，打造要素齐全、市场高企、核心引领的先进制造业大平台，用平台来聚集，用聚集来辐射，用辐射来链接，形成既有主业又有配套的先进制造业聚集地，推进园区提质升级，抓好特色园区，加快</w:t>
      </w:r>
      <w:r>
        <w:rPr>
          <w:rFonts w:hint="eastAsia" w:ascii="仿宋" w:hAnsi="仿宋" w:eastAsia="仿宋" w:cs="仿宋"/>
          <w:color w:val="auto"/>
          <w:kern w:val="2"/>
          <w:sz w:val="32"/>
          <w:szCs w:val="32"/>
          <w:highlight w:val="none"/>
          <w:lang w:val="en-US" w:eastAsia="zh-CN" w:bidi="ar-SA"/>
        </w:rPr>
        <w:t>先进制造产业园建设</w:t>
      </w:r>
      <w:r>
        <w:rPr>
          <w:rFonts w:hint="eastAsia" w:ascii="仿宋" w:hAnsi="仿宋" w:eastAsia="仿宋" w:cs="仿宋"/>
          <w:color w:val="auto"/>
          <w:szCs w:val="32"/>
          <w:highlight w:val="none"/>
        </w:rPr>
        <w:t>。</w:t>
      </w:r>
    </w:p>
    <w:p w14:paraId="400A69A2">
      <w:pPr>
        <w:keepNext w:val="0"/>
        <w:keepLines w:val="0"/>
        <w:pageBreakBefore w:val="0"/>
        <w:widowControl w:val="0"/>
        <w:kinsoku/>
        <w:wordWrap/>
        <w:overflowPunct/>
        <w:topLinePunct w:val="0"/>
        <w:autoSpaceDE/>
        <w:autoSpaceDN/>
        <w:bidi w:val="0"/>
        <w:adjustRightInd/>
        <w:snapToGrid/>
        <w:spacing w:after="95" w:afterLines="30" w:line="624" w:lineRule="exact"/>
        <w:ind w:firstLine="643" w:firstLineChars="200"/>
        <w:textAlignment w:val="auto"/>
        <w:rPr>
          <w:rFonts w:hint="eastAsia" w:ascii="仿宋" w:hAnsi="仿宋" w:eastAsia="仿宋" w:cs="仿宋"/>
          <w:color w:val="auto"/>
          <w:szCs w:val="32"/>
          <w:highlight w:val="none"/>
        </w:rPr>
      </w:pPr>
      <w:r>
        <w:rPr>
          <w:rFonts w:hint="eastAsia" w:ascii="黑体" w:hAnsi="黑体" w:eastAsia="黑体" w:cs="黑体"/>
          <w:b/>
          <w:bCs w:val="0"/>
          <w:color w:val="auto"/>
          <w:szCs w:val="32"/>
          <w:highlight w:val="none"/>
        </w:rPr>
        <w:t>——</w:t>
      </w:r>
      <w:r>
        <w:rPr>
          <w:rFonts w:hint="eastAsia" w:ascii="仿宋" w:hAnsi="仿宋" w:eastAsia="仿宋" w:cs="仿宋"/>
          <w:b/>
          <w:bCs w:val="0"/>
          <w:color w:val="auto"/>
          <w:szCs w:val="32"/>
          <w:highlight w:val="none"/>
        </w:rPr>
        <w:t>建成“五好”园区。</w:t>
      </w:r>
      <w:r>
        <w:rPr>
          <w:rFonts w:hint="eastAsia" w:ascii="仿宋" w:hAnsi="仿宋" w:eastAsia="仿宋" w:cs="仿宋"/>
          <w:color w:val="auto"/>
          <w:szCs w:val="32"/>
          <w:highlight w:val="none"/>
        </w:rPr>
        <w:t>围绕生产、生活、生态“三生”融合目标，推进规划形态、园区业态、产业生态“三态”协同发展，推进产城、产教、产金融合和跨界融合创新，打造研发、生产、服务一体化的产业综合体、增强园区产业创新力、竞争力、发展力。要优化空间布局和产业布局，加快园区升级整合。</w:t>
      </w:r>
      <w:r>
        <w:rPr>
          <w:rFonts w:hint="eastAsia" w:ascii="仿宋" w:hAnsi="仿宋" w:eastAsia="仿宋" w:cs="仿宋"/>
          <w:bCs/>
          <w:color w:val="auto"/>
          <w:szCs w:val="32"/>
          <w:highlight w:val="none"/>
        </w:rPr>
        <w:t>建设科技创新、金融服务、人才服务和现代物流四大平台。做强“一主一特”两大产业，不断推动形成以帝立德、科盛制造和永锐电子等为核心的电子配件和机械制造产业链条，加速推进以百威啤酒、乡乡嘴、金福元等为代表的特色食品加工产业升级，打造优势品牌。建设产业综合体，构建现代产业体系，探索建设智慧园区，促进产城融合发展。加强领导班子和人才队伍建设，创新园区管理体制，推进园区市场化运营，实施精准专业招商。打造一流营商环境，建设绿色低碳园区，强化园区安全稳定保障。</w:t>
      </w:r>
    </w:p>
    <w:p w14:paraId="3EB7CBA7">
      <w:pPr>
        <w:keepNext w:val="0"/>
        <w:keepLines w:val="0"/>
        <w:pageBreakBefore w:val="0"/>
        <w:widowControl w:val="0"/>
        <w:kinsoku/>
        <w:wordWrap/>
        <w:overflowPunct/>
        <w:topLinePunct w:val="0"/>
        <w:autoSpaceDE/>
        <w:autoSpaceDN/>
        <w:bidi w:val="0"/>
        <w:adjustRightInd/>
        <w:snapToGrid/>
        <w:spacing w:line="624" w:lineRule="exact"/>
        <w:ind w:firstLine="640" w:firstLineChars="200"/>
        <w:textAlignment w:val="auto"/>
        <w:rPr>
          <w:rFonts w:ascii="仿宋" w:hAnsi="仿宋" w:eastAsia="仿宋" w:cs="仿宋"/>
          <w:color w:val="FF0000"/>
          <w:szCs w:val="32"/>
          <w:highlight w:val="none"/>
        </w:rPr>
      </w:pPr>
      <w:r>
        <w:rPr>
          <w:rFonts w:hint="eastAsia" w:ascii="仿宋" w:hAnsi="仿宋" w:eastAsia="仿宋" w:cs="仿宋"/>
          <w:color w:val="auto"/>
          <w:szCs w:val="32"/>
          <w:highlight w:val="none"/>
        </w:rPr>
        <w:t>到2025年，湖南武冈经开区工业总产值突破120亿元，年增速10%，规模工业总产值超100亿，年增速10%，规模工业占比达到全市的90％。技工贸总收入突破300亿元，固定资产投资增速20％。园区单位面积投资和税收产出强度达到200万/亩和15万/亩。</w:t>
      </w:r>
      <w:r>
        <w:rPr>
          <w:rFonts w:hint="eastAsia" w:ascii="仿宋" w:hAnsi="仿宋" w:eastAsia="仿宋" w:cs="仿宋"/>
          <w:bCs/>
          <w:color w:val="auto"/>
          <w:szCs w:val="32"/>
          <w:highlight w:val="none"/>
        </w:rPr>
        <w:t>园区</w:t>
      </w:r>
      <w:r>
        <w:rPr>
          <w:rFonts w:hint="eastAsia" w:ascii="仿宋" w:hAnsi="仿宋" w:eastAsia="仿宋" w:cs="仿宋"/>
          <w:color w:val="auto"/>
          <w:szCs w:val="32"/>
          <w:highlight w:val="none"/>
        </w:rPr>
        <w:t>发展质量更高，创新引领更明显，特色品牌优势更突出，先进制造更聚集、绿色发展更优先、吸聚效应更强大，集约节约更显著。</w:t>
      </w:r>
    </w:p>
    <w:p w14:paraId="7E68CCB6">
      <w:pPr>
        <w:pageBreakBefore w:val="0"/>
        <w:widowControl w:val="0"/>
        <w:kinsoku/>
        <w:wordWrap/>
        <w:overflowPunct/>
        <w:bidi w:val="0"/>
        <w:spacing w:line="420" w:lineRule="auto"/>
        <w:ind w:firstLine="643" w:firstLineChars="200"/>
        <w:jc w:val="both"/>
        <w:rPr>
          <w:rFonts w:hint="eastAsia" w:ascii="仿宋" w:hAnsi="仿宋" w:eastAsia="仿宋" w:cs="仿宋"/>
          <w:color w:val="auto"/>
          <w:szCs w:val="32"/>
          <w:highlight w:val="none"/>
        </w:rPr>
      </w:pPr>
      <w:r>
        <w:rPr>
          <w:rFonts w:hint="eastAsia" w:ascii="黑体" w:hAnsi="黑体" w:eastAsia="黑体" w:cs="黑体"/>
          <w:b/>
          <w:bCs/>
          <w:color w:val="auto"/>
          <w:szCs w:val="32"/>
          <w:highlight w:val="none"/>
        </w:rPr>
        <w:t>——</w:t>
      </w:r>
      <w:r>
        <w:rPr>
          <w:rFonts w:hint="eastAsia" w:ascii="仿宋" w:hAnsi="仿宋" w:eastAsia="仿宋" w:cs="仿宋"/>
          <w:b/>
          <w:bCs/>
          <w:color w:val="auto"/>
          <w:szCs w:val="32"/>
          <w:highlight w:val="none"/>
        </w:rPr>
        <w:t>建优建特“园中园”。</w:t>
      </w:r>
      <w:r>
        <w:rPr>
          <w:rFonts w:hint="eastAsia" w:ascii="仿宋" w:hAnsi="仿宋" w:eastAsia="仿宋" w:cs="仿宋"/>
          <w:color w:val="auto"/>
          <w:szCs w:val="32"/>
          <w:highlight w:val="none"/>
        </w:rPr>
        <w:t>树立“创新、特色、品牌”的园区发展理念，以龙头企业为核心，建立共生产业园，形成专业化的主体产业链。加快推进现代服务业集聚区</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先进制造产业园、电子信息产业园</w:t>
      </w:r>
      <w:r>
        <w:rPr>
          <w:rFonts w:hint="eastAsia" w:ascii="仿宋" w:hAnsi="仿宋" w:eastAsia="仿宋" w:cs="仿宋"/>
          <w:color w:val="auto"/>
          <w:szCs w:val="32"/>
          <w:highlight w:val="none"/>
          <w:lang w:eastAsia="zh-CN"/>
        </w:rPr>
        <w:t>、现代物流产业园</w:t>
      </w:r>
      <w:r>
        <w:rPr>
          <w:rFonts w:hint="eastAsia" w:ascii="仿宋" w:hAnsi="仿宋" w:eastAsia="仿宋" w:cs="仿宋"/>
          <w:color w:val="auto"/>
          <w:szCs w:val="32"/>
          <w:highlight w:val="none"/>
        </w:rPr>
        <w:t>、</w:t>
      </w:r>
      <w:r>
        <w:rPr>
          <w:rFonts w:hint="eastAsia" w:ascii="仿宋" w:hAnsi="仿宋" w:eastAsia="仿宋" w:cs="仿宋"/>
          <w:color w:val="auto"/>
          <w:szCs w:val="32"/>
          <w:highlight w:val="none"/>
          <w:lang w:eastAsia="zh-CN"/>
        </w:rPr>
        <w:t>食品产业园、生物医药产业园、</w:t>
      </w:r>
      <w:r>
        <w:rPr>
          <w:rFonts w:hint="eastAsia" w:ascii="仿宋" w:hAnsi="仿宋" w:eastAsia="仿宋" w:cs="仿宋"/>
          <w:color w:val="auto"/>
          <w:szCs w:val="32"/>
          <w:highlight w:val="none"/>
        </w:rPr>
        <w:t>新型建材产业园、新型轻工产业园建设</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大幅提升园区产业承载能力。</w:t>
      </w:r>
    </w:p>
    <w:p w14:paraId="4FC5B1BF">
      <w:pPr>
        <w:pStyle w:val="6"/>
        <w:pageBreakBefore w:val="0"/>
        <w:widowControl w:val="0"/>
        <w:kinsoku/>
        <w:wordWrap/>
        <w:overflowPunct/>
        <w:bidi w:val="0"/>
        <w:spacing w:after="200"/>
        <w:jc w:val="both"/>
        <w:rPr>
          <w:rFonts w:hint="eastAsia" w:ascii="仿宋" w:hAnsi="仿宋" w:eastAsia="仿宋" w:cs="仿宋"/>
          <w:color w:val="auto"/>
          <w:kern w:val="2"/>
          <w:sz w:val="32"/>
          <w:szCs w:val="32"/>
          <w:highlight w:val="none"/>
          <w:lang w:val="en-US" w:eastAsia="zh-CN" w:bidi="ar-SA"/>
        </w:rPr>
      </w:pPr>
      <w:r>
        <w:rPr>
          <w:rFonts w:hint="eastAsia" w:ascii="黑体" w:hAnsi="黑体" w:eastAsia="黑体" w:cs="黑体"/>
          <w:b/>
          <w:bCs/>
          <w:color w:val="auto"/>
          <w:kern w:val="2"/>
          <w:sz w:val="32"/>
          <w:szCs w:val="32"/>
          <w:highlight w:val="none"/>
          <w:lang w:val="en-US" w:eastAsia="zh-CN" w:bidi="ar-SA"/>
        </w:rPr>
        <w:t>——</w:t>
      </w:r>
      <w:r>
        <w:rPr>
          <w:rFonts w:hint="eastAsia" w:ascii="仿宋" w:hAnsi="仿宋" w:eastAsia="仿宋" w:cs="仿宋"/>
          <w:b/>
          <w:bCs/>
          <w:color w:val="auto"/>
          <w:kern w:val="2"/>
          <w:sz w:val="32"/>
          <w:szCs w:val="32"/>
          <w:highlight w:val="none"/>
          <w:lang w:val="en-US" w:eastAsia="zh-CN" w:bidi="ar-SA"/>
        </w:rPr>
        <w:t>抓好抓实“一中心”。</w:t>
      </w:r>
      <w:r>
        <w:rPr>
          <w:rFonts w:hint="eastAsia" w:ascii="仿宋" w:hAnsi="仿宋" w:eastAsia="仿宋" w:cs="仿宋"/>
          <w:color w:val="auto"/>
          <w:kern w:val="2"/>
          <w:sz w:val="32"/>
          <w:szCs w:val="32"/>
          <w:highlight w:val="none"/>
          <w:lang w:val="en-US" w:eastAsia="zh-CN" w:bidi="ar-SA"/>
        </w:rPr>
        <w:t>按照“三高四新”战略要求，夯实先进制造业基础，加速先进制造产业园、科技创新中心落地，以智能制造特色产业园为核心，配套发展两组团：即园区西片区制药高新工业组团，重点发展生物医药与电子加工</w:t>
      </w:r>
      <w:r>
        <w:rPr>
          <w:rFonts w:hint="eastAsia" w:cs="仿宋"/>
          <w:color w:val="auto"/>
          <w:kern w:val="2"/>
          <w:sz w:val="32"/>
          <w:szCs w:val="32"/>
          <w:highlight w:val="none"/>
          <w:lang w:val="en-US" w:eastAsia="zh-CN" w:bidi="ar-SA"/>
        </w:rPr>
        <w:t>；</w:t>
      </w:r>
      <w:r>
        <w:rPr>
          <w:rFonts w:hint="eastAsia" w:ascii="仿宋" w:hAnsi="仿宋" w:eastAsia="仿宋" w:cs="仿宋"/>
          <w:color w:val="auto"/>
          <w:kern w:val="2"/>
          <w:sz w:val="32"/>
          <w:szCs w:val="32"/>
          <w:highlight w:val="none"/>
          <w:lang w:val="en-US" w:eastAsia="zh-CN" w:bidi="ar-SA"/>
        </w:rPr>
        <w:t>园区东片区物流及机械制造工业组团，重点发展机械装备制造与现代物流业。到2025年，先进制造产业园工业总产值突破20亿元，规模工业占全市工业比重达20％。</w:t>
      </w:r>
    </w:p>
    <w:tbl>
      <w:tblPr>
        <w:tblStyle w:val="21"/>
        <w:tblW w:w="5000" w:type="pct"/>
        <w:tblInd w:w="0" w:type="dxa"/>
        <w:shd w:val="clear" w:color="auto" w:fill="auto"/>
        <w:tblLayout w:type="autofit"/>
        <w:tblCellMar>
          <w:top w:w="0" w:type="dxa"/>
          <w:left w:w="0" w:type="dxa"/>
          <w:bottom w:w="0" w:type="dxa"/>
          <w:right w:w="0" w:type="dxa"/>
        </w:tblCellMar>
      </w:tblPr>
      <w:tblGrid>
        <w:gridCol w:w="8812"/>
      </w:tblGrid>
      <w:tr w14:paraId="52A377D6">
        <w:tblPrEx>
          <w:tblCellMar>
            <w:top w:w="0" w:type="dxa"/>
            <w:left w:w="0" w:type="dxa"/>
            <w:bottom w:w="0" w:type="dxa"/>
            <w:right w:w="0" w:type="dxa"/>
          </w:tblCellMar>
        </w:tblPrEx>
        <w:trPr>
          <w:trHeight w:val="620"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74FECB7">
            <w:pPr>
              <w:keepNext w:val="0"/>
              <w:keepLines w:val="0"/>
              <w:pageBreakBefore w:val="0"/>
              <w:widowControl/>
              <w:suppressLineNumbers w:val="0"/>
              <w:wordWrap/>
              <w:bidi w:val="0"/>
              <w:jc w:val="center"/>
              <w:textAlignment w:val="center"/>
              <w:rPr>
                <w:rFonts w:hint="default" w:ascii="宋体" w:hAnsi="宋体" w:eastAsia="宋体" w:cs="宋体"/>
                <w:b/>
                <w:i w:val="0"/>
                <w:color w:val="auto"/>
                <w:sz w:val="24"/>
                <w:szCs w:val="24"/>
                <w:highlight w:val="none"/>
                <w:u w:val="none"/>
                <w:lang w:val="en-US"/>
              </w:rPr>
            </w:pPr>
            <w:r>
              <w:rPr>
                <w:rFonts w:hint="eastAsia" w:ascii="宋体" w:hAnsi="宋体" w:eastAsia="宋体" w:cs="宋体"/>
                <w:b/>
                <w:bCs/>
                <w:i w:val="0"/>
                <w:color w:val="auto"/>
                <w:kern w:val="0"/>
                <w:sz w:val="28"/>
                <w:szCs w:val="28"/>
                <w:highlight w:val="none"/>
                <w:u w:val="none"/>
                <w:lang w:val="en-US" w:eastAsia="zh-CN" w:bidi="ar"/>
              </w:rPr>
              <w:t>专栏3：特色产业园区发展行动</w:t>
            </w:r>
          </w:p>
        </w:tc>
      </w:tr>
      <w:tr w14:paraId="5EB1C7C7">
        <w:tblPrEx>
          <w:shd w:val="clear" w:color="auto" w:fill="auto"/>
          <w:tblCellMar>
            <w:top w:w="0" w:type="dxa"/>
            <w:left w:w="0" w:type="dxa"/>
            <w:bottom w:w="0" w:type="dxa"/>
            <w:right w:w="0" w:type="dxa"/>
          </w:tblCellMar>
        </w:tblPrEx>
        <w:trPr>
          <w:trHeight w:val="2545" w:hRule="atLeast"/>
        </w:trPr>
        <w:tc>
          <w:tcPr>
            <w:tcW w:w="500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4D187">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eastAsia" w:ascii="仿宋" w:hAnsi="仿宋" w:eastAsia="仿宋" w:cs="仿宋"/>
                <w:b w:val="0"/>
                <w:bCs w:val="0"/>
                <w:i w:val="0"/>
                <w:color w:val="auto"/>
                <w:kern w:val="0"/>
                <w:sz w:val="28"/>
                <w:szCs w:val="28"/>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 xml:space="preserve">    </w:t>
            </w:r>
            <w:r>
              <w:rPr>
                <w:rFonts w:hint="eastAsia" w:ascii="宋体" w:hAnsi="宋体" w:eastAsia="宋体" w:cs="宋体"/>
                <w:b/>
                <w:bCs/>
                <w:i w:val="0"/>
                <w:color w:val="auto"/>
                <w:kern w:val="0"/>
                <w:sz w:val="24"/>
                <w:szCs w:val="24"/>
                <w:highlight w:val="none"/>
                <w:u w:val="none"/>
                <w:lang w:val="en-US" w:eastAsia="zh-CN" w:bidi="ar"/>
              </w:rPr>
              <w:t>1.</w:t>
            </w:r>
            <w:r>
              <w:rPr>
                <w:rFonts w:hint="eastAsia" w:ascii="仿宋" w:hAnsi="仿宋" w:eastAsia="仿宋" w:cs="仿宋"/>
                <w:b/>
                <w:bCs/>
                <w:i w:val="0"/>
                <w:color w:val="auto"/>
                <w:kern w:val="0"/>
                <w:sz w:val="28"/>
                <w:szCs w:val="28"/>
                <w:highlight w:val="none"/>
                <w:u w:val="none"/>
                <w:lang w:val="en-US" w:eastAsia="zh-CN" w:bidi="ar"/>
              </w:rPr>
              <w:t>电子信息产业园：</w:t>
            </w:r>
            <w:r>
              <w:rPr>
                <w:rFonts w:hint="eastAsia" w:ascii="仿宋" w:hAnsi="仿宋" w:eastAsia="仿宋" w:cs="仿宋"/>
                <w:b w:val="0"/>
                <w:bCs w:val="0"/>
                <w:i w:val="0"/>
                <w:color w:val="auto"/>
                <w:kern w:val="0"/>
                <w:sz w:val="28"/>
                <w:szCs w:val="28"/>
                <w:highlight w:val="none"/>
                <w:u w:val="none"/>
                <w:lang w:val="en-US" w:eastAsia="zh-CN" w:bidi="ar"/>
              </w:rPr>
              <w:t>主要聚集半导体、高性能集成电路等领域电子制造企业，同时布置推进经开区先进智能装备制造业发展的电子信息配件生产企业，形成市场竞争力明显的基础电子产品集聚地和推动经开区产业信息化发展、承接产业转移的配套引领基地。</w:t>
            </w:r>
          </w:p>
          <w:p w14:paraId="27B4067D">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eastAsia" w:ascii="仿宋" w:hAnsi="仿宋" w:eastAsia="仿宋" w:cs="仿宋"/>
                <w:b w:val="0"/>
                <w:bCs w:val="0"/>
                <w:i w:val="0"/>
                <w:color w:val="auto"/>
                <w:kern w:val="0"/>
                <w:sz w:val="28"/>
                <w:szCs w:val="28"/>
                <w:highlight w:val="none"/>
                <w:u w:val="none"/>
                <w:lang w:val="en-US" w:eastAsia="zh-CN" w:bidi="ar"/>
              </w:rPr>
            </w:pPr>
            <w:r>
              <w:rPr>
                <w:rFonts w:hint="eastAsia" w:ascii="仿宋" w:hAnsi="仿宋" w:eastAsia="仿宋" w:cs="仿宋"/>
                <w:b w:val="0"/>
                <w:bCs w:val="0"/>
                <w:i w:val="0"/>
                <w:color w:val="auto"/>
                <w:kern w:val="0"/>
                <w:sz w:val="28"/>
                <w:szCs w:val="28"/>
                <w:highlight w:val="none"/>
                <w:u w:val="none"/>
                <w:lang w:val="en-US" w:eastAsia="zh-CN" w:bidi="ar"/>
              </w:rPr>
              <w:t xml:space="preserve">    </w:t>
            </w:r>
            <w:r>
              <w:rPr>
                <w:rFonts w:hint="eastAsia" w:ascii="仿宋" w:hAnsi="仿宋" w:eastAsia="仿宋" w:cs="仿宋"/>
                <w:b/>
                <w:bCs/>
                <w:i w:val="0"/>
                <w:color w:val="auto"/>
                <w:kern w:val="0"/>
                <w:sz w:val="28"/>
                <w:szCs w:val="28"/>
                <w:highlight w:val="none"/>
                <w:u w:val="none"/>
                <w:lang w:val="en-US" w:eastAsia="zh-CN" w:bidi="ar"/>
              </w:rPr>
              <w:t>2.装备制造产业园：</w:t>
            </w:r>
            <w:r>
              <w:rPr>
                <w:rFonts w:hint="eastAsia" w:ascii="仿宋" w:hAnsi="仿宋" w:eastAsia="仿宋" w:cs="仿宋"/>
                <w:b w:val="0"/>
                <w:bCs w:val="0"/>
                <w:i w:val="0"/>
                <w:color w:val="auto"/>
                <w:kern w:val="0"/>
                <w:sz w:val="28"/>
                <w:szCs w:val="28"/>
                <w:highlight w:val="none"/>
                <w:u w:val="none"/>
                <w:lang w:val="en-US" w:eastAsia="zh-CN" w:bidi="ar"/>
              </w:rPr>
              <w:t>主要聚集装备、工程机械、汽车制造、新能源装备、轨道交通装备、智能制造等整机或零部件生产企业，建设部分标准厂房，积极引进沿海制造领域知名企业及相关上下游企业，形成龙头企业带动、中小企业配套的全省先进装备制造产业园。</w:t>
            </w:r>
          </w:p>
          <w:p w14:paraId="36016407">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eastAsia" w:ascii="仿宋" w:hAnsi="仿宋" w:eastAsia="仿宋" w:cs="仿宋"/>
                <w:b w:val="0"/>
                <w:bCs w:val="0"/>
                <w:i w:val="0"/>
                <w:color w:val="auto"/>
                <w:kern w:val="0"/>
                <w:sz w:val="28"/>
                <w:szCs w:val="28"/>
                <w:highlight w:val="none"/>
                <w:u w:val="none"/>
                <w:lang w:val="en-US" w:eastAsia="zh-CN" w:bidi="ar"/>
              </w:rPr>
            </w:pPr>
            <w:r>
              <w:rPr>
                <w:rFonts w:hint="eastAsia" w:ascii="仿宋" w:hAnsi="仿宋" w:eastAsia="仿宋" w:cs="仿宋"/>
                <w:b w:val="0"/>
                <w:bCs w:val="0"/>
                <w:i w:val="0"/>
                <w:color w:val="auto"/>
                <w:kern w:val="0"/>
                <w:sz w:val="28"/>
                <w:szCs w:val="28"/>
                <w:highlight w:val="none"/>
                <w:u w:val="none"/>
                <w:lang w:val="en-US" w:eastAsia="zh-CN" w:bidi="ar"/>
              </w:rPr>
              <w:t xml:space="preserve">   </w:t>
            </w:r>
            <w:r>
              <w:rPr>
                <w:rFonts w:hint="eastAsia" w:ascii="仿宋" w:hAnsi="仿宋" w:eastAsia="仿宋" w:cs="仿宋"/>
                <w:b/>
                <w:bCs/>
                <w:i w:val="0"/>
                <w:color w:val="auto"/>
                <w:kern w:val="0"/>
                <w:sz w:val="28"/>
                <w:szCs w:val="28"/>
                <w:highlight w:val="none"/>
                <w:u w:val="none"/>
                <w:lang w:val="en-US" w:eastAsia="zh-CN" w:bidi="ar"/>
              </w:rPr>
              <w:t xml:space="preserve"> 3.生物医药产业园：</w:t>
            </w:r>
            <w:r>
              <w:rPr>
                <w:rFonts w:hint="eastAsia" w:ascii="仿宋" w:hAnsi="仿宋" w:eastAsia="仿宋" w:cs="仿宋"/>
                <w:b w:val="0"/>
                <w:bCs w:val="0"/>
                <w:i w:val="0"/>
                <w:color w:val="auto"/>
                <w:kern w:val="0"/>
                <w:sz w:val="28"/>
                <w:szCs w:val="28"/>
                <w:highlight w:val="none"/>
                <w:u w:val="none"/>
                <w:lang w:val="en-US" w:eastAsia="zh-CN" w:bidi="ar"/>
              </w:rPr>
              <w:t>引入医疗仪器和医疗器械类的企业，培育软件信息产业在医疗仪器领域的创新，招商引进一批医药企业，实现产业集聚。邀请科技型企业以及知名的医药研究机构开设分支机构，形成具有武冈特色的医药健康产学研联盟。</w:t>
            </w:r>
          </w:p>
          <w:p w14:paraId="6C3A9CBE">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eastAsia" w:ascii="仿宋" w:hAnsi="仿宋" w:eastAsia="仿宋" w:cs="仿宋"/>
                <w:b w:val="0"/>
                <w:bCs w:val="0"/>
                <w:i w:val="0"/>
                <w:color w:val="auto"/>
                <w:kern w:val="0"/>
                <w:sz w:val="28"/>
                <w:szCs w:val="28"/>
                <w:highlight w:val="none"/>
                <w:u w:val="none"/>
                <w:lang w:val="en-US" w:eastAsia="zh-CN" w:bidi="ar"/>
              </w:rPr>
            </w:pPr>
            <w:r>
              <w:rPr>
                <w:rFonts w:hint="eastAsia" w:ascii="仿宋" w:hAnsi="仿宋" w:eastAsia="仿宋" w:cs="仿宋"/>
                <w:b w:val="0"/>
                <w:bCs w:val="0"/>
                <w:i w:val="0"/>
                <w:color w:val="auto"/>
                <w:kern w:val="0"/>
                <w:sz w:val="28"/>
                <w:szCs w:val="28"/>
                <w:highlight w:val="none"/>
                <w:u w:val="none"/>
                <w:lang w:val="en-US" w:eastAsia="zh-CN" w:bidi="ar"/>
              </w:rPr>
              <w:t xml:space="preserve">    </w:t>
            </w:r>
            <w:r>
              <w:rPr>
                <w:rFonts w:hint="eastAsia" w:ascii="仿宋" w:hAnsi="仿宋" w:eastAsia="仿宋" w:cs="仿宋"/>
                <w:b/>
                <w:bCs/>
                <w:i w:val="0"/>
                <w:color w:val="auto"/>
                <w:kern w:val="0"/>
                <w:sz w:val="28"/>
                <w:szCs w:val="28"/>
                <w:highlight w:val="none"/>
                <w:u w:val="none"/>
                <w:lang w:val="en-US" w:eastAsia="zh-CN" w:bidi="ar"/>
              </w:rPr>
              <w:t>4.新型建材产业园：</w:t>
            </w:r>
            <w:r>
              <w:rPr>
                <w:rFonts w:hint="eastAsia" w:ascii="仿宋" w:hAnsi="仿宋" w:eastAsia="仿宋" w:cs="仿宋"/>
                <w:b w:val="0"/>
                <w:bCs w:val="0"/>
                <w:i w:val="0"/>
                <w:color w:val="auto"/>
                <w:kern w:val="0"/>
                <w:sz w:val="28"/>
                <w:szCs w:val="28"/>
                <w:highlight w:val="none"/>
                <w:u w:val="none"/>
                <w:lang w:val="en-US" w:eastAsia="zh-CN" w:bidi="ar"/>
              </w:rPr>
              <w:t>主要聚集新型建筑材料领域的规模企业和中小创新型企业，做大做强以蒸压加气混凝土砌块为主的新型建材业，建设生产厂房和研发大楼，形成自主创新活跃的新型建材产业园。</w:t>
            </w:r>
          </w:p>
          <w:p w14:paraId="4D44749D">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eastAsia" w:ascii="仿宋" w:hAnsi="仿宋" w:eastAsia="仿宋" w:cs="仿宋"/>
                <w:b w:val="0"/>
                <w:bCs w:val="0"/>
                <w:i w:val="0"/>
                <w:color w:val="auto"/>
                <w:kern w:val="0"/>
                <w:sz w:val="28"/>
                <w:szCs w:val="28"/>
                <w:highlight w:val="none"/>
                <w:u w:val="none"/>
                <w:lang w:val="en-US" w:eastAsia="zh-CN" w:bidi="ar"/>
              </w:rPr>
            </w:pPr>
            <w:r>
              <w:rPr>
                <w:rFonts w:hint="eastAsia" w:ascii="仿宋" w:hAnsi="仿宋" w:eastAsia="仿宋" w:cs="仿宋"/>
                <w:b w:val="0"/>
                <w:bCs w:val="0"/>
                <w:i w:val="0"/>
                <w:color w:val="auto"/>
                <w:kern w:val="0"/>
                <w:sz w:val="28"/>
                <w:szCs w:val="28"/>
                <w:highlight w:val="none"/>
                <w:u w:val="none"/>
                <w:lang w:val="en-US" w:eastAsia="zh-CN" w:bidi="ar"/>
              </w:rPr>
              <w:t xml:space="preserve">   </w:t>
            </w:r>
            <w:r>
              <w:rPr>
                <w:rFonts w:hint="eastAsia" w:ascii="仿宋" w:hAnsi="仿宋" w:eastAsia="仿宋" w:cs="仿宋"/>
                <w:b/>
                <w:bCs/>
                <w:i w:val="0"/>
                <w:color w:val="auto"/>
                <w:kern w:val="0"/>
                <w:sz w:val="28"/>
                <w:szCs w:val="28"/>
                <w:highlight w:val="none"/>
                <w:u w:val="none"/>
                <w:lang w:val="en-US" w:eastAsia="zh-CN" w:bidi="ar"/>
              </w:rPr>
              <w:t xml:space="preserve"> 5.食品加工产业园：</w:t>
            </w:r>
            <w:r>
              <w:rPr>
                <w:rFonts w:hint="eastAsia" w:ascii="仿宋" w:hAnsi="仿宋" w:eastAsia="仿宋" w:cs="仿宋"/>
                <w:b w:val="0"/>
                <w:bCs w:val="0"/>
                <w:i w:val="0"/>
                <w:color w:val="auto"/>
                <w:kern w:val="0"/>
                <w:sz w:val="28"/>
                <w:szCs w:val="28"/>
                <w:highlight w:val="none"/>
                <w:u w:val="none"/>
                <w:lang w:val="en-US" w:eastAsia="zh-CN" w:bidi="ar"/>
              </w:rPr>
              <w:t>聚集生物医药、食品加工等企业，建设产品配套研发中心，对生产工艺转型升级，降低环境成本，壮大经开区内现有企业并积极引进区域外的龙头企业，形成集研发与生产为一体的全产业链特色产业园。</w:t>
            </w:r>
          </w:p>
          <w:p w14:paraId="5AB27E23">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eastAsia" w:ascii="仿宋" w:hAnsi="仿宋" w:eastAsia="仿宋" w:cs="仿宋"/>
                <w:b w:val="0"/>
                <w:bCs w:val="0"/>
                <w:i w:val="0"/>
                <w:color w:val="auto"/>
                <w:kern w:val="0"/>
                <w:sz w:val="28"/>
                <w:szCs w:val="28"/>
                <w:highlight w:val="none"/>
                <w:u w:val="none"/>
                <w:lang w:val="en-US" w:eastAsia="zh-CN" w:bidi="ar"/>
              </w:rPr>
            </w:pPr>
            <w:r>
              <w:rPr>
                <w:rFonts w:hint="eastAsia" w:ascii="仿宋" w:hAnsi="仿宋" w:eastAsia="仿宋" w:cs="仿宋"/>
                <w:b w:val="0"/>
                <w:bCs w:val="0"/>
                <w:i w:val="0"/>
                <w:color w:val="auto"/>
                <w:kern w:val="0"/>
                <w:sz w:val="28"/>
                <w:szCs w:val="28"/>
                <w:highlight w:val="none"/>
                <w:u w:val="none"/>
                <w:lang w:val="en-US" w:eastAsia="zh-CN" w:bidi="ar"/>
              </w:rPr>
              <w:t xml:space="preserve">  </w:t>
            </w:r>
            <w:r>
              <w:rPr>
                <w:rFonts w:hint="eastAsia" w:ascii="仿宋" w:hAnsi="仿宋" w:eastAsia="仿宋" w:cs="仿宋"/>
                <w:b/>
                <w:bCs/>
                <w:i w:val="0"/>
                <w:color w:val="auto"/>
                <w:kern w:val="0"/>
                <w:sz w:val="28"/>
                <w:szCs w:val="28"/>
                <w:highlight w:val="none"/>
                <w:u w:val="none"/>
                <w:lang w:val="en-US" w:eastAsia="zh-CN" w:bidi="ar"/>
              </w:rPr>
              <w:t xml:space="preserve">  6.轻工产业园:</w:t>
            </w:r>
            <w:r>
              <w:rPr>
                <w:rFonts w:hint="eastAsia" w:ascii="仿宋" w:hAnsi="仿宋" w:eastAsia="仿宋" w:cs="仿宋"/>
                <w:b w:val="0"/>
                <w:bCs w:val="0"/>
                <w:i w:val="0"/>
                <w:color w:val="auto"/>
                <w:kern w:val="0"/>
                <w:sz w:val="28"/>
                <w:szCs w:val="28"/>
                <w:highlight w:val="none"/>
                <w:u w:val="none"/>
                <w:lang w:val="en-US" w:eastAsia="zh-CN" w:bidi="ar"/>
              </w:rPr>
              <w:t>引进陶瓷等新型轻工在沿海具有潜力的企业入园，促进企业集聚发展，并积极引导企业产品升级，提升经开区在新兴市场、国内市场的占有率。</w:t>
            </w:r>
          </w:p>
          <w:p w14:paraId="48562EA8">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eastAsia" w:ascii="仿宋" w:hAnsi="仿宋" w:eastAsia="仿宋" w:cs="仿宋"/>
                <w:b w:val="0"/>
                <w:bCs w:val="0"/>
                <w:i w:val="0"/>
                <w:color w:val="auto"/>
                <w:kern w:val="0"/>
                <w:sz w:val="28"/>
                <w:szCs w:val="28"/>
                <w:highlight w:val="none"/>
                <w:u w:val="none"/>
                <w:lang w:val="en-US" w:eastAsia="zh-CN" w:bidi="ar"/>
              </w:rPr>
            </w:pPr>
            <w:r>
              <w:rPr>
                <w:rFonts w:hint="eastAsia" w:ascii="仿宋" w:hAnsi="仿宋" w:eastAsia="仿宋" w:cs="仿宋"/>
                <w:b w:val="0"/>
                <w:bCs w:val="0"/>
                <w:i w:val="0"/>
                <w:color w:val="auto"/>
                <w:kern w:val="0"/>
                <w:sz w:val="28"/>
                <w:szCs w:val="28"/>
                <w:highlight w:val="none"/>
                <w:u w:val="none"/>
                <w:lang w:val="en-US" w:eastAsia="zh-CN" w:bidi="ar"/>
              </w:rPr>
              <w:t xml:space="preserve">    </w:t>
            </w:r>
            <w:r>
              <w:rPr>
                <w:rFonts w:hint="eastAsia" w:ascii="仿宋" w:hAnsi="仿宋" w:eastAsia="仿宋" w:cs="仿宋"/>
                <w:b/>
                <w:bCs/>
                <w:i w:val="0"/>
                <w:color w:val="auto"/>
                <w:kern w:val="0"/>
                <w:sz w:val="28"/>
                <w:szCs w:val="28"/>
                <w:highlight w:val="none"/>
                <w:u w:val="none"/>
                <w:lang w:val="en-US" w:eastAsia="zh-CN" w:bidi="ar"/>
              </w:rPr>
              <w:t>7.现代物流产业园：</w:t>
            </w:r>
            <w:r>
              <w:rPr>
                <w:rFonts w:hint="eastAsia" w:ascii="仿宋" w:hAnsi="仿宋" w:eastAsia="仿宋" w:cs="仿宋"/>
                <w:b w:val="0"/>
                <w:bCs w:val="0"/>
                <w:i w:val="0"/>
                <w:color w:val="auto"/>
                <w:kern w:val="0"/>
                <w:sz w:val="28"/>
                <w:szCs w:val="28"/>
                <w:highlight w:val="none"/>
                <w:u w:val="none"/>
                <w:lang w:val="en-US" w:eastAsia="zh-CN" w:bidi="ar"/>
              </w:rPr>
              <w:t>重点发展以第三方物流为主体的生产服务型物流、保税物流、商贸物流、冷链物流、快递物流、医药食品物流、再生资源回收物流等专业物流，积极引进国内外现代物流龙头企业，组建本土规模化大型物流企业，推动物流业与产业联动发展。</w:t>
            </w:r>
          </w:p>
          <w:p w14:paraId="69AFBFCC">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eastAsia" w:ascii="宋体" w:hAnsi="宋体" w:eastAsia="宋体" w:cs="宋体"/>
                <w:i w:val="0"/>
                <w:color w:val="auto"/>
                <w:sz w:val="24"/>
                <w:szCs w:val="24"/>
                <w:highlight w:val="none"/>
                <w:u w:val="none"/>
              </w:rPr>
            </w:pPr>
            <w:r>
              <w:rPr>
                <w:rFonts w:hint="eastAsia" w:ascii="仿宋" w:hAnsi="仿宋" w:eastAsia="仿宋" w:cs="仿宋"/>
                <w:b w:val="0"/>
                <w:bCs w:val="0"/>
                <w:i w:val="0"/>
                <w:color w:val="auto"/>
                <w:kern w:val="0"/>
                <w:sz w:val="28"/>
                <w:szCs w:val="28"/>
                <w:highlight w:val="none"/>
                <w:u w:val="none"/>
                <w:lang w:val="en-US" w:eastAsia="zh-CN" w:bidi="ar"/>
              </w:rPr>
              <w:t xml:space="preserve">   </w:t>
            </w:r>
            <w:r>
              <w:rPr>
                <w:rFonts w:hint="eastAsia" w:ascii="仿宋" w:hAnsi="仿宋" w:eastAsia="仿宋" w:cs="仿宋"/>
                <w:b/>
                <w:bCs/>
                <w:i w:val="0"/>
                <w:color w:val="auto"/>
                <w:kern w:val="0"/>
                <w:sz w:val="28"/>
                <w:szCs w:val="28"/>
                <w:highlight w:val="none"/>
                <w:u w:val="none"/>
                <w:lang w:val="en-US" w:eastAsia="zh-CN" w:bidi="ar"/>
              </w:rPr>
              <w:t xml:space="preserve"> 8.现代服务业聚集区：</w:t>
            </w:r>
            <w:r>
              <w:rPr>
                <w:rFonts w:hint="eastAsia" w:ascii="仿宋" w:hAnsi="仿宋" w:eastAsia="仿宋" w:cs="仿宋"/>
                <w:b w:val="0"/>
                <w:bCs w:val="0"/>
                <w:i w:val="0"/>
                <w:color w:val="auto"/>
                <w:kern w:val="0"/>
                <w:sz w:val="28"/>
                <w:szCs w:val="28"/>
                <w:highlight w:val="none"/>
                <w:u w:val="none"/>
                <w:lang w:val="en-US" w:eastAsia="zh-CN" w:bidi="ar"/>
              </w:rPr>
              <w:t>重点发展专业生活市场、星级酒店、医疗、教育、</w:t>
            </w:r>
            <w:r>
              <w:rPr>
                <w:rFonts w:hint="eastAsia" w:ascii="仿宋" w:hAnsi="仿宋" w:eastAsia="仿宋" w:cs="仿宋"/>
                <w:b w:val="0"/>
                <w:bCs w:val="0"/>
                <w:i w:val="0"/>
                <w:color w:val="auto"/>
                <w:kern w:val="0"/>
                <w:sz w:val="28"/>
                <w:szCs w:val="28"/>
                <w:highlight w:val="none"/>
                <w:u w:val="none"/>
                <w:lang w:val="zh-CN" w:eastAsia="zh-CN" w:bidi="ar"/>
              </w:rPr>
              <w:t>研发、咨询、金融服务等现代服务业，打造现代服务业集聚发展平台，推动先进制造业和现代服务业深度融合。</w:t>
            </w:r>
          </w:p>
        </w:tc>
      </w:tr>
    </w:tbl>
    <w:p w14:paraId="541B5D19">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color w:val="auto"/>
          <w:highlight w:val="none"/>
        </w:rPr>
      </w:pPr>
      <w:r>
        <w:rPr>
          <w:rFonts w:hint="eastAsia" w:ascii="楷体" w:hAnsi="楷体" w:eastAsia="楷体" w:cs="楷体"/>
          <w:b/>
          <w:bCs/>
          <w:color w:val="auto"/>
          <w:szCs w:val="32"/>
          <w:highlight w:val="none"/>
          <w:lang w:val="en-US" w:eastAsia="zh-CN"/>
        </w:rPr>
        <w:t>融合新业态，提升</w:t>
      </w:r>
      <w:r>
        <w:rPr>
          <w:rFonts w:hint="eastAsia" w:ascii="楷体" w:hAnsi="楷体" w:eastAsia="楷体" w:cs="楷体"/>
          <w:b/>
          <w:bCs/>
          <w:color w:val="auto"/>
          <w:szCs w:val="32"/>
          <w:highlight w:val="none"/>
        </w:rPr>
        <w:t>新兴产业</w:t>
      </w:r>
      <w:r>
        <w:rPr>
          <w:rFonts w:hint="eastAsia" w:ascii="楷体" w:hAnsi="楷体" w:eastAsia="楷体" w:cs="楷体"/>
          <w:b/>
          <w:bCs/>
          <w:color w:val="auto"/>
          <w:szCs w:val="32"/>
          <w:highlight w:val="none"/>
          <w:lang w:val="en-US" w:eastAsia="zh-CN"/>
        </w:rPr>
        <w:t>活跃度</w:t>
      </w:r>
      <w:r>
        <w:rPr>
          <w:rFonts w:hint="eastAsia" w:ascii="楷体" w:hAnsi="楷体" w:eastAsia="楷体" w:cs="楷体"/>
          <w:b/>
          <w:bCs/>
          <w:color w:val="auto"/>
          <w:szCs w:val="32"/>
          <w:highlight w:val="none"/>
        </w:rPr>
        <w:t>。</w:t>
      </w:r>
      <w:r>
        <w:rPr>
          <w:rFonts w:hint="eastAsia" w:ascii="仿宋" w:hAnsi="仿宋" w:eastAsia="仿宋" w:cs="仿宋"/>
          <w:color w:val="auto"/>
          <w:highlight w:val="none"/>
        </w:rPr>
        <w:t>结合国家新兴产业发展重点</w:t>
      </w:r>
      <w:r>
        <w:rPr>
          <w:rFonts w:hint="eastAsia" w:ascii="仿宋" w:hAnsi="仿宋" w:eastAsia="仿宋" w:cs="仿宋"/>
          <w:color w:val="auto"/>
          <w:highlight w:val="none"/>
          <w:lang w:val="en-US" w:eastAsia="zh-CN"/>
        </w:rPr>
        <w:t>和现有新兴产业的关键领域，</w:t>
      </w:r>
      <w:r>
        <w:rPr>
          <w:rFonts w:hint="eastAsia" w:ascii="仿宋" w:hAnsi="仿宋" w:eastAsia="仿宋" w:cs="仿宋"/>
          <w:color w:val="auto"/>
          <w:highlight w:val="none"/>
        </w:rPr>
        <w:t>把</w:t>
      </w:r>
      <w:r>
        <w:rPr>
          <w:rFonts w:hint="eastAsia" w:ascii="仿宋" w:hAnsi="仿宋" w:eastAsia="仿宋" w:cs="仿宋"/>
          <w:color w:val="auto"/>
          <w:highlight w:val="none"/>
          <w:lang w:val="en-US" w:eastAsia="zh-CN"/>
        </w:rPr>
        <w:t>四大</w:t>
      </w:r>
      <w:r>
        <w:rPr>
          <w:rFonts w:hint="eastAsia" w:ascii="仿宋" w:hAnsi="仿宋" w:eastAsia="仿宋" w:cs="仿宋"/>
          <w:color w:val="auto"/>
          <w:highlight w:val="none"/>
        </w:rPr>
        <w:t>新兴产业作为</w:t>
      </w:r>
      <w:r>
        <w:rPr>
          <w:rFonts w:hint="eastAsia" w:ascii="仿宋" w:hAnsi="仿宋" w:eastAsia="仿宋" w:cs="仿宋"/>
          <w:color w:val="auto"/>
          <w:highlight w:val="none"/>
          <w:lang w:val="en-US" w:eastAsia="zh-CN"/>
        </w:rPr>
        <w:t>武冈新业态的突破口，一手抓招商引资，一手抓</w:t>
      </w:r>
      <w:r>
        <w:rPr>
          <w:rFonts w:hint="eastAsia" w:ascii="仿宋" w:hAnsi="仿宋" w:eastAsia="仿宋" w:cs="仿宋"/>
          <w:color w:val="auto"/>
          <w:highlight w:val="none"/>
        </w:rPr>
        <w:t>龙头企业</w:t>
      </w:r>
      <w:r>
        <w:rPr>
          <w:rFonts w:hint="eastAsia" w:ascii="仿宋" w:hAnsi="仿宋" w:eastAsia="仿宋" w:cs="仿宋"/>
          <w:color w:val="auto"/>
          <w:highlight w:val="none"/>
          <w:lang w:val="en-US" w:eastAsia="zh-CN"/>
        </w:rPr>
        <w:t>带动</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加快推进新兴产业</w:t>
      </w:r>
      <w:r>
        <w:rPr>
          <w:rFonts w:hint="eastAsia" w:ascii="仿宋" w:hAnsi="仿宋" w:eastAsia="仿宋" w:cs="仿宋"/>
          <w:color w:val="auto"/>
          <w:highlight w:val="none"/>
        </w:rPr>
        <w:t>成</w:t>
      </w:r>
      <w:r>
        <w:rPr>
          <w:rFonts w:hint="eastAsia" w:ascii="仿宋" w:hAnsi="仿宋" w:eastAsia="仿宋" w:cs="仿宋"/>
          <w:color w:val="auto"/>
          <w:highlight w:val="none"/>
          <w:lang w:val="en-US" w:eastAsia="zh-CN"/>
        </w:rPr>
        <w:t>为</w:t>
      </w:r>
      <w:r>
        <w:rPr>
          <w:rFonts w:hint="eastAsia" w:ascii="仿宋" w:hAnsi="仿宋" w:eastAsia="仿宋" w:cs="仿宋"/>
          <w:color w:val="auto"/>
          <w:highlight w:val="none"/>
        </w:rPr>
        <w:t>先导性、支柱性产业。</w:t>
      </w:r>
    </w:p>
    <w:p w14:paraId="73547F55">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default" w:ascii="仿宋" w:hAnsi="仿宋" w:eastAsia="仿宋" w:cs="仿宋"/>
          <w:color w:val="auto"/>
          <w:highlight w:val="none"/>
          <w:lang w:val="en-US" w:eastAsia="zh-CN"/>
        </w:rPr>
      </w:pPr>
      <w:r>
        <w:rPr>
          <w:rFonts w:hint="eastAsia" w:ascii="黑体" w:hAnsi="黑体" w:eastAsia="黑体" w:cs="黑体"/>
          <w:b/>
          <w:bCs/>
          <w:color w:val="auto"/>
          <w:highlight w:val="none"/>
        </w:rPr>
        <w:t>——</w:t>
      </w:r>
      <w:r>
        <w:rPr>
          <w:rFonts w:hint="eastAsia" w:ascii="仿宋" w:hAnsi="仿宋" w:eastAsia="仿宋" w:cs="仿宋"/>
          <w:b/>
          <w:bCs/>
          <w:color w:val="auto"/>
          <w:highlight w:val="none"/>
        </w:rPr>
        <w:t>电子信息产业。</w:t>
      </w:r>
      <w:r>
        <w:rPr>
          <w:rFonts w:hint="eastAsia" w:ascii="仿宋" w:hAnsi="仿宋" w:eastAsia="仿宋" w:cs="仿宋"/>
          <w:color w:val="auto"/>
          <w:highlight w:val="none"/>
        </w:rPr>
        <w:t>以湘商产业园区为发展基础，以永锐电子、康瑄科技、利航电子等龙头企业为依托，围绕LED霓虹灯、智能化仪器仪表、新型电子元器件、半导体照明等优势产业，大力发展数字经济，加强信息化建设，完善产业链条，持续提升企业自主创新能力，大力培育本土自主品牌，打造新一代信息技术基地。重点推进永锐电子产业园</w:t>
      </w:r>
      <w:r>
        <w:rPr>
          <w:rFonts w:hint="eastAsia" w:ascii="仿宋" w:hAnsi="仿宋" w:eastAsia="仿宋" w:cs="仿宋"/>
          <w:color w:val="auto"/>
          <w:highlight w:val="none"/>
          <w:lang w:val="en-US" w:eastAsia="zh-CN"/>
        </w:rPr>
        <w:t>二期</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锐烨电器制造</w:t>
      </w:r>
      <w:r>
        <w:rPr>
          <w:rFonts w:hint="eastAsia" w:ascii="仿宋" w:hAnsi="仿宋" w:eastAsia="仿宋" w:cs="仿宋"/>
          <w:color w:val="auto"/>
          <w:highlight w:val="none"/>
        </w:rPr>
        <w:t>、利航电子产业园等</w:t>
      </w:r>
      <w:r>
        <w:rPr>
          <w:rFonts w:hint="eastAsia" w:ascii="仿宋" w:hAnsi="仿宋" w:eastAsia="仿宋" w:cs="仿宋"/>
          <w:color w:val="auto"/>
          <w:highlight w:val="none"/>
          <w:lang w:eastAsia="zh-CN"/>
        </w:rPr>
        <w:t>项目</w:t>
      </w:r>
      <w:r>
        <w:rPr>
          <w:rFonts w:hint="eastAsia" w:ascii="仿宋" w:hAnsi="仿宋" w:eastAsia="仿宋" w:cs="仿宋"/>
          <w:color w:val="auto"/>
          <w:highlight w:val="none"/>
        </w:rPr>
        <w:t>建设。</w:t>
      </w:r>
      <w:r>
        <w:rPr>
          <w:rFonts w:hint="eastAsia" w:ascii="仿宋" w:hAnsi="仿宋" w:eastAsia="仿宋" w:cs="仿宋"/>
          <w:color w:val="auto"/>
          <w:highlight w:val="none"/>
          <w:lang w:val="en-US" w:eastAsia="zh-CN"/>
        </w:rPr>
        <w:t>到2025年，行业产值达到20亿元。</w:t>
      </w:r>
    </w:p>
    <w:p w14:paraId="0ADC1BD1">
      <w:pPr>
        <w:pStyle w:val="9"/>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default" w:ascii="仿宋" w:hAnsi="仿宋" w:eastAsia="仿宋" w:cs="仿宋"/>
          <w:color w:val="auto"/>
          <w:szCs w:val="32"/>
          <w:highlight w:val="none"/>
          <w:lang w:val="en-US" w:eastAsia="zh-CN"/>
        </w:rPr>
      </w:pPr>
      <w:r>
        <w:rPr>
          <w:rFonts w:hint="eastAsia" w:ascii="黑体" w:hAnsi="黑体" w:eastAsia="黑体" w:cs="黑体"/>
          <w:b/>
          <w:bCs/>
          <w:color w:val="auto"/>
          <w:highlight w:val="none"/>
        </w:rPr>
        <w:t>——</w:t>
      </w:r>
      <w:r>
        <w:rPr>
          <w:rFonts w:hint="eastAsia" w:ascii="仿宋" w:hAnsi="仿宋" w:eastAsia="仿宋" w:cs="仿宋"/>
          <w:b/>
          <w:bCs/>
          <w:color w:val="auto"/>
          <w:highlight w:val="none"/>
        </w:rPr>
        <w:t>装备制造产业。</w:t>
      </w:r>
      <w:r>
        <w:rPr>
          <w:rFonts w:hint="eastAsia" w:ascii="仿宋" w:hAnsi="仿宋" w:eastAsia="仿宋" w:cs="仿宋"/>
          <w:color w:val="auto"/>
          <w:szCs w:val="32"/>
          <w:highlight w:val="none"/>
        </w:rPr>
        <w:t>以</w:t>
      </w:r>
      <w:r>
        <w:rPr>
          <w:rFonts w:hint="eastAsia" w:ascii="仿宋" w:hAnsi="仿宋" w:eastAsia="仿宋" w:cs="仿宋"/>
          <w:color w:val="auto"/>
          <w:szCs w:val="24"/>
          <w:highlight w:val="none"/>
        </w:rPr>
        <w:t>高质量发展为引领，</w:t>
      </w:r>
      <w:r>
        <w:rPr>
          <w:rFonts w:hint="eastAsia" w:ascii="仿宋" w:hAnsi="仿宋" w:eastAsia="仿宋" w:cs="仿宋"/>
          <w:color w:val="auto"/>
          <w:szCs w:val="24"/>
          <w:highlight w:val="none"/>
          <w:lang w:val="zh-CN"/>
        </w:rPr>
        <w:t>以帝立德、浙商产业园、先进制造产业园为载体，引导制造业企业发挥品牌、渠道、市场占有率等优势，联合人工智能企业双向发力，推动人工智能与企业生产运营各环节融合，培育推广智能制造新模式、新业态，实现制造业产业升级、质量变革、效率变革和动力变革。引导中小微企业专精特新发展，做强一批专精特新的中小微企业</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培育一批“小巨人”企业和制造业领头企业，</w:t>
      </w:r>
      <w:r>
        <w:rPr>
          <w:rFonts w:hint="eastAsia" w:ascii="仿宋" w:hAnsi="仿宋" w:eastAsia="仿宋" w:cs="仿宋"/>
          <w:color w:val="auto"/>
          <w:szCs w:val="24"/>
          <w:highlight w:val="none"/>
        </w:rPr>
        <w:t>重点建设</w:t>
      </w:r>
      <w:r>
        <w:rPr>
          <w:rFonts w:hint="eastAsia" w:ascii="仿宋" w:hAnsi="仿宋" w:eastAsia="仿宋" w:cs="仿宋"/>
          <w:color w:val="auto"/>
          <w:szCs w:val="24"/>
          <w:highlight w:val="none"/>
          <w:lang w:val="en-US" w:eastAsia="zh-CN"/>
        </w:rPr>
        <w:t>先进制造产业园、</w:t>
      </w:r>
      <w:r>
        <w:rPr>
          <w:rFonts w:hint="eastAsia" w:ascii="仿宋" w:hAnsi="仿宋" w:eastAsia="仿宋" w:cs="仿宋"/>
          <w:color w:val="auto"/>
          <w:szCs w:val="24"/>
          <w:highlight w:val="none"/>
        </w:rPr>
        <w:t>浙商汽配阀门制造产业园</w:t>
      </w:r>
      <w:r>
        <w:rPr>
          <w:rFonts w:hint="eastAsia" w:ascii="仿宋" w:hAnsi="仿宋" w:eastAsia="仿宋" w:cs="仿宋"/>
          <w:color w:val="auto"/>
          <w:szCs w:val="24"/>
          <w:highlight w:val="none"/>
          <w:lang w:eastAsia="zh-CN"/>
        </w:rPr>
        <w:t>、帝立德智能制造产业园、</w:t>
      </w:r>
      <w:r>
        <w:rPr>
          <w:rFonts w:hint="eastAsia" w:ascii="仿宋" w:hAnsi="仿宋" w:eastAsia="仿宋" w:cs="仿宋"/>
          <w:color w:val="auto"/>
          <w:szCs w:val="24"/>
          <w:highlight w:val="none"/>
          <w:lang w:val="en-US" w:eastAsia="zh-CN"/>
        </w:rPr>
        <w:t>雷神激光制造产业园</w:t>
      </w:r>
      <w:r>
        <w:rPr>
          <w:rFonts w:hint="eastAsia" w:ascii="仿宋" w:hAnsi="仿宋" w:eastAsia="仿宋" w:cs="仿宋"/>
          <w:color w:val="auto"/>
          <w:szCs w:val="24"/>
          <w:highlight w:val="none"/>
        </w:rPr>
        <w:t>等。</w:t>
      </w:r>
      <w:r>
        <w:rPr>
          <w:rFonts w:hint="eastAsia" w:ascii="仿宋" w:hAnsi="仿宋" w:cs="仿宋"/>
          <w:color w:val="auto"/>
          <w:szCs w:val="24"/>
          <w:highlight w:val="none"/>
          <w:lang w:val="en-US" w:eastAsia="zh-CN"/>
        </w:rPr>
        <w:t>到2025年，行业产值达到25亿元。</w:t>
      </w:r>
    </w:p>
    <w:p w14:paraId="7E16BA45">
      <w:pPr>
        <w:keepNext w:val="0"/>
        <w:keepLines w:val="0"/>
        <w:pageBreakBefore w:val="0"/>
        <w:widowControl w:val="0"/>
        <w:kinsoku/>
        <w:wordWrap/>
        <w:overflowPunct/>
        <w:topLinePunct w:val="0"/>
        <w:autoSpaceDE/>
        <w:autoSpaceDN/>
        <w:bidi w:val="0"/>
        <w:adjustRightInd/>
        <w:snapToGrid/>
        <w:spacing w:line="420" w:lineRule="auto"/>
        <w:ind w:firstLine="643" w:firstLineChars="200"/>
        <w:jc w:val="both"/>
        <w:textAlignment w:val="auto"/>
        <w:rPr>
          <w:rFonts w:hint="default" w:ascii="仿宋" w:hAnsi="仿宋" w:eastAsia="仿宋" w:cs="仿宋"/>
          <w:color w:val="auto"/>
          <w:highlight w:val="none"/>
          <w:lang w:val="en-US" w:eastAsia="zh-CN"/>
        </w:rPr>
      </w:pPr>
      <w:r>
        <w:rPr>
          <w:rFonts w:hint="eastAsia" w:ascii="黑体" w:hAnsi="黑体" w:eastAsia="黑体" w:cs="黑体"/>
          <w:b/>
          <w:bCs/>
          <w:color w:val="auto"/>
          <w:highlight w:val="none"/>
        </w:rPr>
        <w:t>——</w:t>
      </w:r>
      <w:r>
        <w:rPr>
          <w:rFonts w:hint="eastAsia" w:ascii="仿宋" w:hAnsi="仿宋" w:eastAsia="仿宋" w:cs="仿宋"/>
          <w:b/>
          <w:bCs/>
          <w:color w:val="auto"/>
          <w:highlight w:val="none"/>
        </w:rPr>
        <w:t>新材料产业。</w:t>
      </w:r>
      <w:r>
        <w:rPr>
          <w:rFonts w:hint="eastAsia" w:ascii="仿宋" w:hAnsi="仿宋" w:eastAsia="仿宋" w:cs="仿宋"/>
          <w:color w:val="auto"/>
          <w:highlight w:val="none"/>
        </w:rPr>
        <w:t>以高性能材料为重点，以漆雕氏、</w:t>
      </w:r>
      <w:r>
        <w:rPr>
          <w:rFonts w:hint="eastAsia" w:ascii="仿宋" w:hAnsi="仿宋" w:eastAsia="仿宋" w:cs="仿宋"/>
          <w:color w:val="auto"/>
          <w:kern w:val="0"/>
          <w:szCs w:val="32"/>
          <w:highlight w:val="none"/>
        </w:rPr>
        <w:t>申靓等企业为依托</w:t>
      </w:r>
      <w:r>
        <w:rPr>
          <w:rFonts w:hint="eastAsia" w:ascii="仿宋" w:hAnsi="仿宋" w:eastAsia="仿宋" w:cs="仿宋"/>
          <w:color w:val="auto"/>
          <w:highlight w:val="none"/>
        </w:rPr>
        <w:t>，加快推进材料工业转型升级，培育新的增长点。强力发展漆雕氏的化工</w:t>
      </w:r>
      <w:r>
        <w:rPr>
          <w:rFonts w:hint="eastAsia" w:ascii="仿宋" w:hAnsi="仿宋" w:eastAsia="仿宋" w:cs="仿宋"/>
          <w:color w:val="auto"/>
          <w:highlight w:val="none"/>
          <w:lang w:eastAsia="zh-CN"/>
        </w:rPr>
        <w:t>（删除）</w:t>
      </w:r>
      <w:r>
        <w:rPr>
          <w:rFonts w:hint="eastAsia" w:ascii="仿宋" w:hAnsi="仿宋" w:eastAsia="仿宋" w:cs="仿宋"/>
          <w:color w:val="auto"/>
          <w:highlight w:val="none"/>
        </w:rPr>
        <w:t>新材料紫外光固化、水性涂料等环保材料，鼓励企业加大科技投入，自主创新，研发新产品，扩大产能，拓展国际市场，促进新材料产业跨越式发展。重点推进年产3.6万吨环保涂料</w:t>
      </w:r>
      <w:r>
        <w:rPr>
          <w:rFonts w:hint="eastAsia" w:ascii="仿宋" w:hAnsi="仿宋" w:eastAsia="仿宋" w:cs="仿宋"/>
          <w:color w:val="auto"/>
          <w:highlight w:val="none"/>
          <w:lang w:eastAsia="zh-CN"/>
        </w:rPr>
        <w:t>生产</w:t>
      </w:r>
      <w:r>
        <w:rPr>
          <w:rFonts w:hint="eastAsia" w:ascii="仿宋" w:hAnsi="仿宋" w:eastAsia="仿宋" w:cs="仿宋"/>
          <w:color w:val="auto"/>
          <w:highlight w:val="none"/>
        </w:rPr>
        <w:t>、特种玻璃加工基地</w:t>
      </w:r>
      <w:r>
        <w:rPr>
          <w:rFonts w:hint="eastAsia" w:ascii="仿宋" w:hAnsi="仿宋" w:eastAsia="仿宋" w:cs="仿宋"/>
          <w:color w:val="auto"/>
          <w:highlight w:val="none"/>
          <w:lang w:val="en-US" w:eastAsia="zh-CN"/>
        </w:rPr>
        <w:t>和高科塑化生产等项目</w:t>
      </w:r>
      <w:r>
        <w:rPr>
          <w:rFonts w:hint="eastAsia" w:ascii="仿宋" w:hAnsi="仿宋" w:eastAsia="仿宋" w:cs="仿宋"/>
          <w:color w:val="auto"/>
          <w:highlight w:val="none"/>
        </w:rPr>
        <w:t>建设。</w:t>
      </w:r>
      <w:r>
        <w:rPr>
          <w:rFonts w:hint="eastAsia" w:ascii="仿宋" w:hAnsi="仿宋" w:eastAsia="仿宋" w:cs="仿宋"/>
          <w:color w:val="auto"/>
          <w:highlight w:val="none"/>
          <w:lang w:val="en-US" w:eastAsia="zh-CN"/>
        </w:rPr>
        <w:t>到2025年，行业产值达到15亿元。</w:t>
      </w:r>
    </w:p>
    <w:p w14:paraId="1F40BDC8">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仿宋" w:hAnsi="仿宋" w:eastAsia="仿宋" w:cs="仿宋"/>
          <w:color w:val="auto"/>
          <w:highlight w:val="none"/>
          <w:lang w:val="en-US" w:eastAsia="zh-CN"/>
        </w:rPr>
      </w:pPr>
      <w:r>
        <w:rPr>
          <w:rFonts w:hint="eastAsia" w:ascii="黑体" w:hAnsi="黑体" w:eastAsia="黑体" w:cs="黑体"/>
          <w:b/>
          <w:bCs/>
          <w:color w:val="auto"/>
          <w:highlight w:val="none"/>
        </w:rPr>
        <w:t>——</w:t>
      </w:r>
      <w:r>
        <w:rPr>
          <w:rFonts w:hint="eastAsia" w:ascii="仿宋" w:hAnsi="仿宋" w:eastAsia="仿宋" w:cs="仿宋"/>
          <w:b/>
          <w:bCs/>
          <w:color w:val="auto"/>
          <w:highlight w:val="none"/>
        </w:rPr>
        <w:t>生物医药产业。</w:t>
      </w:r>
      <w:r>
        <w:rPr>
          <w:rFonts w:hint="eastAsia" w:ascii="仿宋" w:hAnsi="仿宋" w:eastAsia="仿宋" w:cs="仿宋"/>
          <w:color w:val="auto"/>
          <w:highlight w:val="none"/>
        </w:rPr>
        <w:t>依托</w:t>
      </w:r>
      <w:r>
        <w:rPr>
          <w:rFonts w:hint="eastAsia" w:ascii="仿宋" w:hAnsi="仿宋" w:eastAsia="仿宋" w:cs="仿宋"/>
          <w:color w:val="auto"/>
          <w:highlight w:val="none"/>
          <w:lang w:eastAsia="zh-CN"/>
        </w:rPr>
        <w:t>本地</w:t>
      </w:r>
      <w:r>
        <w:rPr>
          <w:rFonts w:hint="eastAsia" w:ascii="仿宋" w:hAnsi="仿宋" w:eastAsia="仿宋" w:cs="仿宋"/>
          <w:color w:val="auto"/>
          <w:highlight w:val="none"/>
        </w:rPr>
        <w:t>丰富的药材资源，以湖南栀葆堂中药科技有限公司</w:t>
      </w:r>
      <w:r>
        <w:rPr>
          <w:rFonts w:hint="eastAsia" w:ascii="仿宋" w:hAnsi="仿宋" w:eastAsia="仿宋" w:cs="仿宋"/>
          <w:color w:val="auto"/>
          <w:highlight w:val="none"/>
          <w:lang w:eastAsia="zh-CN"/>
        </w:rPr>
        <w:t>、武冈医药公司</w:t>
      </w:r>
      <w:r>
        <w:rPr>
          <w:rFonts w:hint="eastAsia" w:ascii="仿宋" w:hAnsi="仿宋" w:eastAsia="仿宋" w:cs="仿宋"/>
          <w:color w:val="auto"/>
          <w:highlight w:val="none"/>
        </w:rPr>
        <w:t>为基础，积极发展现代中药、化学药、生物医药等子行业。力争引入2家</w:t>
      </w:r>
      <w:r>
        <w:rPr>
          <w:rFonts w:hint="eastAsia" w:ascii="仿宋" w:hAnsi="仿宋" w:eastAsia="仿宋" w:cs="仿宋"/>
          <w:color w:val="auto"/>
          <w:highlight w:val="none"/>
          <w:lang w:eastAsia="zh-CN"/>
        </w:rPr>
        <w:t>以上</w:t>
      </w:r>
      <w:r>
        <w:rPr>
          <w:rFonts w:hint="eastAsia" w:ascii="仿宋" w:hAnsi="仿宋" w:eastAsia="仿宋" w:cs="仿宋"/>
          <w:color w:val="auto"/>
          <w:highlight w:val="none"/>
        </w:rPr>
        <w:t>国内知名医药加工企业</w:t>
      </w:r>
      <w:r>
        <w:rPr>
          <w:rFonts w:hint="eastAsia" w:ascii="仿宋" w:hAnsi="仿宋" w:eastAsia="仿宋" w:cs="仿宋"/>
          <w:color w:val="auto"/>
          <w:highlight w:val="none"/>
          <w:lang w:eastAsia="zh-CN"/>
        </w:rPr>
        <w:t>和</w:t>
      </w:r>
      <w:r>
        <w:rPr>
          <w:rFonts w:hint="eastAsia" w:ascii="仿宋" w:hAnsi="仿宋" w:eastAsia="仿宋" w:cs="仿宋"/>
          <w:color w:val="auto"/>
          <w:highlight w:val="none"/>
        </w:rPr>
        <w:t>一批医药企业，围绕重大常见多发性疾病治疗重点研制现代中药，推进研发中心和重点实验室建设，逐步形成集种植、研发、生产于一体的医药产业链。重点推进</w:t>
      </w:r>
      <w:r>
        <w:rPr>
          <w:rFonts w:hint="eastAsia" w:ascii="仿宋" w:hAnsi="仿宋" w:eastAsia="仿宋" w:cs="仿宋"/>
          <w:color w:val="auto"/>
          <w:highlight w:val="none"/>
          <w:lang w:val="en-US" w:eastAsia="zh-CN"/>
        </w:rPr>
        <w:t>深圳医疗保健设备制造产业园、湘西南医药物流及应急药品储备保障中心等项目</w:t>
      </w:r>
      <w:r>
        <w:rPr>
          <w:rFonts w:hint="eastAsia" w:ascii="仿宋" w:hAnsi="仿宋" w:eastAsia="仿宋" w:cs="仿宋"/>
          <w:color w:val="auto"/>
          <w:highlight w:val="none"/>
        </w:rPr>
        <w:t>建设。</w:t>
      </w:r>
      <w:r>
        <w:rPr>
          <w:rFonts w:hint="eastAsia" w:ascii="仿宋" w:hAnsi="仿宋" w:eastAsia="仿宋" w:cs="仿宋"/>
          <w:color w:val="auto"/>
          <w:highlight w:val="none"/>
          <w:lang w:val="en-US" w:eastAsia="zh-CN"/>
        </w:rPr>
        <w:t>到2025年，行业产值达到10亿元。</w:t>
      </w:r>
    </w:p>
    <w:p w14:paraId="220ECD50">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eastAsia" w:ascii="仿宋" w:hAnsi="仿宋" w:eastAsia="仿宋" w:cs="仿宋"/>
          <w:color w:val="auto"/>
          <w:szCs w:val="24"/>
          <w:highlight w:val="none"/>
        </w:rPr>
      </w:pPr>
      <w:r>
        <w:rPr>
          <w:rFonts w:hint="eastAsia" w:ascii="楷体" w:hAnsi="楷体" w:eastAsia="楷体" w:cs="楷体"/>
          <w:b/>
          <w:bCs/>
          <w:color w:val="auto"/>
          <w:szCs w:val="32"/>
          <w:highlight w:val="none"/>
          <w:lang w:val="en-US" w:eastAsia="zh-CN"/>
        </w:rPr>
        <w:t>对接数字化，大力赋能</w:t>
      </w:r>
      <w:r>
        <w:rPr>
          <w:rFonts w:hint="eastAsia" w:ascii="楷体" w:hAnsi="楷体" w:eastAsia="楷体" w:cs="楷体"/>
          <w:b/>
          <w:bCs/>
          <w:color w:val="auto"/>
          <w:szCs w:val="32"/>
          <w:highlight w:val="none"/>
        </w:rPr>
        <w:t>传统产业</w:t>
      </w:r>
      <w:r>
        <w:rPr>
          <w:rFonts w:hint="eastAsia" w:ascii="楷体" w:hAnsi="楷体" w:eastAsia="楷体" w:cs="楷体"/>
          <w:b/>
          <w:bCs/>
          <w:color w:val="auto"/>
          <w:szCs w:val="32"/>
          <w:highlight w:val="none"/>
          <w:lang w:val="en-US" w:eastAsia="zh-CN"/>
        </w:rPr>
        <w:t>新升级</w:t>
      </w:r>
      <w:r>
        <w:rPr>
          <w:rFonts w:hint="eastAsia" w:ascii="楷体" w:hAnsi="楷体" w:eastAsia="楷体" w:cs="楷体"/>
          <w:b/>
          <w:bCs/>
          <w:color w:val="auto"/>
          <w:szCs w:val="32"/>
          <w:highlight w:val="none"/>
        </w:rPr>
        <w:t>。</w:t>
      </w:r>
      <w:r>
        <w:rPr>
          <w:rFonts w:hint="eastAsia" w:ascii="仿宋" w:hAnsi="仿宋" w:eastAsia="仿宋" w:cs="仿宋"/>
          <w:color w:val="auto"/>
          <w:szCs w:val="24"/>
          <w:highlight w:val="none"/>
          <w:lang w:val="zh-CN"/>
        </w:rPr>
        <w:t>实施智能制造赋能工程，</w:t>
      </w:r>
      <w:r>
        <w:rPr>
          <w:rFonts w:hint="eastAsia" w:ascii="仿宋" w:hAnsi="仿宋" w:eastAsia="仿宋" w:cs="仿宋"/>
          <w:color w:val="auto"/>
          <w:szCs w:val="24"/>
          <w:highlight w:val="none"/>
        </w:rPr>
        <w:t>运用先进适用智能化、信息化和低碳化技术，提高企业技术装备和生产工艺水平，促进食品加工、建材、轻工等传统优势产业提升产业效能</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zh-CN"/>
        </w:rPr>
        <w:t>推动产业向价值链中高端迈进</w:t>
      </w:r>
      <w:r>
        <w:rPr>
          <w:rFonts w:hint="eastAsia" w:ascii="仿宋" w:hAnsi="仿宋" w:eastAsia="仿宋" w:cs="仿宋"/>
          <w:color w:val="auto"/>
          <w:szCs w:val="24"/>
          <w:highlight w:val="none"/>
        </w:rPr>
        <w:t>。</w:t>
      </w:r>
    </w:p>
    <w:p w14:paraId="14850F36">
      <w:pPr>
        <w:pStyle w:val="9"/>
        <w:keepNext w:val="0"/>
        <w:keepLines w:val="0"/>
        <w:pageBreakBefore w:val="0"/>
        <w:widowControl w:val="0"/>
        <w:kinsoku/>
        <w:wordWrap/>
        <w:overflowPunct/>
        <w:topLinePunct w:val="0"/>
        <w:autoSpaceDE/>
        <w:autoSpaceDN/>
        <w:bidi w:val="0"/>
        <w:adjustRightInd/>
        <w:snapToGrid/>
        <w:spacing w:line="600" w:lineRule="exact"/>
        <w:ind w:right="266" w:firstLine="643" w:firstLineChars="200"/>
        <w:jc w:val="both"/>
        <w:textAlignment w:val="auto"/>
        <w:rPr>
          <w:rFonts w:hint="default" w:ascii="仿宋" w:hAnsi="仿宋" w:eastAsia="仿宋" w:cs="仿宋"/>
          <w:color w:val="auto"/>
          <w:szCs w:val="32"/>
          <w:highlight w:val="none"/>
          <w:lang w:val="en-US" w:eastAsia="zh-CN"/>
        </w:rPr>
      </w:pPr>
      <w:r>
        <w:rPr>
          <w:rFonts w:hint="eastAsia" w:ascii="黑体" w:hAnsi="黑体" w:eastAsia="黑体" w:cs="黑体"/>
          <w:b/>
          <w:bCs/>
          <w:color w:val="auto"/>
          <w:highlight w:val="none"/>
        </w:rPr>
        <w:t>——</w:t>
      </w:r>
      <w:r>
        <w:rPr>
          <w:rFonts w:hint="eastAsia" w:ascii="仿宋" w:hAnsi="仿宋" w:eastAsia="仿宋" w:cs="仿宋"/>
          <w:b/>
          <w:color w:val="auto"/>
          <w:w w:val="95"/>
          <w:highlight w:val="none"/>
        </w:rPr>
        <w:t>食品加工产业。</w:t>
      </w:r>
      <w:r>
        <w:rPr>
          <w:rFonts w:hint="eastAsia" w:ascii="仿宋" w:hAnsi="仿宋" w:eastAsia="仿宋" w:cs="仿宋"/>
          <w:color w:val="auto"/>
          <w:szCs w:val="32"/>
          <w:highlight w:val="none"/>
        </w:rPr>
        <w:t>以传统特色食品企业为依托，着重发展肉、果、蔬、油、豆等主要农产品加工和茶叶、药材、林木等特色农产品的精深加工。以武冈市特色食品产业园建设为依托</w:t>
      </w:r>
      <w:r>
        <w:rPr>
          <w:rFonts w:hint="eastAsia" w:ascii="仿宋" w:hAnsi="仿宋" w:cs="仿宋"/>
          <w:color w:val="auto"/>
          <w:szCs w:val="32"/>
          <w:highlight w:val="none"/>
          <w:lang w:eastAsia="zh-CN"/>
        </w:rPr>
        <w:t>，</w:t>
      </w:r>
      <w:r>
        <w:rPr>
          <w:rFonts w:hint="eastAsia" w:ascii="仿宋" w:hAnsi="仿宋" w:eastAsia="仿宋" w:cs="仿宋"/>
          <w:color w:val="auto"/>
          <w:szCs w:val="32"/>
          <w:highlight w:val="none"/>
        </w:rPr>
        <w:t>积极引入同昇食品</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鸿峰食品等龙头企业</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支持乡乡嘴、金福元等现有传统食品生产企业进行技术升级改造。</w:t>
      </w:r>
      <w:r>
        <w:rPr>
          <w:rFonts w:hint="eastAsia" w:ascii="仿宋" w:hAnsi="仿宋" w:eastAsia="仿宋" w:cs="仿宋"/>
          <w:color w:val="auto"/>
          <w:szCs w:val="32"/>
          <w:highlight w:val="none"/>
          <w:lang w:val="zh-CN"/>
        </w:rPr>
        <w:t>实施品牌提升工程</w:t>
      </w:r>
      <w:r>
        <w:rPr>
          <w:rFonts w:hint="eastAsia" w:ascii="仿宋" w:hAnsi="仿宋" w:cs="仿宋"/>
          <w:color w:val="auto"/>
          <w:szCs w:val="32"/>
          <w:highlight w:val="none"/>
          <w:lang w:eastAsia="zh-CN"/>
        </w:rPr>
        <w:t>，</w:t>
      </w:r>
      <w:r>
        <w:rPr>
          <w:rFonts w:hint="eastAsia" w:ascii="仿宋" w:hAnsi="仿宋" w:eastAsia="仿宋" w:cs="仿宋"/>
          <w:color w:val="auto"/>
          <w:szCs w:val="32"/>
          <w:highlight w:val="none"/>
        </w:rPr>
        <w:t>以百威啤酒、金福元、乡乡嘴等企业为基础，以龙头企业为纽带，整合行业资源，</w:t>
      </w:r>
      <w:r>
        <w:rPr>
          <w:rFonts w:hint="eastAsia" w:ascii="仿宋" w:hAnsi="仿宋" w:eastAsia="仿宋" w:cs="仿宋"/>
          <w:color w:val="auto"/>
          <w:szCs w:val="32"/>
          <w:highlight w:val="none"/>
          <w:lang w:eastAsia="zh-CN"/>
        </w:rPr>
        <w:t>推进</w:t>
      </w:r>
      <w:r>
        <w:rPr>
          <w:rFonts w:hint="eastAsia" w:ascii="仿宋" w:hAnsi="仿宋" w:eastAsia="仿宋" w:cs="仿宋"/>
          <w:color w:val="auto"/>
          <w:szCs w:val="32"/>
          <w:highlight w:val="none"/>
        </w:rPr>
        <w:t>企业抱团发展，统一品牌、统一包装、统一价格，培育武冈食品的特色优势，推动武冈特色食品走向全国，</w:t>
      </w:r>
      <w:r>
        <w:rPr>
          <w:rFonts w:hint="eastAsia" w:ascii="仿宋" w:hAnsi="仿宋" w:eastAsia="仿宋" w:cs="仿宋"/>
          <w:color w:val="auto"/>
          <w:szCs w:val="32"/>
          <w:highlight w:val="none"/>
          <w:lang w:eastAsia="zh-CN"/>
        </w:rPr>
        <w:t>推进</w:t>
      </w:r>
      <w:r>
        <w:rPr>
          <w:rFonts w:hint="eastAsia" w:ascii="仿宋" w:hAnsi="仿宋" w:eastAsia="仿宋" w:cs="仿宋"/>
          <w:color w:val="auto"/>
          <w:szCs w:val="32"/>
          <w:highlight w:val="none"/>
        </w:rPr>
        <w:t>卤都</w:t>
      </w:r>
      <w:r>
        <w:rPr>
          <w:rFonts w:hint="eastAsia" w:ascii="仿宋" w:hAnsi="仿宋" w:eastAsia="仿宋" w:cs="仿宋"/>
          <w:color w:val="auto"/>
          <w:szCs w:val="32"/>
          <w:highlight w:val="none"/>
          <w:lang w:eastAsia="zh-CN"/>
        </w:rPr>
        <w:t>啤酒</w:t>
      </w:r>
      <w:r>
        <w:rPr>
          <w:rFonts w:hint="eastAsia" w:ascii="仿宋" w:hAnsi="仿宋" w:eastAsia="仿宋" w:cs="仿宋"/>
          <w:color w:val="auto"/>
          <w:szCs w:val="32"/>
          <w:highlight w:val="none"/>
        </w:rPr>
        <w:t>小镇、</w:t>
      </w:r>
      <w:r>
        <w:rPr>
          <w:rFonts w:hint="eastAsia" w:ascii="仿宋" w:hAnsi="仿宋" w:eastAsia="仿宋" w:cs="仿宋"/>
          <w:color w:val="auto"/>
          <w:szCs w:val="32"/>
          <w:highlight w:val="none"/>
          <w:lang w:val="zh-CN"/>
        </w:rPr>
        <w:t>铜鹅产业一体化项目建设</w:t>
      </w:r>
      <w:r>
        <w:rPr>
          <w:rFonts w:hint="eastAsia" w:ascii="仿宋" w:hAnsi="仿宋" w:eastAsia="仿宋" w:cs="仿宋"/>
          <w:color w:val="auto"/>
          <w:szCs w:val="32"/>
          <w:highlight w:val="none"/>
        </w:rPr>
        <w:t>。</w:t>
      </w:r>
      <w:r>
        <w:rPr>
          <w:rFonts w:hint="eastAsia" w:ascii="仿宋" w:hAnsi="仿宋" w:cs="仿宋"/>
          <w:color w:val="auto"/>
          <w:szCs w:val="32"/>
          <w:highlight w:val="none"/>
          <w:lang w:val="en-US" w:eastAsia="zh-CN"/>
        </w:rPr>
        <w:t>到2025年，行业产值达到30亿元。</w:t>
      </w:r>
    </w:p>
    <w:p w14:paraId="5393BC6D">
      <w:pPr>
        <w:pStyle w:val="9"/>
        <w:keepNext w:val="0"/>
        <w:keepLines w:val="0"/>
        <w:pageBreakBefore w:val="0"/>
        <w:widowControl w:val="0"/>
        <w:kinsoku/>
        <w:wordWrap/>
        <w:overflowPunct/>
        <w:topLinePunct w:val="0"/>
        <w:autoSpaceDE/>
        <w:autoSpaceDN/>
        <w:bidi w:val="0"/>
        <w:adjustRightInd/>
        <w:snapToGrid/>
        <w:spacing w:line="600" w:lineRule="exact"/>
        <w:ind w:right="266" w:firstLine="643" w:firstLineChars="200"/>
        <w:jc w:val="both"/>
        <w:textAlignment w:val="auto"/>
        <w:rPr>
          <w:rFonts w:hint="default" w:ascii="仿宋" w:hAnsi="仿宋" w:eastAsia="仿宋" w:cs="仿宋"/>
          <w:color w:val="auto"/>
          <w:sz w:val="24"/>
          <w:highlight w:val="none"/>
          <w:lang w:val="en-US" w:eastAsia="zh-CN"/>
        </w:rPr>
      </w:pPr>
      <w:r>
        <w:rPr>
          <w:rFonts w:hint="eastAsia" w:ascii="黑体" w:hAnsi="黑体" w:eastAsia="黑体" w:cs="黑体"/>
          <w:b/>
          <w:bCs/>
          <w:color w:val="auto"/>
          <w:highlight w:val="none"/>
        </w:rPr>
        <w:t>——</w:t>
      </w:r>
      <w:r>
        <w:rPr>
          <w:rFonts w:hint="eastAsia" w:ascii="仿宋" w:hAnsi="仿宋" w:eastAsia="仿宋" w:cs="仿宋"/>
          <w:b/>
          <w:bCs/>
          <w:color w:val="auto"/>
          <w:highlight w:val="none"/>
        </w:rPr>
        <w:t>建材产业</w:t>
      </w:r>
      <w:r>
        <w:rPr>
          <w:rFonts w:hint="eastAsia" w:ascii="仿宋" w:hAnsi="仿宋" w:eastAsia="仿宋" w:cs="仿宋"/>
          <w:b/>
          <w:bCs/>
          <w:color w:val="auto"/>
          <w:szCs w:val="24"/>
          <w:highlight w:val="none"/>
        </w:rPr>
        <w:t>。</w:t>
      </w:r>
      <w:r>
        <w:rPr>
          <w:rFonts w:hint="eastAsia" w:ascii="仿宋" w:hAnsi="仿宋" w:eastAsia="仿宋" w:cs="仿宋"/>
          <w:color w:val="auto"/>
          <w:szCs w:val="32"/>
          <w:highlight w:val="none"/>
          <w:lang w:val="zh-CN"/>
        </w:rPr>
        <w:t>按照循环经济发展理念，以建设新型建材集聚区作为突破口，加强承接粤港澳大湾区新型建材产业转移。对现有建材企业进行技术改造，降低能耗、减少排放。大力推进竹木建材在新型领域的发展。积极引入和培育一批高科技含量、高附加值、高成长性的相关企业，提高市场占有率。引导云峰海螺、佳能建材、凌峰新能源等企业利用新型干法水泥窑无害化资源化协同处置城市污泥、生活垃圾及建筑废弃物先进技术，实现建材行业低碳绿色发展。推动建材产业链从中低端向中高端迈进，实现产业转型升级。</w:t>
      </w:r>
      <w:r>
        <w:rPr>
          <w:rFonts w:hint="eastAsia" w:ascii="仿宋" w:hAnsi="仿宋" w:cs="仿宋"/>
          <w:color w:val="auto"/>
          <w:szCs w:val="32"/>
          <w:highlight w:val="none"/>
          <w:lang w:val="en-US" w:eastAsia="zh-CN"/>
        </w:rPr>
        <w:t>到2025年，行业产值达到20亿元。</w:t>
      </w:r>
    </w:p>
    <w:p w14:paraId="502C251E">
      <w:pPr>
        <w:pStyle w:val="9"/>
        <w:keepNext w:val="0"/>
        <w:keepLines w:val="0"/>
        <w:pageBreakBefore w:val="0"/>
        <w:widowControl w:val="0"/>
        <w:kinsoku/>
        <w:wordWrap/>
        <w:overflowPunct/>
        <w:topLinePunct w:val="0"/>
        <w:autoSpaceDE/>
        <w:autoSpaceDN/>
        <w:bidi w:val="0"/>
        <w:adjustRightInd/>
        <w:snapToGrid/>
        <w:spacing w:after="469" w:afterLines="150" w:line="600" w:lineRule="exact"/>
        <w:ind w:right="266" w:firstLine="643" w:firstLineChars="200"/>
        <w:jc w:val="both"/>
        <w:textAlignment w:val="auto"/>
        <w:rPr>
          <w:rFonts w:hint="default" w:ascii="仿宋" w:hAnsi="仿宋" w:eastAsia="仿宋" w:cs="仿宋"/>
          <w:color w:val="auto"/>
          <w:szCs w:val="24"/>
          <w:highlight w:val="none"/>
          <w:lang w:val="en-US" w:eastAsia="zh-CN"/>
        </w:rPr>
      </w:pPr>
      <w:r>
        <w:rPr>
          <w:rFonts w:hint="eastAsia" w:ascii="黑体" w:hAnsi="黑体" w:eastAsia="黑体" w:cs="黑体"/>
          <w:b/>
          <w:bCs/>
          <w:color w:val="auto"/>
          <w:highlight w:val="none"/>
          <w:lang w:val="zh-CN"/>
        </w:rPr>
        <w:t>——</w:t>
      </w:r>
      <w:r>
        <w:rPr>
          <w:rFonts w:hint="eastAsia" w:ascii="仿宋" w:hAnsi="仿宋" w:eastAsia="仿宋" w:cs="仿宋"/>
          <w:b/>
          <w:bCs/>
          <w:color w:val="auto"/>
          <w:highlight w:val="none"/>
          <w:lang w:val="zh-CN" w:eastAsia="zh-CN"/>
        </w:rPr>
        <w:t>轻工</w:t>
      </w:r>
      <w:r>
        <w:rPr>
          <w:rFonts w:hint="eastAsia" w:ascii="仿宋" w:hAnsi="仿宋" w:eastAsia="仿宋" w:cs="仿宋"/>
          <w:b/>
          <w:bCs/>
          <w:color w:val="auto"/>
          <w:highlight w:val="none"/>
          <w:lang w:val="zh-CN"/>
        </w:rPr>
        <w:t>产业</w:t>
      </w:r>
      <w:r>
        <w:rPr>
          <w:rFonts w:hint="eastAsia" w:ascii="仿宋" w:hAnsi="仿宋" w:eastAsia="仿宋" w:cs="仿宋"/>
          <w:b/>
          <w:bCs/>
          <w:color w:val="auto"/>
          <w:szCs w:val="24"/>
          <w:highlight w:val="none"/>
          <w:lang w:val="zh-CN"/>
        </w:rPr>
        <w:t>。</w:t>
      </w:r>
      <w:r>
        <w:rPr>
          <w:rFonts w:hint="eastAsia" w:ascii="仿宋" w:hAnsi="仿宋" w:eastAsia="仿宋" w:cs="仿宋"/>
          <w:color w:val="auto"/>
          <w:szCs w:val="24"/>
          <w:highlight w:val="none"/>
          <w:lang w:val="zh-CN"/>
        </w:rPr>
        <w:t>立足湘商产业园二期，以湘南湘西承接产业转移示范区建设为重要契机，引进在沿海具有潜力的新型轻工企业入园。积极发展服装产业，加强设计研发力量，加快进雅</w:t>
      </w:r>
      <w:r>
        <w:rPr>
          <w:rFonts w:hint="eastAsia" w:ascii="仿宋" w:hAnsi="仿宋" w:cs="仿宋"/>
          <w:color w:val="auto"/>
          <w:szCs w:val="24"/>
          <w:highlight w:val="none"/>
          <w:lang w:val="zh-CN"/>
        </w:rPr>
        <w:t>绮</w:t>
      </w:r>
      <w:r>
        <w:rPr>
          <w:rFonts w:hint="eastAsia" w:ascii="仿宋" w:hAnsi="仿宋" w:eastAsia="仿宋" w:cs="仿宋"/>
          <w:color w:val="auto"/>
          <w:szCs w:val="24"/>
          <w:highlight w:val="none"/>
          <w:lang w:val="zh-CN"/>
        </w:rPr>
        <w:t>服装生产项目建设。围绕百威啤酒配套建设产业链，重点支持年产8亿套铝制易拉罐及易拉盖生产线项目、高档玻璃啤酒瓶生产线等建设。</w:t>
      </w:r>
      <w:r>
        <w:rPr>
          <w:rFonts w:hint="eastAsia" w:ascii="仿宋" w:hAnsi="仿宋" w:cs="仿宋"/>
          <w:color w:val="auto"/>
          <w:szCs w:val="24"/>
          <w:highlight w:val="none"/>
          <w:lang w:val="en-US" w:eastAsia="zh-CN"/>
        </w:rPr>
        <w:t>到2025年，行业产值达到15亿元。</w:t>
      </w:r>
    </w:p>
    <w:p w14:paraId="375515B8">
      <w:pPr>
        <w:pageBreakBefore w:val="0"/>
        <w:wordWrap/>
        <w:bidi w:val="0"/>
        <w:jc w:val="center"/>
        <w:outlineLvl w:val="9"/>
        <w:rPr>
          <w:color w:val="auto"/>
          <w:highlight w:val="none"/>
        </w:rPr>
      </w:pPr>
      <w:r>
        <w:rPr>
          <w:color w:val="auto"/>
          <w:highlight w:val="none"/>
        </w:rPr>
        <w:drawing>
          <wp:inline distT="0" distB="0" distL="114300" distR="114300">
            <wp:extent cx="5044440" cy="3342005"/>
            <wp:effectExtent l="4445" t="4445" r="18415" b="6350"/>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7876AC">
      <w:pPr>
        <w:pageBreakBefore w:val="0"/>
        <w:wordWrap/>
        <w:bidi w:val="0"/>
        <w:jc w:val="center"/>
        <w:rPr>
          <w:color w:val="auto"/>
          <w:sz w:val="24"/>
          <w:szCs w:val="24"/>
          <w:highlight w:val="none"/>
        </w:rPr>
      </w:pPr>
      <w:r>
        <w:rPr>
          <w:rFonts w:hint="eastAsia" w:ascii="FangSong_GB2312" w:hAnsi="FangSong_GB2312" w:eastAsia="FangSong_GB2312" w:cs="FangSong_GB2312"/>
          <w:b w:val="0"/>
          <w:color w:val="auto"/>
          <w:sz w:val="24"/>
          <w:szCs w:val="24"/>
          <w:highlight w:val="none"/>
        </w:rPr>
        <w:t>图</w:t>
      </w:r>
      <w:r>
        <w:rPr>
          <w:rFonts w:hint="eastAsia" w:ascii="FangSong_GB2312" w:hAnsi="FangSong_GB2312" w:cs="FangSong_GB2312"/>
          <w:b w:val="0"/>
          <w:color w:val="auto"/>
          <w:sz w:val="24"/>
          <w:szCs w:val="24"/>
          <w:highlight w:val="none"/>
          <w:lang w:val="en-US" w:eastAsia="zh-CN"/>
        </w:rPr>
        <w:t>4</w:t>
      </w:r>
      <w:r>
        <w:rPr>
          <w:rFonts w:hint="eastAsia" w:ascii="FangSong_GB2312" w:hAnsi="FangSong_GB2312" w:eastAsia="FangSong_GB2312" w:cs="FangSong_GB2312"/>
          <w:b w:val="0"/>
          <w:color w:val="auto"/>
          <w:sz w:val="24"/>
          <w:szCs w:val="24"/>
          <w:highlight w:val="none"/>
        </w:rPr>
        <w:t>：</w:t>
      </w:r>
      <w:r>
        <w:rPr>
          <w:rFonts w:hint="eastAsia" w:ascii="FangSong_GB2312" w:hAnsi="FangSong_GB2312" w:eastAsia="FangSong_GB2312" w:cs="FangSong_GB2312"/>
          <w:b w:val="0"/>
          <w:color w:val="auto"/>
          <w:sz w:val="24"/>
          <w:szCs w:val="24"/>
          <w:highlight w:val="none"/>
          <w:lang w:eastAsia="zh-CN"/>
        </w:rPr>
        <w:t>“</w:t>
      </w:r>
      <w:r>
        <w:rPr>
          <w:rFonts w:hint="eastAsia" w:ascii="FangSong_GB2312" w:hAnsi="FangSong_GB2312" w:eastAsia="FangSong_GB2312" w:cs="FangSong_GB2312"/>
          <w:b w:val="0"/>
          <w:color w:val="auto"/>
          <w:sz w:val="24"/>
          <w:szCs w:val="24"/>
          <w:highlight w:val="none"/>
        </w:rPr>
        <w:t>十四五</w:t>
      </w:r>
      <w:r>
        <w:rPr>
          <w:rFonts w:hint="eastAsia" w:ascii="FangSong_GB2312" w:hAnsi="FangSong_GB2312" w:eastAsia="FangSong_GB2312" w:cs="FangSong_GB2312"/>
          <w:b w:val="0"/>
          <w:color w:val="auto"/>
          <w:sz w:val="24"/>
          <w:szCs w:val="24"/>
          <w:highlight w:val="none"/>
          <w:lang w:eastAsia="zh-CN"/>
        </w:rPr>
        <w:t>”</w:t>
      </w:r>
      <w:r>
        <w:rPr>
          <w:rFonts w:hint="eastAsia" w:ascii="FangSong_GB2312" w:hAnsi="FangSong_GB2312" w:cs="FangSong_GB2312"/>
          <w:b w:val="0"/>
          <w:color w:val="auto"/>
          <w:sz w:val="24"/>
          <w:szCs w:val="24"/>
          <w:highlight w:val="none"/>
          <w:lang w:eastAsia="zh-CN"/>
        </w:rPr>
        <w:t>主要</w:t>
      </w:r>
      <w:r>
        <w:rPr>
          <w:rFonts w:hint="eastAsia" w:ascii="FangSong_GB2312" w:hAnsi="FangSong_GB2312" w:eastAsia="FangSong_GB2312" w:cs="FangSong_GB2312"/>
          <w:b w:val="0"/>
          <w:color w:val="auto"/>
          <w:sz w:val="24"/>
          <w:szCs w:val="24"/>
          <w:highlight w:val="none"/>
        </w:rPr>
        <w:t>工业产业链产值分布（亿元）</w:t>
      </w:r>
    </w:p>
    <w:p w14:paraId="61FAC366">
      <w:pPr>
        <w:pStyle w:val="4"/>
        <w:keepNext/>
        <w:keepLines/>
        <w:pageBreakBefore w:val="0"/>
        <w:widowControl w:val="0"/>
        <w:numPr>
          <w:ilvl w:val="0"/>
          <w:numId w:val="0"/>
        </w:numPr>
        <w:kinsoku/>
        <w:wordWrap/>
        <w:overflowPunct/>
        <w:topLinePunct w:val="0"/>
        <w:autoSpaceDE/>
        <w:autoSpaceDN/>
        <w:bidi w:val="0"/>
        <w:adjustRightInd/>
        <w:snapToGrid/>
        <w:spacing w:before="100" w:after="100" w:line="620" w:lineRule="exact"/>
        <w:ind w:left="292" w:leftChars="0"/>
        <w:jc w:val="center"/>
        <w:textAlignment w:val="auto"/>
        <w:rPr>
          <w:rFonts w:hint="eastAsia" w:ascii="黑体" w:hAnsi="黑体" w:eastAsia="黑体" w:cs="黑体"/>
          <w:b w:val="0"/>
          <w:bCs/>
          <w:color w:val="auto"/>
          <w:highlight w:val="none"/>
        </w:rPr>
      </w:pPr>
      <w:bookmarkStart w:id="57" w:name="_Toc3442"/>
      <w:r>
        <w:rPr>
          <w:rFonts w:hint="eastAsia" w:ascii="黑体" w:hAnsi="黑体" w:eastAsia="黑体" w:cs="黑体"/>
          <w:b w:val="0"/>
          <w:bCs/>
          <w:color w:val="auto"/>
          <w:kern w:val="44"/>
          <w:sz w:val="32"/>
          <w:szCs w:val="32"/>
          <w:highlight w:val="none"/>
          <w:lang w:val="en-US" w:eastAsia="zh-CN" w:bidi="ar-SA"/>
        </w:rPr>
        <w:t>第二节  加快现代服务业发展</w:t>
      </w:r>
      <w:bookmarkEnd w:id="57"/>
    </w:p>
    <w:p w14:paraId="568964A3">
      <w:pPr>
        <w:pageBreakBefore w:val="0"/>
        <w:widowControl w:val="0"/>
        <w:kinsoku/>
        <w:wordWrap/>
        <w:overflowPunct/>
        <w:autoSpaceDN/>
        <w:bidi w:val="0"/>
        <w:adjustRightInd/>
        <w:snapToGrid/>
        <w:spacing w:line="620" w:lineRule="exact"/>
        <w:ind w:firstLine="640" w:firstLineChars="200"/>
        <w:textAlignment w:val="auto"/>
        <w:rPr>
          <w:rFonts w:hint="eastAsia" w:ascii="仿宋" w:hAnsi="仿宋" w:eastAsia="仿宋" w:cs="仿宋"/>
          <w:color w:val="auto"/>
          <w:sz w:val="32"/>
          <w:szCs w:val="32"/>
          <w:highlight w:val="none"/>
          <w:lang w:val="zh-CN"/>
        </w:rPr>
      </w:pPr>
      <w:r>
        <w:rPr>
          <w:rFonts w:hint="eastAsia" w:ascii="仿宋" w:hAnsi="仿宋" w:eastAsia="仿宋" w:cs="仿宋"/>
          <w:i w:val="0"/>
          <w:caps w:val="0"/>
          <w:color w:val="auto"/>
          <w:spacing w:val="0"/>
          <w:sz w:val="32"/>
          <w:szCs w:val="32"/>
          <w:highlight w:val="none"/>
          <w:lang w:val="zh-CN" w:eastAsia="zh-CN"/>
        </w:rPr>
        <w:t>大力发展现代服务业，拓展新领域、发展新模式、培育新业态，推动先进制造业和现代服务业深度融合，</w:t>
      </w:r>
      <w:r>
        <w:rPr>
          <w:rFonts w:hint="eastAsia" w:ascii="仿宋" w:hAnsi="仿宋" w:eastAsia="仿宋" w:cs="仿宋"/>
          <w:i w:val="0"/>
          <w:caps w:val="0"/>
          <w:color w:val="auto"/>
          <w:spacing w:val="0"/>
          <w:sz w:val="32"/>
          <w:szCs w:val="32"/>
          <w:highlight w:val="none"/>
          <w:lang w:val="zh-CN"/>
        </w:rPr>
        <w:t>推动生产性服务业向专业化和价值链高端延伸</w:t>
      </w:r>
      <w:r>
        <w:rPr>
          <w:rFonts w:hint="eastAsia" w:ascii="仿宋" w:hAnsi="仿宋" w:eastAsia="仿宋" w:cs="仿宋"/>
          <w:i w:val="0"/>
          <w:caps w:val="0"/>
          <w:color w:val="auto"/>
          <w:spacing w:val="0"/>
          <w:sz w:val="32"/>
          <w:szCs w:val="32"/>
          <w:highlight w:val="none"/>
          <w:lang w:val="zh-CN" w:eastAsia="zh-CN"/>
        </w:rPr>
        <w:t>，</w:t>
      </w:r>
      <w:r>
        <w:rPr>
          <w:rFonts w:hint="eastAsia" w:ascii="仿宋" w:hAnsi="仿宋" w:eastAsia="仿宋" w:cs="仿宋"/>
          <w:color w:val="auto"/>
          <w:sz w:val="32"/>
          <w:szCs w:val="32"/>
          <w:highlight w:val="none"/>
          <w:lang w:val="zh-CN"/>
        </w:rPr>
        <w:t>促进“两业”相融相长、耦合共生。</w:t>
      </w:r>
    </w:p>
    <w:p w14:paraId="46F70876">
      <w:pPr>
        <w:pageBreakBefore w:val="0"/>
        <w:widowControl w:val="0"/>
        <w:kinsoku/>
        <w:wordWrap/>
        <w:overflowPunct/>
        <w:autoSpaceDN/>
        <w:bidi w:val="0"/>
        <w:adjustRightInd/>
        <w:snapToGrid/>
        <w:spacing w:line="620" w:lineRule="exact"/>
        <w:ind w:firstLine="643" w:firstLineChars="200"/>
        <w:textAlignment w:val="auto"/>
        <w:rPr>
          <w:rFonts w:hint="eastAsia" w:ascii="仿宋" w:hAnsi="仿宋" w:eastAsia="仿宋" w:cs="仿宋"/>
          <w:color w:val="auto"/>
          <w:kern w:val="2"/>
          <w:sz w:val="32"/>
          <w:szCs w:val="32"/>
          <w:highlight w:val="none"/>
          <w:lang w:val="zh-CN" w:eastAsia="zh-CN" w:bidi="ar-SA"/>
        </w:rPr>
      </w:pPr>
      <w:r>
        <w:rPr>
          <w:rFonts w:hint="eastAsia" w:ascii="楷体" w:hAnsi="楷体" w:eastAsia="楷体" w:cs="楷体"/>
          <w:b/>
          <w:bCs/>
          <w:color w:val="auto"/>
          <w:kern w:val="2"/>
          <w:sz w:val="32"/>
          <w:szCs w:val="28"/>
          <w:highlight w:val="none"/>
          <w:lang w:val="en-US" w:eastAsia="zh-CN" w:bidi="ar-SA"/>
        </w:rPr>
        <w:t>推动先进制造业和现代服务业深度融合。</w:t>
      </w:r>
      <w:r>
        <w:rPr>
          <w:rFonts w:hint="eastAsia" w:ascii="仿宋" w:hAnsi="仿宋" w:eastAsia="仿宋" w:cs="仿宋"/>
          <w:color w:val="auto"/>
          <w:kern w:val="2"/>
          <w:sz w:val="32"/>
          <w:szCs w:val="32"/>
          <w:highlight w:val="none"/>
          <w:lang w:val="zh-CN" w:eastAsia="zh-CN" w:bidi="ar-SA"/>
        </w:rPr>
        <w:t>依托工业物联网、大数据、人工智能等新一代信息技术推动制造业和服务业升级，</w:t>
      </w:r>
      <w:r>
        <w:rPr>
          <w:rFonts w:hint="eastAsia" w:ascii="仿宋" w:hAnsi="仿宋" w:eastAsia="仿宋" w:cs="仿宋"/>
          <w:color w:val="auto"/>
          <w:szCs w:val="32"/>
          <w:highlight w:val="none"/>
          <w:lang w:val="zh-CN"/>
        </w:rPr>
        <w:t>引导园区制造业从生产型制造向服务型“智造”转变，以专业服务化引领制造业迈向价值链中高端，着力打通先进制造业和现代服务业深度融合互动关键节点，加快区域工业结构转型升级。</w:t>
      </w:r>
      <w:r>
        <w:rPr>
          <w:rFonts w:hint="eastAsia" w:ascii="仿宋" w:hAnsi="仿宋" w:eastAsia="仿宋" w:cs="仿宋"/>
          <w:color w:val="auto"/>
          <w:kern w:val="2"/>
          <w:sz w:val="32"/>
          <w:szCs w:val="32"/>
          <w:highlight w:val="none"/>
          <w:lang w:val="zh-CN" w:eastAsia="zh-CN" w:bidi="ar-SA"/>
        </w:rPr>
        <w:t>促进研发、咨询、金融服务、物流等处于制造业产业链上游和下游的现代服务业繁荣发展、做大做强，实现制造业中间投入成本有效降低、制造业产品附加值大幅增加。鼓励龙头企业建立服务平台，大力发展创新联盟、技术中介等新型创新组织，促进企业间紧密互动联合，推动形成企业主导、产学研用一体发展的创新体系，</w:t>
      </w:r>
      <w:r>
        <w:rPr>
          <w:rFonts w:hint="eastAsia" w:ascii="仿宋" w:hAnsi="仿宋" w:eastAsia="仿宋" w:cs="仿宋"/>
          <w:color w:val="auto"/>
          <w:szCs w:val="32"/>
          <w:highlight w:val="none"/>
          <w:lang w:val="zh-CN"/>
        </w:rPr>
        <w:t>促进“两业”相融相长、耦合共生。力</w:t>
      </w:r>
      <w:r>
        <w:rPr>
          <w:rFonts w:hint="eastAsia" w:ascii="仿宋" w:hAnsi="仿宋" w:eastAsia="仿宋" w:cs="仿宋"/>
          <w:color w:val="auto"/>
          <w:spacing w:val="-6"/>
          <w:szCs w:val="32"/>
          <w:highlight w:val="none"/>
          <w:lang w:val="zh-CN"/>
        </w:rPr>
        <w:t>争到</w:t>
      </w:r>
      <w:r>
        <w:rPr>
          <w:rFonts w:hint="eastAsia" w:ascii="仿宋" w:hAnsi="仿宋" w:eastAsia="仿宋" w:cs="仿宋"/>
          <w:color w:val="auto"/>
          <w:spacing w:val="-6"/>
          <w:szCs w:val="32"/>
          <w:highlight w:val="none"/>
          <w:lang w:val="en-US" w:eastAsia="zh-CN"/>
        </w:rPr>
        <w:t>2025年，纳入</w:t>
      </w:r>
      <w:r>
        <w:rPr>
          <w:rFonts w:hint="eastAsia" w:ascii="仿宋" w:hAnsi="仿宋" w:eastAsia="仿宋" w:cs="仿宋"/>
          <w:b w:val="0"/>
          <w:i w:val="0"/>
          <w:caps w:val="0"/>
          <w:color w:val="auto"/>
          <w:spacing w:val="-6"/>
          <w:sz w:val="32"/>
          <w:szCs w:val="32"/>
          <w:highlight w:val="none"/>
          <w:shd w:val="clear"/>
          <w:lang w:val="zh-CN"/>
        </w:rPr>
        <w:t>省“两业”深度融合领军骨干企业试点达</w:t>
      </w:r>
      <w:r>
        <w:rPr>
          <w:rFonts w:hint="eastAsia" w:ascii="仿宋" w:hAnsi="仿宋" w:eastAsia="仿宋" w:cs="仿宋"/>
          <w:b w:val="0"/>
          <w:i w:val="0"/>
          <w:caps w:val="0"/>
          <w:color w:val="auto"/>
          <w:spacing w:val="-6"/>
          <w:sz w:val="32"/>
          <w:szCs w:val="32"/>
          <w:highlight w:val="none"/>
          <w:shd w:val="clear"/>
          <w:lang w:val="en-US" w:eastAsia="zh-CN"/>
        </w:rPr>
        <w:t>5</w:t>
      </w:r>
      <w:r>
        <w:rPr>
          <w:rFonts w:hint="eastAsia" w:ascii="仿宋" w:hAnsi="仿宋" w:eastAsia="仿宋" w:cs="仿宋"/>
          <w:b w:val="0"/>
          <w:i w:val="0"/>
          <w:caps w:val="0"/>
          <w:color w:val="auto"/>
          <w:spacing w:val="-6"/>
          <w:sz w:val="32"/>
          <w:szCs w:val="32"/>
          <w:highlight w:val="none"/>
          <w:shd w:val="clear"/>
          <w:lang w:val="zh-CN"/>
        </w:rPr>
        <w:t>家。</w:t>
      </w:r>
    </w:p>
    <w:p w14:paraId="690D2CB9">
      <w:pPr>
        <w:pStyle w:val="28"/>
        <w:pageBreakBefore w:val="0"/>
        <w:widowControl w:val="0"/>
        <w:kinsoku/>
        <w:wordWrap/>
        <w:overflowPunct/>
        <w:autoSpaceDN/>
        <w:bidi w:val="0"/>
        <w:adjustRightInd/>
        <w:snapToGrid/>
        <w:spacing w:line="620" w:lineRule="exact"/>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lang w:eastAsia="zh-CN"/>
        </w:rPr>
        <w:t>大力发展生产性服务业。</w:t>
      </w:r>
      <w:r>
        <w:rPr>
          <w:rFonts w:hint="eastAsia" w:ascii="仿宋" w:hAnsi="仿宋" w:eastAsia="仿宋" w:cs="仿宋"/>
          <w:color w:val="auto"/>
          <w:szCs w:val="32"/>
          <w:highlight w:val="none"/>
          <w:lang w:eastAsia="zh-CN"/>
        </w:rPr>
        <w:t>充分发挥产业、人才、区位等优势，提高资源配置效率，推动生产性服务业向专业化和价值链高端延伸。</w:t>
      </w:r>
    </w:p>
    <w:p w14:paraId="7CFCCEC4">
      <w:pPr>
        <w:pageBreakBefore w:val="0"/>
        <w:widowControl w:val="0"/>
        <w:pBdr>
          <w:bottom w:val="single" w:color="FFFFFF" w:sz="4" w:space="30"/>
        </w:pBdr>
        <w:kinsoku/>
        <w:wordWrap/>
        <w:overflowPunct/>
        <w:topLinePunct/>
        <w:autoSpaceDE w:val="0"/>
        <w:autoSpaceDN/>
        <w:bidi w:val="0"/>
        <w:adjustRightInd/>
        <w:snapToGrid/>
        <w:spacing w:line="620" w:lineRule="exact"/>
        <w:ind w:firstLine="643" w:firstLineChars="200"/>
        <w:jc w:val="both"/>
        <w:textAlignment w:val="auto"/>
        <w:rPr>
          <w:rFonts w:hint="eastAsia" w:ascii="仿宋" w:hAnsi="仿宋" w:eastAsia="仿宋" w:cs="仿宋"/>
          <w:color w:val="auto"/>
          <w:highlight w:val="none"/>
        </w:rPr>
      </w:pPr>
      <w:r>
        <w:rPr>
          <w:rFonts w:hint="eastAsia" w:ascii="黑体" w:hAnsi="黑体" w:eastAsia="黑体" w:cs="黑体"/>
          <w:b/>
          <w:bCs/>
          <w:color w:val="auto"/>
          <w:szCs w:val="32"/>
          <w:highlight w:val="none"/>
        </w:rPr>
        <w:t>——</w:t>
      </w:r>
      <w:r>
        <w:rPr>
          <w:rFonts w:hint="eastAsia" w:ascii="仿宋" w:hAnsi="仿宋" w:eastAsia="仿宋" w:cs="仿宋"/>
          <w:b/>
          <w:bCs/>
          <w:color w:val="auto"/>
          <w:szCs w:val="32"/>
          <w:highlight w:val="none"/>
        </w:rPr>
        <w:t>科技服务业。</w:t>
      </w:r>
      <w:r>
        <w:rPr>
          <w:rFonts w:hint="eastAsia" w:ascii="仿宋" w:hAnsi="仿宋" w:eastAsia="仿宋" w:cs="仿宋"/>
          <w:b w:val="0"/>
          <w:bCs w:val="0"/>
          <w:color w:val="auto"/>
          <w:szCs w:val="32"/>
          <w:highlight w:val="none"/>
          <w:lang w:eastAsia="zh-CN"/>
        </w:rPr>
        <w:t>依托院士工作室、国家技术转移中心武冈分中心等科研机构，</w:t>
      </w:r>
      <w:r>
        <w:rPr>
          <w:rFonts w:hint="eastAsia" w:ascii="仿宋" w:hAnsi="仿宋" w:eastAsia="仿宋" w:cs="仿宋"/>
          <w:color w:val="auto"/>
          <w:highlight w:val="none"/>
        </w:rPr>
        <w:t>整合企业、高校等科技创新资源，积极推进协同创新，培育第三方科技研发服务机构，以食品科技、电子信息、新型建材等为重点，以技术市场为载体，全面推广“孵化加创投”的孵化模式，完善技术服务产业链条，为优势产业、关键技术和产品研发提供全方位科技服务。</w:t>
      </w:r>
    </w:p>
    <w:p w14:paraId="6EA9081B">
      <w:pPr>
        <w:keepNext w:val="0"/>
        <w:keepLines w:val="0"/>
        <w:pageBreakBefore w:val="0"/>
        <w:widowControl w:val="0"/>
        <w:pBdr>
          <w:bottom w:val="single" w:color="FFFFFF" w:sz="4" w:space="30"/>
        </w:pBdr>
        <w:kinsoku/>
        <w:wordWrap/>
        <w:overflowPunct/>
        <w:topLinePunct/>
        <w:autoSpaceDE w:val="0"/>
        <w:autoSpaceDN/>
        <w:bidi w:val="0"/>
        <w:adjustRightInd/>
        <w:snapToGrid/>
        <w:spacing w:line="660" w:lineRule="exact"/>
        <w:ind w:firstLine="643" w:firstLineChars="200"/>
        <w:jc w:val="both"/>
        <w:textAlignment w:val="auto"/>
        <w:rPr>
          <w:rFonts w:hint="eastAsia" w:ascii="仿宋" w:hAnsi="仿宋" w:eastAsia="仿宋" w:cs="仿宋"/>
          <w:color w:val="auto"/>
          <w:highlight w:val="none"/>
        </w:rPr>
      </w:pPr>
      <w:r>
        <w:rPr>
          <w:rFonts w:hint="eastAsia" w:ascii="黑体" w:hAnsi="黑体" w:eastAsia="黑体" w:cs="黑体"/>
          <w:b/>
          <w:bCs/>
          <w:color w:val="auto"/>
          <w:szCs w:val="32"/>
          <w:highlight w:val="none"/>
        </w:rPr>
        <w:t>——</w:t>
      </w:r>
      <w:r>
        <w:rPr>
          <w:rFonts w:hint="eastAsia" w:ascii="仿宋" w:hAnsi="仿宋" w:eastAsia="仿宋" w:cs="仿宋"/>
          <w:b/>
          <w:bCs/>
          <w:color w:val="auto"/>
          <w:szCs w:val="32"/>
          <w:highlight w:val="none"/>
        </w:rPr>
        <w:t>金融服务业。</w:t>
      </w:r>
      <w:r>
        <w:rPr>
          <w:rFonts w:hint="eastAsia" w:ascii="仿宋" w:hAnsi="仿宋" w:eastAsia="仿宋" w:cs="仿宋"/>
          <w:color w:val="auto"/>
          <w:highlight w:val="none"/>
        </w:rPr>
        <w:t>积极引进国内金融机构，重点引进股份制商业银行，力争5年内有1-2 家股份制商业银行在我市落户。鼓励银行、保险公司等金融机构按照风险可控、商业可持续的原则，开发与武冈优势制造业深度融合的金融产品和服务。鼓励</w:t>
      </w:r>
      <w:r>
        <w:rPr>
          <w:rFonts w:hint="eastAsia" w:ascii="仿宋" w:hAnsi="仿宋" w:eastAsia="仿宋" w:cs="仿宋"/>
          <w:color w:val="auto"/>
          <w:highlight w:val="none"/>
          <w:lang w:eastAsia="zh-CN"/>
        </w:rPr>
        <w:t>具有</w:t>
      </w:r>
      <w:r>
        <w:rPr>
          <w:rFonts w:hint="eastAsia" w:ascii="仿宋" w:hAnsi="仿宋" w:eastAsia="仿宋" w:cs="仿宋"/>
          <w:color w:val="auto"/>
          <w:highlight w:val="none"/>
        </w:rPr>
        <w:t>核心</w:t>
      </w:r>
      <w:r>
        <w:rPr>
          <w:rFonts w:hint="eastAsia" w:ascii="仿宋" w:hAnsi="仿宋" w:eastAsia="仿宋" w:cs="仿宋"/>
          <w:color w:val="auto"/>
          <w:highlight w:val="none"/>
          <w:lang w:eastAsia="zh-CN"/>
        </w:rPr>
        <w:t>竞争力的</w:t>
      </w:r>
      <w:r>
        <w:rPr>
          <w:rFonts w:hint="eastAsia" w:ascii="仿宋" w:hAnsi="仿宋" w:eastAsia="仿宋" w:cs="仿宋"/>
          <w:color w:val="auto"/>
          <w:highlight w:val="none"/>
        </w:rPr>
        <w:t>制造企业或平台企业与金融机构深度合作，整合物流、信息流、资金流等信息，为区域内重点企业及相关的上下游企业提供增信支持，妥善促进供应链金融发展。支持社会资本设立制造业融合发展产业投资平台，拓宽融资支持渠道。</w:t>
      </w:r>
      <w:r>
        <w:rPr>
          <w:rFonts w:hint="eastAsia" w:ascii="仿宋" w:hAnsi="仿宋" w:eastAsia="仿宋" w:cs="仿宋"/>
          <w:color w:val="auto"/>
          <w:highlight w:val="none"/>
          <w:lang w:eastAsia="zh-CN"/>
        </w:rPr>
        <w:t>推进企业挂牌上市，支持优质企业进行股份制改造，实施挂牌或上市，降低融资成本，进一步做强做大做优。</w:t>
      </w:r>
      <w:r>
        <w:rPr>
          <w:rFonts w:hint="eastAsia" w:ascii="仿宋" w:hAnsi="仿宋" w:eastAsia="仿宋" w:cs="仿宋"/>
          <w:color w:val="auto"/>
          <w:highlight w:val="none"/>
        </w:rPr>
        <w:t>大力发展为金融业提供服务的资产评估、会计审计、律师、保险代理、保险公估和保险经纪等中介服务组织。</w:t>
      </w:r>
    </w:p>
    <w:p w14:paraId="208F5060">
      <w:pPr>
        <w:keepNext w:val="0"/>
        <w:keepLines w:val="0"/>
        <w:pageBreakBefore w:val="0"/>
        <w:widowControl w:val="0"/>
        <w:pBdr>
          <w:bottom w:val="single" w:color="FFFFFF" w:sz="4" w:space="30"/>
        </w:pBdr>
        <w:kinsoku/>
        <w:wordWrap/>
        <w:overflowPunct/>
        <w:topLinePunct/>
        <w:autoSpaceDE w:val="0"/>
        <w:autoSpaceDN/>
        <w:bidi w:val="0"/>
        <w:adjustRightInd/>
        <w:snapToGrid/>
        <w:spacing w:line="660" w:lineRule="exact"/>
        <w:ind w:firstLine="643" w:firstLineChars="200"/>
        <w:jc w:val="both"/>
        <w:textAlignment w:val="auto"/>
        <w:rPr>
          <w:rFonts w:hint="eastAsia" w:ascii="仿宋" w:hAnsi="仿宋" w:eastAsia="仿宋" w:cs="仿宋"/>
          <w:color w:val="auto"/>
          <w:highlight w:val="none"/>
        </w:rPr>
      </w:pPr>
      <w:r>
        <w:rPr>
          <w:rFonts w:hint="eastAsia" w:ascii="黑体" w:hAnsi="黑体" w:eastAsia="黑体" w:cs="黑体"/>
          <w:b/>
          <w:bCs/>
          <w:color w:val="auto"/>
          <w:szCs w:val="32"/>
          <w:highlight w:val="none"/>
        </w:rPr>
        <w:t>——</w:t>
      </w:r>
      <w:r>
        <w:rPr>
          <w:rFonts w:hint="eastAsia" w:ascii="仿宋" w:hAnsi="仿宋" w:eastAsia="仿宋" w:cs="仿宋"/>
          <w:b/>
          <w:bCs/>
          <w:color w:val="auto"/>
          <w:szCs w:val="32"/>
          <w:highlight w:val="none"/>
        </w:rPr>
        <w:t>信息服务业。</w:t>
      </w:r>
      <w:r>
        <w:rPr>
          <w:rFonts w:hint="eastAsia" w:ascii="仿宋" w:hAnsi="仿宋" w:eastAsia="仿宋" w:cs="仿宋"/>
          <w:color w:val="auto"/>
          <w:highlight w:val="none"/>
        </w:rPr>
        <w:t>积极探索和推进区块链、第五代移动通信技术（5G）、云计算等新兴技术在制造业中的应用，促进工业与互联网领域的融合应用，推广应用工业互联网标识解析技术和基于物联网、云计算等智慧技术装备，建设工业互联网平台，实现采购、生产、流通等上下游环节信息实时采集、互联共享，向制造企业特别是中小型制造企业提供及时、准确的信息服务，有效助推企业质量、效能提升。</w:t>
      </w:r>
    </w:p>
    <w:p w14:paraId="622BE156">
      <w:pPr>
        <w:keepNext w:val="0"/>
        <w:keepLines w:val="0"/>
        <w:pageBreakBefore w:val="0"/>
        <w:widowControl w:val="0"/>
        <w:pBdr>
          <w:bottom w:val="single" w:color="FFFFFF" w:sz="4" w:space="30"/>
        </w:pBdr>
        <w:kinsoku/>
        <w:wordWrap/>
        <w:overflowPunct/>
        <w:topLinePunct/>
        <w:autoSpaceDE w:val="0"/>
        <w:autoSpaceDN/>
        <w:bidi w:val="0"/>
        <w:adjustRightInd/>
        <w:snapToGrid/>
        <w:spacing w:line="660" w:lineRule="exact"/>
        <w:ind w:firstLine="643" w:firstLineChars="200"/>
        <w:jc w:val="both"/>
        <w:textAlignment w:val="auto"/>
        <w:rPr>
          <w:rFonts w:hint="eastAsia" w:ascii="仿宋" w:hAnsi="仿宋" w:eastAsia="仿宋" w:cs="仿宋"/>
          <w:color w:val="auto"/>
          <w:szCs w:val="32"/>
          <w:highlight w:val="none"/>
        </w:rPr>
      </w:pPr>
      <w:r>
        <w:rPr>
          <w:rFonts w:hint="eastAsia" w:ascii="黑体" w:hAnsi="黑体" w:eastAsia="黑体" w:cs="黑体"/>
          <w:b/>
          <w:bCs/>
          <w:color w:val="auto"/>
          <w:szCs w:val="32"/>
          <w:highlight w:val="none"/>
        </w:rPr>
        <w:t>——</w:t>
      </w:r>
      <w:r>
        <w:rPr>
          <w:rFonts w:hint="eastAsia" w:ascii="仿宋" w:hAnsi="仿宋" w:eastAsia="仿宋" w:cs="仿宋"/>
          <w:b/>
          <w:bCs/>
          <w:color w:val="auto"/>
          <w:szCs w:val="32"/>
          <w:highlight w:val="none"/>
        </w:rPr>
        <w:t>创意服务业。</w:t>
      </w:r>
      <w:r>
        <w:rPr>
          <w:rFonts w:hint="eastAsia" w:ascii="仿宋" w:hAnsi="仿宋" w:eastAsia="仿宋" w:cs="仿宋"/>
          <w:color w:val="auto"/>
          <w:szCs w:val="32"/>
          <w:highlight w:val="none"/>
        </w:rPr>
        <w:t>积极扶持创意设计、文化策划、动漫游戏、广播影视、数字媒体等创意服务业发展。在工农业消费品中注入更多武冈文化元素，提升文化内涵，打造具有丰富文化品牌的工农业消费品，壮大消费品工业规模，提升产品档次，增加产业效益。</w:t>
      </w:r>
    </w:p>
    <w:p w14:paraId="3DEF45C6">
      <w:pPr>
        <w:keepNext w:val="0"/>
        <w:keepLines w:val="0"/>
        <w:pageBreakBefore w:val="0"/>
        <w:widowControl w:val="0"/>
        <w:pBdr>
          <w:bottom w:val="single" w:color="FFFFFF" w:sz="4" w:space="30"/>
        </w:pBdr>
        <w:kinsoku/>
        <w:wordWrap/>
        <w:overflowPunct/>
        <w:topLinePunct/>
        <w:autoSpaceDE w:val="0"/>
        <w:autoSpaceDN/>
        <w:bidi w:val="0"/>
        <w:adjustRightInd/>
        <w:snapToGrid/>
        <w:spacing w:line="640" w:lineRule="exact"/>
        <w:jc w:val="center"/>
        <w:textAlignment w:val="auto"/>
        <w:outlineLvl w:val="1"/>
        <w:rPr>
          <w:rFonts w:hint="eastAsia" w:ascii="黑体" w:hAnsi="黑体" w:eastAsia="黑体" w:cs="黑体"/>
          <w:b w:val="0"/>
          <w:bCs/>
          <w:color w:val="auto"/>
          <w:highlight w:val="none"/>
        </w:rPr>
      </w:pPr>
      <w:bookmarkStart w:id="58" w:name="_Toc20262"/>
      <w:r>
        <w:rPr>
          <w:rFonts w:hint="eastAsia" w:ascii="黑体" w:hAnsi="黑体" w:eastAsia="黑体" w:cs="黑体"/>
          <w:b w:val="0"/>
          <w:bCs/>
          <w:color w:val="auto"/>
          <w:kern w:val="44"/>
          <w:sz w:val="32"/>
          <w:szCs w:val="32"/>
          <w:highlight w:val="none"/>
          <w:lang w:val="en-US" w:eastAsia="zh-CN" w:bidi="ar-SA"/>
        </w:rPr>
        <w:t>第三节  推动数字经济发展</w:t>
      </w:r>
      <w:bookmarkEnd w:id="58"/>
    </w:p>
    <w:p w14:paraId="37831FFB">
      <w:pPr>
        <w:keepNext w:val="0"/>
        <w:keepLines w:val="0"/>
        <w:pageBreakBefore w:val="0"/>
        <w:widowControl w:val="0"/>
        <w:pBdr>
          <w:bottom w:val="single" w:color="FFFFFF" w:sz="4" w:space="30"/>
        </w:pBdr>
        <w:kinsoku/>
        <w:wordWrap/>
        <w:overflowPunct/>
        <w:topLinePunct/>
        <w:autoSpaceDE w:val="0"/>
        <w:autoSpaceDN/>
        <w:bidi w:val="0"/>
        <w:adjustRightInd/>
        <w:snapToGrid/>
        <w:spacing w:line="670" w:lineRule="exact"/>
        <w:ind w:firstLine="640" w:firstLineChars="200"/>
        <w:jc w:val="both"/>
        <w:textAlignment w:val="auto"/>
        <w:rPr>
          <w:rFonts w:hint="default" w:ascii="仿宋" w:hAnsi="仿宋" w:eastAsia="仿宋" w:cs="仿宋"/>
          <w:color w:val="auto"/>
          <w:szCs w:val="32"/>
          <w:highlight w:val="none"/>
          <w:lang w:val="en-US"/>
        </w:rPr>
      </w:pPr>
      <w:r>
        <w:rPr>
          <w:rFonts w:hint="eastAsia" w:ascii="仿宋" w:hAnsi="仿宋" w:eastAsia="仿宋" w:cs="仿宋"/>
          <w:color w:val="auto"/>
          <w:szCs w:val="32"/>
          <w:highlight w:val="none"/>
        </w:rPr>
        <w:t>深入贯彻实施国家和省</w:t>
      </w:r>
      <w:r>
        <w:rPr>
          <w:rFonts w:hint="eastAsia" w:ascii="仿宋" w:hAnsi="仿宋" w:eastAsia="仿宋" w:cs="仿宋"/>
          <w:color w:val="auto"/>
          <w:szCs w:val="32"/>
          <w:highlight w:val="none"/>
          <w:lang w:eastAsia="zh-CN"/>
        </w:rPr>
        <w:t>邵</w:t>
      </w:r>
      <w:r>
        <w:rPr>
          <w:rFonts w:hint="eastAsia" w:ascii="仿宋" w:hAnsi="仿宋" w:eastAsia="仿宋" w:cs="仿宋"/>
          <w:color w:val="auto"/>
          <w:szCs w:val="32"/>
          <w:highlight w:val="none"/>
        </w:rPr>
        <w:t>大数据发展战略，以数据要素为关键，发挥信息技术在资源合理配置和高效利用中的重要作用，加快培育信息化建设和数字经济发展新模式、新业态，推动数字经济与实体经济深度融合，构筑经济社会发展新动力和新优势。</w:t>
      </w:r>
      <w:r>
        <w:rPr>
          <w:rFonts w:hint="eastAsia" w:ascii="仿宋" w:hAnsi="仿宋" w:eastAsia="仿宋" w:cs="仿宋"/>
          <w:color w:val="auto"/>
          <w:szCs w:val="32"/>
          <w:highlight w:val="none"/>
          <w:lang w:eastAsia="zh-CN"/>
        </w:rPr>
        <w:t>力争到</w:t>
      </w:r>
      <w:r>
        <w:rPr>
          <w:rFonts w:hint="eastAsia" w:ascii="仿宋" w:hAnsi="仿宋" w:eastAsia="仿宋" w:cs="仿宋"/>
          <w:color w:val="auto"/>
          <w:szCs w:val="32"/>
          <w:highlight w:val="none"/>
          <w:lang w:val="en-US" w:eastAsia="zh-CN"/>
        </w:rPr>
        <w:t>2025年，数字经济增加值占GDP比例达41%。</w:t>
      </w:r>
    </w:p>
    <w:p w14:paraId="77C907A3">
      <w:pPr>
        <w:keepNext w:val="0"/>
        <w:keepLines w:val="0"/>
        <w:pageBreakBefore w:val="0"/>
        <w:widowControl w:val="0"/>
        <w:pBdr>
          <w:bottom w:val="single" w:color="FFFFFF" w:sz="4" w:space="30"/>
        </w:pBdr>
        <w:kinsoku/>
        <w:wordWrap/>
        <w:overflowPunct/>
        <w:topLinePunct/>
        <w:autoSpaceDE w:val="0"/>
        <w:autoSpaceDN/>
        <w:bidi w:val="0"/>
        <w:adjustRightInd/>
        <w:snapToGrid/>
        <w:spacing w:line="670"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lang w:val="en-US" w:eastAsia="zh-CN"/>
        </w:rPr>
        <w:t>抓好基础</w:t>
      </w:r>
      <w:r>
        <w:rPr>
          <w:rFonts w:hint="eastAsia" w:ascii="楷体" w:hAnsi="楷体" w:eastAsia="楷体" w:cs="楷体"/>
          <w:b/>
          <w:bCs/>
          <w:color w:val="auto"/>
          <w:szCs w:val="32"/>
          <w:highlight w:val="none"/>
        </w:rPr>
        <w:t>。</w:t>
      </w:r>
      <w:r>
        <w:rPr>
          <w:rFonts w:hint="eastAsia" w:ascii="仿宋" w:hAnsi="仿宋" w:eastAsia="仿宋" w:cs="仿宋"/>
          <w:color w:val="auto"/>
          <w:szCs w:val="32"/>
          <w:highlight w:val="none"/>
        </w:rPr>
        <w:t>充分发挥数据新要素的重要作用，培育壮大数字产业，推进大数据、云计算等产业发展</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启动工业互联网建设,实现</w:t>
      </w:r>
      <w:r>
        <w:rPr>
          <w:rFonts w:hint="eastAsia" w:ascii="仿宋" w:hAnsi="仿宋" w:eastAsia="仿宋" w:cs="仿宋"/>
          <w:color w:val="auto"/>
          <w:szCs w:val="32"/>
          <w:highlight w:val="none"/>
        </w:rPr>
        <w:t>互联网基础设施共建共享，统筹网络数据中心等云计算基础设施布局,积极引入一批面向垂直行业和细分领域的工业互联网平台</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加快</w:t>
      </w:r>
      <w:r>
        <w:rPr>
          <w:rFonts w:hint="eastAsia" w:ascii="仿宋" w:hAnsi="仿宋" w:eastAsia="仿宋" w:cs="仿宋"/>
          <w:color w:val="auto"/>
          <w:szCs w:val="32"/>
          <w:highlight w:val="none"/>
          <w:lang w:eastAsia="zh-CN"/>
        </w:rPr>
        <w:t>推动</w:t>
      </w:r>
      <w:r>
        <w:rPr>
          <w:rFonts w:hint="eastAsia" w:ascii="仿宋" w:hAnsi="仿宋" w:eastAsia="仿宋" w:cs="仿宋"/>
          <w:color w:val="auto"/>
          <w:szCs w:val="32"/>
          <w:highlight w:val="none"/>
        </w:rPr>
        <w:t>区块链产业发展，积极拓展区块链应用场景</w:t>
      </w:r>
      <w:r>
        <w:rPr>
          <w:rFonts w:hint="eastAsia" w:ascii="仿宋" w:hAnsi="仿宋" w:eastAsia="仿宋" w:cs="仿宋"/>
          <w:color w:val="auto"/>
          <w:szCs w:val="32"/>
          <w:highlight w:val="none"/>
          <w:lang w:eastAsia="zh-CN"/>
        </w:rPr>
        <w:t>。做强数字创意产业，推动数字创意在各领域的融合应用发展。</w:t>
      </w:r>
      <w:r>
        <w:rPr>
          <w:rFonts w:hint="eastAsia" w:ascii="仿宋" w:hAnsi="仿宋" w:eastAsia="仿宋" w:cs="仿宋"/>
          <w:color w:val="auto"/>
          <w:szCs w:val="32"/>
          <w:highlight w:val="none"/>
        </w:rPr>
        <w:t>鼓励区域装备制造、电子信息、新型建材等武冈优势产业行业龙头骨干企业发挥领军作用，积极与互联网企业、工业信息工程服务商、软件企业合作，打造具有专有技术、专业知识、开发工具的行业级工业互联网平台。</w:t>
      </w:r>
    </w:p>
    <w:p w14:paraId="638E86FF">
      <w:pPr>
        <w:keepNext w:val="0"/>
        <w:keepLines w:val="0"/>
        <w:pageBreakBefore w:val="0"/>
        <w:widowControl w:val="0"/>
        <w:pBdr>
          <w:bottom w:val="single" w:color="FFFFFF" w:sz="4" w:space="30"/>
        </w:pBdr>
        <w:kinsoku/>
        <w:wordWrap/>
        <w:overflowPunct/>
        <w:topLinePunct/>
        <w:autoSpaceDE w:val="0"/>
        <w:autoSpaceDN/>
        <w:bidi w:val="0"/>
        <w:adjustRightInd/>
        <w:snapToGrid/>
        <w:spacing w:line="670"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lang w:val="en-US" w:eastAsia="zh-CN"/>
        </w:rPr>
        <w:t>抓好示范</w:t>
      </w:r>
      <w:r>
        <w:rPr>
          <w:rFonts w:hint="eastAsia" w:ascii="楷体" w:hAnsi="楷体" w:eastAsia="楷体" w:cs="楷体"/>
          <w:b/>
          <w:bCs/>
          <w:color w:val="auto"/>
          <w:szCs w:val="32"/>
          <w:highlight w:val="none"/>
        </w:rPr>
        <w:t>。</w:t>
      </w:r>
      <w:r>
        <w:rPr>
          <w:rFonts w:hint="eastAsia" w:ascii="仿宋" w:hAnsi="仿宋" w:eastAsia="仿宋" w:cs="仿宋"/>
          <w:color w:val="auto"/>
          <w:szCs w:val="32"/>
          <w:highlight w:val="none"/>
          <w:lang w:val="en-US" w:eastAsia="zh-CN"/>
        </w:rPr>
        <w:t>成立工业互联网基金，鼓励有条件的先进制造业企业</w:t>
      </w:r>
      <w:r>
        <w:rPr>
          <w:rFonts w:hint="eastAsia" w:ascii="仿宋" w:hAnsi="仿宋" w:eastAsia="仿宋" w:cs="仿宋"/>
          <w:color w:val="auto"/>
          <w:szCs w:val="32"/>
          <w:highlight w:val="none"/>
        </w:rPr>
        <w:t>建设智能生产线、智能车间和智能工厂</w:t>
      </w:r>
      <w:r>
        <w:rPr>
          <w:rFonts w:hint="eastAsia" w:ascii="仿宋" w:hAnsi="仿宋" w:eastAsia="仿宋" w:cs="仿宋"/>
          <w:color w:val="auto"/>
          <w:szCs w:val="32"/>
          <w:highlight w:val="none"/>
          <w:lang w:val="en-US" w:eastAsia="zh-CN"/>
        </w:rPr>
        <w:t>。</w:t>
      </w:r>
      <w:r>
        <w:rPr>
          <w:rFonts w:hint="eastAsia" w:ascii="仿宋" w:hAnsi="仿宋" w:eastAsia="仿宋" w:cs="仿宋"/>
          <w:color w:val="auto"/>
          <w:szCs w:val="32"/>
          <w:highlight w:val="none"/>
        </w:rPr>
        <w:t>推动工业企业数据“上云上平台”，全力推动规模以上工业企业开展生产线装备智能化改造，推进各类装备与信息系统广泛互联互通，将工业设备、核心业务系统等关键环节向云端迁移，实现研发、设计、采购、生产、销售、物流、库存等业务在线协同，进一步打破设备间、系统间、企业间、区域间的数据孤岛。在研发管理协同、生产设备状态监控、智能排单调度等领域开发应用服务，提出工业互联网解决方案。</w:t>
      </w:r>
    </w:p>
    <w:p w14:paraId="3A5FF028">
      <w:pPr>
        <w:keepNext w:val="0"/>
        <w:keepLines w:val="0"/>
        <w:pageBreakBefore w:val="0"/>
        <w:widowControl w:val="0"/>
        <w:pBdr>
          <w:bottom w:val="single" w:color="FFFFFF" w:sz="4" w:space="30"/>
        </w:pBdr>
        <w:kinsoku/>
        <w:wordWrap/>
        <w:overflowPunct/>
        <w:topLinePunct/>
        <w:autoSpaceDE w:val="0"/>
        <w:autoSpaceDN/>
        <w:bidi w:val="0"/>
        <w:adjustRightInd/>
        <w:snapToGrid/>
        <w:spacing w:line="670" w:lineRule="exact"/>
        <w:ind w:firstLine="643" w:firstLineChars="200"/>
        <w:jc w:val="both"/>
        <w:textAlignment w:val="auto"/>
        <w:rPr>
          <w:rStyle w:val="43"/>
          <w:rFonts w:hint="eastAsia"/>
          <w:color w:val="auto"/>
          <w:sz w:val="21"/>
          <w:highlight w:val="none"/>
          <w:lang w:val="zh-CN"/>
        </w:rPr>
      </w:pPr>
      <w:r>
        <w:rPr>
          <w:rFonts w:hint="eastAsia" w:ascii="楷体" w:hAnsi="楷体" w:eastAsia="楷体" w:cs="楷体"/>
          <w:b/>
          <w:bCs/>
          <w:color w:val="auto"/>
          <w:kern w:val="2"/>
          <w:szCs w:val="32"/>
          <w:highlight w:val="none"/>
          <w:lang w:val="en-US" w:eastAsia="zh-CN" w:bidi="ar-SA"/>
        </w:rPr>
        <w:t>抓好应用。</w:t>
      </w:r>
      <w:r>
        <w:rPr>
          <w:rFonts w:hint="eastAsia" w:ascii="仿宋" w:hAnsi="仿宋" w:eastAsia="仿宋" w:cs="仿宋"/>
          <w:color w:val="auto"/>
          <w:szCs w:val="32"/>
          <w:highlight w:val="none"/>
          <w:lang w:val="en-US" w:eastAsia="zh-CN"/>
        </w:rPr>
        <w:t>提升企业数字化水平，</w:t>
      </w:r>
      <w:r>
        <w:rPr>
          <w:rFonts w:hint="eastAsia" w:ascii="仿宋" w:hAnsi="仿宋" w:eastAsia="仿宋" w:cs="仿宋"/>
          <w:color w:val="auto"/>
          <w:szCs w:val="32"/>
          <w:highlight w:val="none"/>
        </w:rPr>
        <w:t>鼓励企业运用大数据分析等对接用户个性化需求，优化产业链前端产品研发和设计活动，拓展基于互联网的质量诊断、远程运维、故障预警等在线服务，深化“制造+服务”模式</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引导企业运用大数据、物联网、工业互联网、云计算、</w:t>
      </w:r>
      <w:r>
        <w:rPr>
          <w:rStyle w:val="43"/>
          <w:color w:val="auto"/>
          <w:highlight w:val="none"/>
          <w:lang w:val="zh-CN"/>
        </w:rPr>
        <w:t>人工智能、5G等数字技术培育、发展智能监测、远程诊断、在线管理、产品质量安全追溯等数字化应用服务，培育产品智能检测和全产业链追溯等工业互联网新模式</w:t>
      </w:r>
      <w:r>
        <w:rPr>
          <w:rStyle w:val="43"/>
          <w:rFonts w:hint="eastAsia"/>
          <w:color w:val="auto"/>
          <w:highlight w:val="none"/>
          <w:lang w:val="zh-CN"/>
        </w:rPr>
        <w:t>，</w:t>
      </w:r>
      <w:r>
        <w:rPr>
          <w:rStyle w:val="43"/>
          <w:color w:val="auto"/>
          <w:highlight w:val="none"/>
          <w:lang w:val="zh-CN"/>
        </w:rPr>
        <w:t>充分激发创新活力、挖掘发展潜力、释放转型动力，推动制造业</w:t>
      </w:r>
      <w:r>
        <w:rPr>
          <w:rStyle w:val="43"/>
          <w:rFonts w:hint="eastAsia"/>
          <w:color w:val="auto"/>
          <w:highlight w:val="none"/>
          <w:lang w:val="zh-CN"/>
        </w:rPr>
        <w:t>数字化转型</w:t>
      </w:r>
      <w:r>
        <w:rPr>
          <w:rStyle w:val="43"/>
          <w:color w:val="auto"/>
          <w:highlight w:val="none"/>
          <w:lang w:val="zh-CN"/>
        </w:rPr>
        <w:t>。</w:t>
      </w:r>
      <w:r>
        <w:rPr>
          <w:rStyle w:val="43"/>
          <w:rFonts w:hint="eastAsia"/>
          <w:color w:val="auto"/>
          <w:highlight w:val="none"/>
          <w:lang w:val="zh-CN"/>
        </w:rPr>
        <w:t>创新发展智慧农业，推进数字技术在农业生产、经营、管理和服务等环节的集成应用，培育农业高质量发展新动能。聚焦服务业数字化，拓展数字技术应用场景，推动智能物流、智慧交通、数字金融、电子商务等领域发展，</w:t>
      </w:r>
      <w:r>
        <w:rPr>
          <w:rStyle w:val="43"/>
          <w:rFonts w:hint="eastAsia"/>
          <w:color w:val="auto"/>
          <w:sz w:val="32"/>
          <w:szCs w:val="32"/>
          <w:highlight w:val="none"/>
          <w:lang w:val="zh-CN"/>
        </w:rPr>
        <w:t>打造新的经济增长点</w:t>
      </w:r>
      <w:r>
        <w:rPr>
          <w:rStyle w:val="43"/>
          <w:rFonts w:hint="eastAsia"/>
          <w:color w:val="auto"/>
          <w:sz w:val="21"/>
          <w:highlight w:val="none"/>
          <w:lang w:val="zh-CN"/>
        </w:rPr>
        <w:t>。</w:t>
      </w:r>
    </w:p>
    <w:p w14:paraId="5D0EF2A9">
      <w:pPr>
        <w:pageBreakBefore w:val="0"/>
        <w:wordWrap/>
        <w:bidi w:val="0"/>
        <w:rPr>
          <w:rFonts w:hint="eastAsia"/>
          <w:highlight w:val="none"/>
          <w:lang w:val="zh-CN"/>
        </w:rPr>
      </w:pPr>
      <w:r>
        <w:rPr>
          <w:rStyle w:val="43"/>
          <w:rFonts w:hint="eastAsia"/>
          <w:color w:val="auto"/>
          <w:sz w:val="21"/>
          <w:highlight w:val="none"/>
          <w:lang w:val="zh-CN"/>
        </w:rPr>
        <w:br w:type="page"/>
      </w:r>
    </w:p>
    <w:tbl>
      <w:tblPr>
        <w:tblStyle w:val="21"/>
        <w:tblpPr w:leftFromText="180" w:rightFromText="180" w:vertAnchor="text" w:horzAnchor="page" w:tblpX="1767" w:tblpY="36"/>
        <w:tblOverlap w:val="never"/>
        <w:tblW w:w="879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hemeFill="background1"/>
        <w:tblLayout w:type="autofit"/>
        <w:tblCellMar>
          <w:top w:w="0" w:type="dxa"/>
          <w:left w:w="108" w:type="dxa"/>
          <w:bottom w:w="0" w:type="dxa"/>
          <w:right w:w="108" w:type="dxa"/>
        </w:tblCellMar>
      </w:tblPr>
      <w:tblGrid>
        <w:gridCol w:w="8792"/>
      </w:tblGrid>
      <w:tr w14:paraId="0C11D9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0" w:type="auto"/>
            <w:shd w:val="clear" w:color="auto" w:fill="FFFFFF" w:themeFill="background1"/>
            <w:vAlign w:val="top"/>
          </w:tcPr>
          <w:p w14:paraId="29FC4A62">
            <w:pPr>
              <w:pageBreakBefore w:val="0"/>
              <w:widowControl w:val="0"/>
              <w:kinsoku/>
              <w:wordWrap/>
              <w:overflowPunct/>
              <w:bidi w:val="0"/>
              <w:jc w:val="center"/>
              <w:rPr>
                <w:rFonts w:eastAsia="黑体"/>
                <w:b/>
                <w:color w:val="auto"/>
                <w:kern w:val="0"/>
                <w:sz w:val="28"/>
                <w:szCs w:val="28"/>
                <w:highlight w:val="none"/>
              </w:rPr>
            </w:pPr>
            <w:r>
              <w:rPr>
                <w:rFonts w:hint="eastAsia" w:ascii="宋体" w:hAnsi="宋体" w:eastAsia="宋体" w:cs="宋体"/>
                <w:b/>
                <w:bCs/>
                <w:color w:val="auto"/>
                <w:kern w:val="0"/>
                <w:sz w:val="28"/>
                <w:szCs w:val="28"/>
                <w:highlight w:val="none"/>
              </w:rPr>
              <w:t>专栏</w:t>
            </w:r>
            <w:r>
              <w:rPr>
                <w:rFonts w:hint="eastAsia" w:ascii="宋体" w:hAnsi="宋体" w:eastAsia="宋体" w:cs="宋体"/>
                <w:b/>
                <w:bCs/>
                <w:color w:val="auto"/>
                <w:kern w:val="0"/>
                <w:sz w:val="28"/>
                <w:szCs w:val="28"/>
                <w:highlight w:val="none"/>
                <w:lang w:val="en-US" w:eastAsia="zh-CN"/>
              </w:rPr>
              <w:t>4</w:t>
            </w:r>
            <w:r>
              <w:rPr>
                <w:rFonts w:hint="eastAsia" w:ascii="宋体" w:hAnsi="宋体" w:eastAsia="宋体" w:cs="宋体"/>
                <w:b/>
                <w:bCs/>
                <w:color w:val="auto"/>
                <w:kern w:val="0"/>
                <w:sz w:val="28"/>
                <w:szCs w:val="28"/>
                <w:highlight w:val="none"/>
              </w:rPr>
              <w:t>：先进制造业高地</w:t>
            </w:r>
            <w:r>
              <w:rPr>
                <w:rFonts w:hint="eastAsia" w:ascii="宋体" w:hAnsi="宋体" w:eastAsia="宋体" w:cs="宋体"/>
                <w:b/>
                <w:bCs/>
                <w:color w:val="auto"/>
                <w:kern w:val="0"/>
                <w:sz w:val="28"/>
                <w:szCs w:val="28"/>
                <w:highlight w:val="none"/>
                <w:lang w:eastAsia="zh-CN"/>
              </w:rPr>
              <w:t>重大</w:t>
            </w:r>
            <w:r>
              <w:rPr>
                <w:rFonts w:hint="eastAsia" w:ascii="宋体" w:hAnsi="宋体" w:eastAsia="宋体" w:cs="宋体"/>
                <w:b/>
                <w:bCs/>
                <w:color w:val="auto"/>
                <w:kern w:val="0"/>
                <w:sz w:val="28"/>
                <w:szCs w:val="28"/>
                <w:highlight w:val="none"/>
              </w:rPr>
              <w:t>项目</w:t>
            </w:r>
          </w:p>
        </w:tc>
      </w:tr>
      <w:tr w14:paraId="055BDC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trPr>
        <w:tc>
          <w:tcPr>
            <w:tcW w:w="0" w:type="auto"/>
            <w:shd w:val="clear" w:color="auto" w:fill="FFFFFF" w:themeFill="background1"/>
            <w:vAlign w:val="top"/>
          </w:tcPr>
          <w:p w14:paraId="211DF6A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jc w:val="both"/>
              <w:textAlignment w:val="auto"/>
              <w:rPr>
                <w:rFonts w:hint="eastAsia" w:ascii="仿宋" w:hAnsi="仿宋" w:eastAsia="仿宋" w:cs="仿宋"/>
                <w:b w:val="0"/>
                <w:bCs w:val="0"/>
                <w:color w:val="auto"/>
                <w:kern w:val="0"/>
                <w:sz w:val="28"/>
                <w:szCs w:val="28"/>
                <w:highlight w:val="none"/>
                <w:lang w:eastAsia="zh-CN"/>
              </w:rPr>
            </w:pPr>
            <w:r>
              <w:rPr>
                <w:rFonts w:hint="eastAsia" w:ascii="仿宋" w:hAnsi="仿宋" w:eastAsia="仿宋" w:cs="仿宋"/>
                <w:b/>
                <w:bCs/>
                <w:color w:val="auto"/>
                <w:kern w:val="0"/>
                <w:sz w:val="28"/>
                <w:szCs w:val="28"/>
                <w:highlight w:val="none"/>
                <w:lang w:val="en-US" w:eastAsia="zh-CN"/>
              </w:rPr>
              <w:t>1.产业园：</w:t>
            </w:r>
            <w:r>
              <w:rPr>
                <w:rFonts w:hint="eastAsia" w:ascii="仿宋" w:hAnsi="仿宋" w:eastAsia="仿宋" w:cs="仿宋"/>
                <w:b w:val="0"/>
                <w:bCs w:val="0"/>
                <w:color w:val="auto"/>
                <w:kern w:val="0"/>
                <w:sz w:val="28"/>
                <w:szCs w:val="28"/>
                <w:highlight w:val="none"/>
                <w:lang w:eastAsia="zh-CN"/>
              </w:rPr>
              <w:t>武冈市先进制造产业园、浙商汽配阀门智能制造产业园、雷神激光制造产业园、永锐电子产业园、特色食品产业园、深圳医疗保健设备制造产业园、利航电子产业园。</w:t>
            </w:r>
          </w:p>
          <w:p w14:paraId="146F0A90">
            <w:pPr>
              <w:keepNext w:val="0"/>
              <w:keepLines w:val="0"/>
              <w:pageBreakBefore w:val="0"/>
              <w:widowControl w:val="0"/>
              <w:kinsoku/>
              <w:wordWrap/>
              <w:overflowPunct/>
              <w:topLinePunct w:val="0"/>
              <w:autoSpaceDE/>
              <w:autoSpaceDN/>
              <w:bidi w:val="0"/>
              <w:adjustRightInd/>
              <w:snapToGrid/>
              <w:spacing w:line="500" w:lineRule="exact"/>
              <w:ind w:firstLine="562" w:firstLineChars="200"/>
              <w:jc w:val="both"/>
              <w:textAlignment w:val="auto"/>
              <w:rPr>
                <w:rFonts w:hint="eastAsia" w:eastAsia="黑体"/>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2.重大项目：</w:t>
            </w:r>
            <w:r>
              <w:rPr>
                <w:rFonts w:hint="eastAsia" w:ascii="仿宋" w:hAnsi="仿宋" w:eastAsia="仿宋" w:cs="仿宋"/>
                <w:b w:val="0"/>
                <w:bCs w:val="0"/>
                <w:color w:val="auto"/>
                <w:kern w:val="0"/>
                <w:sz w:val="28"/>
                <w:szCs w:val="28"/>
                <w:highlight w:val="none"/>
                <w:lang w:eastAsia="zh-CN"/>
              </w:rPr>
              <w:t>年产8亿套铝制易拉罐及易拉盖生产线项目、中高档玻璃啤酒瓶生产线、锐烨电器制造、高科塑化生产、新型干法水泥生产线、年产20万吨氧化钙及氢氧化钙生产线、年产3.6万吨环保涂料生产线、申靓PVC高分子建筑材料改扩建、百威（武冈）啤酒二期、湘西南医药物流及应急药品储备保障中心等。</w:t>
            </w:r>
          </w:p>
        </w:tc>
      </w:tr>
    </w:tbl>
    <w:p w14:paraId="1EB7442E">
      <w:pPr>
        <w:pageBreakBefore w:val="0"/>
        <w:wordWrap/>
        <w:bidi w:val="0"/>
        <w:rPr>
          <w:rFonts w:hint="eastAsia" w:ascii="黑体" w:hAnsi="黑体" w:eastAsia="黑体" w:cs="黑体"/>
          <w:color w:val="auto"/>
          <w:highlight w:val="none"/>
          <w:lang w:eastAsia="zh-CN"/>
        </w:rPr>
      </w:pPr>
      <w:r>
        <w:rPr>
          <w:rFonts w:hint="eastAsia" w:ascii="黑体" w:hAnsi="黑体" w:eastAsia="黑体" w:cs="黑体"/>
          <w:color w:val="auto"/>
          <w:highlight w:val="none"/>
          <w:lang w:eastAsia="zh-CN"/>
        </w:rPr>
        <w:br w:type="page"/>
      </w:r>
    </w:p>
    <w:p w14:paraId="03C2D3F0">
      <w:pPr>
        <w:pageBreakBefore w:val="0"/>
        <w:widowControl w:val="0"/>
        <w:kinsoku/>
        <w:wordWrap/>
        <w:overflowPunct/>
        <w:bidi w:val="0"/>
        <w:jc w:val="center"/>
        <w:outlineLvl w:val="0"/>
        <w:rPr>
          <w:rFonts w:hint="eastAsia"/>
          <w:color w:val="auto"/>
          <w:highlight w:val="none"/>
          <w:lang w:val="en-US" w:eastAsia="zh-CN"/>
        </w:rPr>
      </w:pPr>
      <w:bookmarkStart w:id="59" w:name="_Toc12343"/>
      <w:r>
        <w:rPr>
          <w:rFonts w:hint="eastAsia" w:ascii="黑体" w:hAnsi="黑体" w:eastAsia="黑体" w:cs="黑体"/>
          <w:color w:val="auto"/>
          <w:highlight w:val="none"/>
          <w:lang w:eastAsia="zh-CN"/>
        </w:rPr>
        <w:t>第四章</w:t>
      </w:r>
      <w:r>
        <w:rPr>
          <w:rFonts w:hint="eastAsia" w:ascii="黑体" w:hAnsi="黑体" w:eastAsia="黑体" w:cs="黑体"/>
          <w:color w:val="auto"/>
          <w:highlight w:val="none"/>
          <w:lang w:val="en-US" w:eastAsia="zh-CN"/>
        </w:rPr>
        <w:t xml:space="preserve">  </w:t>
      </w:r>
      <w:r>
        <w:rPr>
          <w:rFonts w:hint="eastAsia" w:ascii="黑体" w:hAnsi="黑体" w:eastAsia="黑体" w:cs="黑体"/>
          <w:color w:val="auto"/>
          <w:highlight w:val="none"/>
          <w:lang w:eastAsia="zh-CN"/>
        </w:rPr>
        <w:t>坚持创新驱动，打造湘西南科技创新高地</w:t>
      </w:r>
      <w:bookmarkEnd w:id="59"/>
    </w:p>
    <w:p w14:paraId="710DFE78">
      <w:pPr>
        <w:keepNext w:val="0"/>
        <w:keepLines w:val="0"/>
        <w:pageBreakBefore w:val="0"/>
        <w:widowControl w:val="0"/>
        <w:kinsoku/>
        <w:wordWrap/>
        <w:overflowPunct/>
        <w:topLinePunct w:val="0"/>
        <w:autoSpaceDE/>
        <w:autoSpaceDN/>
        <w:bidi w:val="0"/>
        <w:adjustRightInd/>
        <w:snapToGrid/>
        <w:spacing w:line="640" w:lineRule="exact"/>
        <w:ind w:firstLine="664" w:firstLineChars="200"/>
        <w:textAlignment w:val="auto"/>
        <w:rPr>
          <w:rFonts w:hint="eastAsia" w:ascii="仿宋" w:hAnsi="仿宋" w:eastAsia="仿宋" w:cs="仿宋"/>
          <w:color w:val="auto"/>
          <w:spacing w:val="6"/>
          <w:highlight w:val="none"/>
        </w:rPr>
      </w:pPr>
      <w:r>
        <w:rPr>
          <w:rFonts w:hint="eastAsia" w:ascii="仿宋" w:hAnsi="仿宋" w:eastAsia="仿宋" w:cs="仿宋"/>
          <w:color w:val="auto"/>
          <w:spacing w:val="6"/>
          <w:highlight w:val="none"/>
          <w:lang w:val="en-US" w:eastAsia="zh-CN"/>
        </w:rPr>
        <w:t>创新是产业发展的灵魂，是科技进步的</w:t>
      </w:r>
      <w:r>
        <w:rPr>
          <w:rFonts w:hint="eastAsia" w:ascii="仿宋" w:hAnsi="仿宋" w:eastAsia="仿宋" w:cs="仿宋"/>
          <w:color w:val="auto"/>
          <w:spacing w:val="6"/>
          <w:highlight w:val="none"/>
        </w:rPr>
        <w:t>动力</w:t>
      </w:r>
      <w:r>
        <w:rPr>
          <w:rFonts w:hint="eastAsia" w:ascii="仿宋" w:hAnsi="仿宋" w:eastAsia="仿宋" w:cs="仿宋"/>
          <w:color w:val="auto"/>
          <w:spacing w:val="6"/>
          <w:highlight w:val="none"/>
          <w:lang w:eastAsia="zh-CN"/>
        </w:rPr>
        <w:t>。突出创新在现代化建设全局中的核心地位，</w:t>
      </w:r>
      <w:r>
        <w:rPr>
          <w:rFonts w:hint="eastAsia" w:ascii="仿宋" w:hAnsi="仿宋" w:eastAsia="仿宋" w:cs="仿宋"/>
          <w:color w:val="auto"/>
          <w:spacing w:val="6"/>
          <w:highlight w:val="none"/>
        </w:rPr>
        <w:t>大力推进</w:t>
      </w:r>
      <w:r>
        <w:rPr>
          <w:rFonts w:hint="eastAsia" w:ascii="仿宋" w:hAnsi="仿宋" w:eastAsia="仿宋" w:cs="仿宋"/>
          <w:color w:val="auto"/>
          <w:spacing w:val="6"/>
          <w:highlight w:val="none"/>
          <w:lang w:eastAsia="zh-CN"/>
        </w:rPr>
        <w:t>以</w:t>
      </w:r>
      <w:r>
        <w:rPr>
          <w:rFonts w:hint="eastAsia" w:ascii="仿宋" w:hAnsi="仿宋" w:eastAsia="仿宋" w:cs="仿宋"/>
          <w:color w:val="auto"/>
          <w:spacing w:val="6"/>
          <w:highlight w:val="none"/>
        </w:rPr>
        <w:t>科技创新为核心的全面创新，完善以企业为主体、市场为导向、人才为支撑的</w:t>
      </w:r>
      <w:r>
        <w:rPr>
          <w:rFonts w:hint="eastAsia" w:ascii="仿宋" w:hAnsi="仿宋" w:eastAsia="仿宋" w:cs="仿宋"/>
          <w:color w:val="auto"/>
          <w:spacing w:val="6"/>
          <w:highlight w:val="none"/>
          <w:lang w:eastAsia="zh-CN"/>
        </w:rPr>
        <w:t>科技创新</w:t>
      </w:r>
      <w:r>
        <w:rPr>
          <w:rFonts w:hint="eastAsia" w:ascii="仿宋" w:hAnsi="仿宋" w:eastAsia="仿宋" w:cs="仿宋"/>
          <w:color w:val="auto"/>
          <w:spacing w:val="6"/>
          <w:highlight w:val="none"/>
          <w:lang w:val="en-US" w:eastAsia="zh-CN"/>
        </w:rPr>
        <w:t>生态圈布局</w:t>
      </w:r>
      <w:r>
        <w:rPr>
          <w:rFonts w:hint="eastAsia" w:ascii="仿宋" w:hAnsi="仿宋" w:eastAsia="仿宋" w:cs="仿宋"/>
          <w:color w:val="auto"/>
          <w:spacing w:val="6"/>
          <w:highlight w:val="none"/>
        </w:rPr>
        <w:t>，以科技创新催生新发展动能，实现高质量发展。</w:t>
      </w:r>
    </w:p>
    <w:p w14:paraId="7EEC2794">
      <w:pPr>
        <w:keepNext w:val="0"/>
        <w:keepLines w:val="0"/>
        <w:pageBreakBefore w:val="0"/>
        <w:widowControl w:val="0"/>
        <w:pBdr>
          <w:bottom w:val="single" w:color="FFFFFF" w:sz="4" w:space="30"/>
        </w:pBdr>
        <w:kinsoku/>
        <w:wordWrap/>
        <w:overflowPunct/>
        <w:topLinePunct/>
        <w:autoSpaceDE w:val="0"/>
        <w:autoSpaceDN/>
        <w:bidi w:val="0"/>
        <w:adjustRightInd/>
        <w:snapToGrid/>
        <w:jc w:val="center"/>
        <w:textAlignment w:val="auto"/>
        <w:outlineLvl w:val="1"/>
        <w:rPr>
          <w:rFonts w:hint="eastAsia" w:ascii="黑体" w:hAnsi="黑体" w:eastAsia="黑体" w:cs="黑体"/>
          <w:b w:val="0"/>
          <w:bCs/>
          <w:color w:val="auto"/>
          <w:highlight w:val="none"/>
        </w:rPr>
      </w:pPr>
      <w:bookmarkStart w:id="60" w:name="_Toc12397"/>
      <w:r>
        <w:rPr>
          <w:rFonts w:hint="eastAsia" w:ascii="黑体" w:hAnsi="黑体" w:eastAsia="黑体" w:cs="黑体"/>
          <w:b w:val="0"/>
          <w:bCs/>
          <w:color w:val="auto"/>
          <w:kern w:val="44"/>
          <w:sz w:val="32"/>
          <w:szCs w:val="32"/>
          <w:highlight w:val="none"/>
          <w:lang w:val="en-US" w:eastAsia="zh-CN" w:bidi="ar-SA"/>
        </w:rPr>
        <w:t>第一节 大力推进科技创新</w:t>
      </w:r>
      <w:bookmarkEnd w:id="60"/>
    </w:p>
    <w:p w14:paraId="0A1B8A97">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0" w:firstLineChars="200"/>
        <w:jc w:val="both"/>
        <w:textAlignment w:val="auto"/>
        <w:rPr>
          <w:rFonts w:hint="eastAsia" w:ascii="仿宋" w:hAnsi="仿宋" w:eastAsia="仿宋" w:cs="仿宋"/>
          <w:color w:val="auto"/>
          <w:szCs w:val="32"/>
          <w:highlight w:val="none"/>
        </w:rPr>
      </w:pPr>
      <w:r>
        <w:rPr>
          <w:rFonts w:hint="eastAsia" w:ascii="仿宋" w:hAnsi="仿宋" w:eastAsia="仿宋" w:cs="仿宋"/>
          <w:color w:val="auto"/>
          <w:szCs w:val="32"/>
          <w:highlight w:val="none"/>
        </w:rPr>
        <w:t>发挥科技创新在全面创新中的引领作用，强化技术攻关，促进创新转化，形成先进成果，激发全社会创新活力和创造潜力。到2025年，高新技术产业增加值占GDP的比重达1</w:t>
      </w:r>
      <w:r>
        <w:rPr>
          <w:rFonts w:hint="eastAsia" w:ascii="仿宋" w:hAnsi="仿宋" w:eastAsia="仿宋" w:cs="仿宋"/>
          <w:color w:val="auto"/>
          <w:szCs w:val="32"/>
          <w:highlight w:val="none"/>
          <w:lang w:val="en-US" w:eastAsia="zh-CN"/>
        </w:rPr>
        <w:t>5</w:t>
      </w:r>
      <w:r>
        <w:rPr>
          <w:rFonts w:hint="eastAsia" w:ascii="仿宋" w:hAnsi="仿宋" w:eastAsia="仿宋" w:cs="仿宋"/>
          <w:color w:val="auto"/>
          <w:szCs w:val="32"/>
          <w:highlight w:val="none"/>
        </w:rPr>
        <w:t>%以上，全社会研发投入强度达2.5%，专利申请量达1000件以上。</w:t>
      </w:r>
    </w:p>
    <w:p w14:paraId="0025B0DA">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lang w:val="en-US" w:eastAsia="zh-CN"/>
        </w:rPr>
        <w:t>加强产学研项目落地</w:t>
      </w:r>
      <w:r>
        <w:rPr>
          <w:rFonts w:hint="eastAsia" w:ascii="楷体" w:hAnsi="楷体" w:eastAsia="楷体" w:cs="楷体"/>
          <w:b/>
          <w:bCs/>
          <w:color w:val="auto"/>
          <w:szCs w:val="32"/>
          <w:highlight w:val="none"/>
        </w:rPr>
        <w:t>。</w:t>
      </w:r>
      <w:r>
        <w:rPr>
          <w:rFonts w:hint="eastAsia" w:ascii="仿宋" w:hAnsi="仿宋" w:eastAsia="仿宋" w:cs="仿宋"/>
          <w:color w:val="auto"/>
          <w:szCs w:val="32"/>
          <w:highlight w:val="none"/>
        </w:rPr>
        <w:t>支持产学研合作，鼓励建立企业、科研院所和高校共建参与的技术创新战略联盟，推</w:t>
      </w:r>
      <w:r>
        <w:rPr>
          <w:rFonts w:hint="eastAsia" w:ascii="仿宋" w:hAnsi="仿宋" w:eastAsia="仿宋" w:cs="仿宋"/>
          <w:color w:val="auto"/>
          <w:szCs w:val="32"/>
          <w:highlight w:val="none"/>
          <w:lang w:eastAsia="zh-CN"/>
        </w:rPr>
        <w:t>广</w:t>
      </w:r>
      <w:r>
        <w:rPr>
          <w:rFonts w:hint="eastAsia" w:ascii="仿宋" w:hAnsi="仿宋" w:eastAsia="仿宋" w:cs="仿宋"/>
          <w:color w:val="auto"/>
          <w:szCs w:val="32"/>
          <w:highlight w:val="none"/>
        </w:rPr>
        <w:t>订单式技术研发、专利协同运用</w:t>
      </w:r>
      <w:r>
        <w:rPr>
          <w:rFonts w:hint="eastAsia" w:ascii="仿宋" w:hAnsi="仿宋" w:eastAsia="仿宋" w:cs="仿宋"/>
          <w:color w:val="auto"/>
          <w:szCs w:val="32"/>
          <w:highlight w:val="none"/>
          <w:lang w:eastAsia="zh-CN"/>
        </w:rPr>
        <w:t>，推动</w:t>
      </w:r>
      <w:r>
        <w:rPr>
          <w:rFonts w:hint="eastAsia" w:ascii="仿宋" w:hAnsi="仿宋" w:eastAsia="仿宋" w:cs="仿宋"/>
          <w:color w:val="auto"/>
          <w:szCs w:val="32"/>
          <w:highlight w:val="none"/>
          <w:lang w:val="en-US" w:eastAsia="zh-CN"/>
        </w:rPr>
        <w:t>刘少军院士工作室研发成果在武冈应用。支持湖南师范大学鱼类健康养殖科研基地建设，推动中南大学与康瑄科技、申靓建材与湖南师范大学、九恒电子与北方民族大学、漆雕氏和中南林业科技大学开展产学研技术合作，建设国家技术转移中心武冈分中心。</w:t>
      </w:r>
      <w:r>
        <w:rPr>
          <w:rFonts w:hint="eastAsia" w:ascii="仿宋" w:hAnsi="仿宋" w:eastAsia="仿宋" w:cs="仿宋"/>
          <w:color w:val="auto"/>
          <w:sz w:val="32"/>
          <w:szCs w:val="32"/>
          <w:highlight w:val="none"/>
          <w:lang w:eastAsia="zh-CN"/>
        </w:rPr>
        <w:t>充分发挥</w:t>
      </w:r>
      <w:r>
        <w:rPr>
          <w:rFonts w:hint="eastAsia" w:ascii="仿宋" w:hAnsi="仿宋" w:eastAsia="仿宋" w:cs="仿宋"/>
          <w:color w:val="auto"/>
          <w:szCs w:val="32"/>
          <w:highlight w:val="none"/>
          <w:lang w:val="en-US" w:eastAsia="zh-CN"/>
        </w:rPr>
        <w:t>康瑄科技</w:t>
      </w:r>
      <w:r>
        <w:rPr>
          <w:rFonts w:hint="eastAsia" w:ascii="仿宋" w:hAnsi="仿宋" w:eastAsia="仿宋" w:cs="仿宋"/>
          <w:color w:val="auto"/>
          <w:sz w:val="32"/>
          <w:szCs w:val="32"/>
          <w:highlight w:val="none"/>
          <w:lang w:eastAsia="zh-CN"/>
        </w:rPr>
        <w:t>、漆雕氏等龙头企业科技创新示范引领作用，培育一批高新技术企业和中小科技型企业。</w:t>
      </w:r>
      <w:r>
        <w:rPr>
          <w:rFonts w:hint="eastAsia" w:ascii="仿宋" w:hAnsi="仿宋" w:eastAsia="仿宋" w:cs="仿宋"/>
          <w:color w:val="auto"/>
          <w:szCs w:val="32"/>
          <w:highlight w:val="none"/>
        </w:rPr>
        <w:t>引导和支持资金、人才、技术等创新要素向</w:t>
      </w:r>
      <w:r>
        <w:rPr>
          <w:rFonts w:hint="eastAsia" w:ascii="仿宋" w:hAnsi="仿宋" w:eastAsia="仿宋" w:cs="仿宋"/>
          <w:color w:val="auto"/>
          <w:szCs w:val="32"/>
          <w:highlight w:val="none"/>
          <w:lang w:val="en-US" w:eastAsia="zh-CN"/>
        </w:rPr>
        <w:t>产学研合作</w:t>
      </w:r>
      <w:r>
        <w:rPr>
          <w:rFonts w:hint="eastAsia" w:ascii="仿宋" w:hAnsi="仿宋" w:eastAsia="仿宋" w:cs="仿宋"/>
          <w:color w:val="auto"/>
          <w:szCs w:val="32"/>
          <w:highlight w:val="none"/>
        </w:rPr>
        <w:t>企业集聚，充分发挥企业在科技创新中的示范引领作用。到“十四五”末，建立产学研合作示范企业20家，培育高新技术企业30家，中小科技型企业50家。</w:t>
      </w:r>
    </w:p>
    <w:p w14:paraId="5C0F2FF1">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rPr>
        <w:t>加强关键技术攻关。</w:t>
      </w:r>
      <w:r>
        <w:rPr>
          <w:rFonts w:hint="eastAsia" w:ascii="仿宋" w:hAnsi="仿宋" w:eastAsia="仿宋" w:cs="仿宋"/>
          <w:color w:val="auto"/>
          <w:szCs w:val="32"/>
          <w:highlight w:val="none"/>
        </w:rPr>
        <w:t>围绕主导产业、新兴产业，加强自主创新与协同创新，制定一批关键核心技术攻关清单，部署实施一批</w:t>
      </w:r>
      <w:r>
        <w:rPr>
          <w:rFonts w:hint="eastAsia" w:ascii="仿宋" w:hAnsi="仿宋" w:eastAsia="仿宋" w:cs="仿宋"/>
          <w:color w:val="auto"/>
          <w:szCs w:val="32"/>
          <w:highlight w:val="none"/>
          <w:lang w:val="en-US" w:eastAsia="zh-CN"/>
        </w:rPr>
        <w:t>电子信息</w:t>
      </w:r>
      <w:r>
        <w:rPr>
          <w:rFonts w:hint="eastAsia" w:ascii="仿宋" w:hAnsi="仿宋" w:eastAsia="仿宋" w:cs="仿宋"/>
          <w:color w:val="auto"/>
          <w:szCs w:val="32"/>
          <w:highlight w:val="none"/>
        </w:rPr>
        <w:t>重大科技项目，突破一批</w:t>
      </w:r>
      <w:r>
        <w:rPr>
          <w:rFonts w:hint="eastAsia" w:ascii="仿宋" w:hAnsi="仿宋" w:eastAsia="仿宋" w:cs="仿宋"/>
          <w:color w:val="auto"/>
          <w:szCs w:val="32"/>
          <w:highlight w:val="none"/>
          <w:lang w:val="en-US" w:eastAsia="zh-CN"/>
        </w:rPr>
        <w:t>先进制造业</w:t>
      </w:r>
      <w:r>
        <w:rPr>
          <w:rFonts w:hint="eastAsia" w:ascii="仿宋" w:hAnsi="仿宋" w:eastAsia="仿宋" w:cs="仿宋"/>
          <w:color w:val="auto"/>
          <w:szCs w:val="32"/>
          <w:highlight w:val="none"/>
        </w:rPr>
        <w:t>“卡脖子”技术。紧扣食品产业市场发展的新要求，重点抓好食品精深加工技术攻关，掌握一批有真正话语权的核心技术，以技术优势占领市场</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把生态养鱼、渔业科技攻关作为养殖业的突破口来抓，建好雪峰山鱼种繁殖谷。</w:t>
      </w:r>
      <w:r>
        <w:rPr>
          <w:rFonts w:hint="eastAsia" w:ascii="仿宋" w:hAnsi="仿宋" w:eastAsia="仿宋" w:cs="仿宋"/>
          <w:color w:val="auto"/>
          <w:szCs w:val="32"/>
          <w:highlight w:val="none"/>
        </w:rPr>
        <w:t>开展</w:t>
      </w:r>
      <w:r>
        <w:rPr>
          <w:rFonts w:hint="eastAsia" w:ascii="仿宋" w:hAnsi="仿宋" w:eastAsia="仿宋" w:cs="仿宋"/>
          <w:color w:val="auto"/>
          <w:szCs w:val="32"/>
          <w:highlight w:val="none"/>
          <w:lang w:val="en-US" w:eastAsia="zh-CN"/>
        </w:rPr>
        <w:t>铜</w:t>
      </w:r>
      <w:r>
        <w:rPr>
          <w:rFonts w:hint="eastAsia" w:ascii="仿宋" w:hAnsi="仿宋" w:eastAsia="仿宋" w:cs="仿宋"/>
          <w:color w:val="auto"/>
          <w:szCs w:val="32"/>
          <w:highlight w:val="none"/>
        </w:rPr>
        <w:t>鹅</w:t>
      </w:r>
      <w:r>
        <w:rPr>
          <w:rFonts w:hint="eastAsia" w:ascii="仿宋" w:hAnsi="仿宋" w:eastAsia="仿宋" w:cs="仿宋"/>
          <w:color w:val="auto"/>
          <w:szCs w:val="32"/>
          <w:highlight w:val="none"/>
          <w:lang w:val="en-US" w:eastAsia="zh-CN"/>
        </w:rPr>
        <w:t>养殖和加工技术攻关，把铜鹅做成武冈市的龙头休闲食品产业。围绕卤菜产业，提升</w:t>
      </w:r>
      <w:r>
        <w:rPr>
          <w:rFonts w:hint="eastAsia" w:ascii="仿宋" w:hAnsi="仿宋" w:eastAsia="仿宋" w:cs="仿宋"/>
          <w:color w:val="auto"/>
          <w:szCs w:val="32"/>
          <w:highlight w:val="none"/>
        </w:rPr>
        <w:t>鸡、生猪</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肉牛</w:t>
      </w:r>
      <w:r>
        <w:rPr>
          <w:rFonts w:hint="eastAsia" w:ascii="仿宋" w:hAnsi="仿宋" w:eastAsia="仿宋" w:cs="仿宋"/>
          <w:color w:val="auto"/>
          <w:szCs w:val="32"/>
          <w:highlight w:val="none"/>
        </w:rPr>
        <w:t>等畜禽养殖核心技术创新，</w:t>
      </w:r>
      <w:r>
        <w:rPr>
          <w:rFonts w:hint="eastAsia" w:ascii="仿宋" w:hAnsi="仿宋" w:eastAsia="仿宋" w:cs="仿宋"/>
          <w:color w:val="auto"/>
          <w:szCs w:val="32"/>
          <w:highlight w:val="none"/>
          <w:lang w:val="en-US" w:eastAsia="zh-CN"/>
        </w:rPr>
        <w:t>提质提量提技术，</w:t>
      </w:r>
      <w:r>
        <w:rPr>
          <w:rFonts w:hint="eastAsia" w:ascii="仿宋" w:hAnsi="仿宋" w:eastAsia="仿宋" w:cs="仿宋"/>
          <w:color w:val="auto"/>
          <w:szCs w:val="32"/>
          <w:highlight w:val="none"/>
        </w:rPr>
        <w:t>以农业生产技术推动农民增收。</w:t>
      </w:r>
    </w:p>
    <w:p w14:paraId="2899C9CE">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3" w:firstLineChars="200"/>
        <w:jc w:val="both"/>
        <w:textAlignment w:val="auto"/>
        <w:rPr>
          <w:rFonts w:hint="default"/>
          <w:color w:val="auto"/>
          <w:highlight w:val="none"/>
          <w:lang w:val="en-US" w:eastAsia="zh-CN"/>
        </w:rPr>
      </w:pPr>
      <w:r>
        <w:rPr>
          <w:rFonts w:hint="eastAsia" w:ascii="楷体" w:hAnsi="楷体" w:eastAsia="楷体" w:cs="楷体"/>
          <w:b/>
          <w:bCs/>
          <w:color w:val="auto"/>
          <w:szCs w:val="32"/>
          <w:highlight w:val="none"/>
        </w:rPr>
        <w:t>健全创新体制机制。</w:t>
      </w:r>
      <w:r>
        <w:rPr>
          <w:rFonts w:hint="eastAsia" w:ascii="仿宋" w:hAnsi="仿宋" w:eastAsia="仿宋" w:cs="仿宋"/>
          <w:color w:val="auto"/>
          <w:szCs w:val="32"/>
          <w:highlight w:val="none"/>
        </w:rPr>
        <w:t>以提升自主创新能力为核心</w:t>
      </w:r>
      <w:r>
        <w:rPr>
          <w:rFonts w:hint="eastAsia" w:ascii="仿宋" w:hAnsi="仿宋" w:eastAsia="仿宋" w:cs="仿宋"/>
          <w:color w:val="auto"/>
          <w:szCs w:val="32"/>
          <w:highlight w:val="none"/>
          <w:lang w:eastAsia="zh-CN"/>
        </w:rPr>
        <w:t>，健全</w:t>
      </w:r>
      <w:r>
        <w:rPr>
          <w:rFonts w:hint="eastAsia" w:ascii="仿宋" w:hAnsi="仿宋" w:eastAsia="仿宋" w:cs="仿宋"/>
          <w:color w:val="auto"/>
          <w:szCs w:val="32"/>
          <w:highlight w:val="none"/>
        </w:rPr>
        <w:t>科技计划体系、人才制度、科技评价制度和科技资源配置制度等，积极推进科技金融、产学研协同创新等重点体制改革，</w:t>
      </w:r>
      <w:r>
        <w:rPr>
          <w:rFonts w:hint="eastAsia" w:ascii="仿宋" w:hAnsi="仿宋" w:eastAsia="仿宋" w:cs="仿宋"/>
          <w:color w:val="auto"/>
          <w:szCs w:val="32"/>
          <w:highlight w:val="none"/>
          <w:lang w:eastAsia="zh-CN"/>
        </w:rPr>
        <w:t>落实</w:t>
      </w:r>
      <w:r>
        <w:rPr>
          <w:rFonts w:hint="eastAsia" w:ascii="仿宋" w:hAnsi="仿宋" w:eastAsia="仿宋" w:cs="仿宋"/>
          <w:color w:val="auto"/>
          <w:szCs w:val="32"/>
          <w:highlight w:val="none"/>
        </w:rPr>
        <w:t>知识产权制度，为</w:t>
      </w:r>
      <w:r>
        <w:rPr>
          <w:rFonts w:hint="eastAsia" w:ascii="仿宋" w:hAnsi="仿宋" w:eastAsia="仿宋" w:cs="仿宋"/>
          <w:color w:val="auto"/>
          <w:szCs w:val="32"/>
          <w:highlight w:val="none"/>
          <w:lang w:eastAsia="zh-CN"/>
        </w:rPr>
        <w:t>科技创新</w:t>
      </w:r>
      <w:r>
        <w:rPr>
          <w:rFonts w:hint="eastAsia" w:ascii="仿宋" w:hAnsi="仿宋" w:eastAsia="仿宋" w:cs="仿宋"/>
          <w:color w:val="auto"/>
          <w:szCs w:val="32"/>
          <w:highlight w:val="none"/>
        </w:rPr>
        <w:t>开辟广阔市场空间。改进科技项目组织管理方式，实行“揭榜挂帅”等制度。完善科技成果转化制度，全面下放创新成果处置权、使用权和收益权，提高科研人员成果收益分享比例，对科技成果转化及产业化取得重大经济社会效益的科研团队或个人予以重奖，按照科技成果转化投产后一年内实现税收500万元以上、300-500万元和100-300万元三个等次，由市财政分别给予税后50万元、20万元和10万元奖励。</w:t>
      </w:r>
      <w:r>
        <w:rPr>
          <w:rFonts w:hint="eastAsia" w:ascii="仿宋" w:hAnsi="仿宋" w:eastAsia="仿宋" w:cs="仿宋"/>
          <w:color w:val="auto"/>
          <w:szCs w:val="32"/>
          <w:highlight w:val="none"/>
          <w:lang w:eastAsia="zh-CN"/>
        </w:rPr>
        <w:t>大力</w:t>
      </w:r>
      <w:r>
        <w:rPr>
          <w:rFonts w:hint="eastAsia" w:ascii="仿宋" w:hAnsi="仿宋" w:eastAsia="仿宋" w:cs="仿宋"/>
          <w:color w:val="auto"/>
          <w:szCs w:val="32"/>
          <w:highlight w:val="none"/>
        </w:rPr>
        <w:t>弘扬科学</w:t>
      </w:r>
      <w:r>
        <w:rPr>
          <w:rFonts w:hint="eastAsia" w:ascii="仿宋" w:hAnsi="仿宋" w:eastAsia="仿宋" w:cs="仿宋"/>
          <w:color w:val="auto"/>
          <w:szCs w:val="32"/>
          <w:highlight w:val="none"/>
          <w:lang w:eastAsia="zh-CN"/>
        </w:rPr>
        <w:t>家</w:t>
      </w:r>
      <w:r>
        <w:rPr>
          <w:rFonts w:hint="eastAsia" w:ascii="仿宋" w:hAnsi="仿宋" w:eastAsia="仿宋" w:cs="仿宋"/>
          <w:color w:val="auto"/>
          <w:szCs w:val="32"/>
          <w:highlight w:val="none"/>
        </w:rPr>
        <w:t>精神和</w:t>
      </w:r>
      <w:r>
        <w:rPr>
          <w:rFonts w:hint="eastAsia" w:ascii="仿宋" w:hAnsi="仿宋" w:eastAsia="仿宋" w:cs="仿宋"/>
          <w:color w:val="auto"/>
          <w:szCs w:val="32"/>
          <w:highlight w:val="none"/>
          <w:lang w:eastAsia="zh-CN"/>
        </w:rPr>
        <w:t>劳模精神、</w:t>
      </w:r>
      <w:r>
        <w:rPr>
          <w:rFonts w:hint="eastAsia" w:ascii="仿宋" w:hAnsi="仿宋" w:eastAsia="仿宋" w:cs="仿宋"/>
          <w:color w:val="auto"/>
          <w:szCs w:val="32"/>
          <w:highlight w:val="none"/>
        </w:rPr>
        <w:t>工匠精神，</w:t>
      </w:r>
      <w:r>
        <w:rPr>
          <w:rFonts w:hint="eastAsia" w:ascii="仿宋" w:hAnsi="仿宋" w:eastAsia="仿宋" w:cs="仿宋"/>
          <w:color w:val="auto"/>
          <w:szCs w:val="32"/>
          <w:highlight w:val="none"/>
          <w:lang w:eastAsia="zh-CN"/>
        </w:rPr>
        <w:t>营造尊重知识、崇尚创新、尊重人才的良好氛围。</w:t>
      </w:r>
      <w:r>
        <w:rPr>
          <w:rFonts w:hint="eastAsia" w:ascii="仿宋" w:hAnsi="仿宋" w:eastAsia="仿宋" w:cs="仿宋"/>
          <w:color w:val="auto"/>
          <w:szCs w:val="32"/>
          <w:highlight w:val="none"/>
        </w:rPr>
        <w:t>加强科普工作</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建好并发挥好实体科技馆展览教育功能</w:t>
      </w:r>
      <w:r>
        <w:rPr>
          <w:rFonts w:hint="eastAsia" w:ascii="仿宋" w:hAnsi="仿宋" w:eastAsia="仿宋" w:cs="仿宋"/>
          <w:color w:val="auto"/>
          <w:szCs w:val="32"/>
          <w:highlight w:val="none"/>
          <w:lang w:eastAsia="zh-CN"/>
        </w:rPr>
        <w:t>。到</w:t>
      </w:r>
      <w:r>
        <w:rPr>
          <w:rFonts w:hint="eastAsia" w:ascii="仿宋" w:hAnsi="仿宋" w:eastAsia="仿宋" w:cs="仿宋"/>
          <w:color w:val="auto"/>
          <w:szCs w:val="32"/>
          <w:highlight w:val="none"/>
          <w:lang w:val="en-US" w:eastAsia="zh-CN"/>
        </w:rPr>
        <w:t>2025年，我市公民具有科学素质的比例达15%。</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4272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00" w:type="pct"/>
            <w:shd w:val="clear" w:color="auto" w:fill="auto"/>
          </w:tcPr>
          <w:p w14:paraId="6C925895">
            <w:pPr>
              <w:keepNext w:val="0"/>
              <w:keepLines w:val="0"/>
              <w:pageBreakBefore w:val="0"/>
              <w:widowControl w:val="0"/>
              <w:kinsoku/>
              <w:wordWrap/>
              <w:overflowPunct/>
              <w:autoSpaceDN/>
              <w:bidi w:val="0"/>
              <w:adjustRightInd/>
              <w:snapToGrid/>
              <w:spacing w:line="420" w:lineRule="auto"/>
              <w:jc w:val="center"/>
              <w:textAlignment w:val="auto"/>
              <w:rPr>
                <w:rFonts w:eastAsia="黑体"/>
                <w:b/>
                <w:bCs/>
                <w:color w:val="auto"/>
                <w:kern w:val="0"/>
                <w:sz w:val="28"/>
                <w:szCs w:val="28"/>
                <w:highlight w:val="none"/>
              </w:rPr>
            </w:pPr>
            <w:r>
              <w:rPr>
                <w:rFonts w:hint="eastAsia" w:ascii="宋体" w:hAnsi="宋体" w:eastAsia="宋体" w:cs="宋体"/>
                <w:b/>
                <w:bCs/>
                <w:color w:val="auto"/>
                <w:kern w:val="0"/>
                <w:sz w:val="28"/>
                <w:szCs w:val="28"/>
                <w:highlight w:val="none"/>
              </w:rPr>
              <w:t>专栏</w:t>
            </w:r>
            <w:r>
              <w:rPr>
                <w:rFonts w:hint="eastAsia" w:ascii="宋体" w:hAnsi="宋体" w:eastAsia="宋体" w:cs="宋体"/>
                <w:b/>
                <w:bCs/>
                <w:color w:val="auto"/>
                <w:kern w:val="0"/>
                <w:sz w:val="28"/>
                <w:szCs w:val="28"/>
                <w:highlight w:val="none"/>
                <w:lang w:val="en-US" w:eastAsia="zh-CN"/>
              </w:rPr>
              <w:t>5</w:t>
            </w:r>
            <w:r>
              <w:rPr>
                <w:rFonts w:hint="eastAsia" w:ascii="宋体" w:hAnsi="宋体" w:eastAsia="宋体" w:cs="宋体"/>
                <w:b/>
                <w:bCs/>
                <w:color w:val="auto"/>
                <w:kern w:val="0"/>
                <w:sz w:val="28"/>
                <w:szCs w:val="28"/>
                <w:highlight w:val="none"/>
              </w:rPr>
              <w:t>：食品科技创新重点</w:t>
            </w:r>
          </w:p>
        </w:tc>
      </w:tr>
      <w:tr w14:paraId="4E86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00" w:type="pct"/>
            <w:shd w:val="clear" w:color="auto" w:fill="auto"/>
          </w:tcPr>
          <w:p w14:paraId="7EC4E3FD">
            <w:pPr>
              <w:keepNext w:val="0"/>
              <w:keepLines w:val="0"/>
              <w:pageBreakBefore w:val="0"/>
              <w:widowControl w:val="0"/>
              <w:kinsoku/>
              <w:wordWrap/>
              <w:overflowPunct/>
              <w:topLinePunct w:val="0"/>
              <w:autoSpaceDE/>
              <w:autoSpaceDN/>
              <w:bidi w:val="0"/>
              <w:adjustRightInd/>
              <w:snapToGrid/>
              <w:spacing w:before="156" w:beforeLines="50" w:after="156" w:afterLines="50" w:line="500" w:lineRule="exact"/>
              <w:ind w:firstLine="562"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1.提升食品科技创新工程。</w:t>
            </w:r>
            <w:r>
              <w:rPr>
                <w:rFonts w:hint="eastAsia" w:ascii="仿宋" w:hAnsi="仿宋" w:eastAsia="仿宋" w:cs="仿宋"/>
                <w:color w:val="auto"/>
                <w:sz w:val="28"/>
                <w:szCs w:val="28"/>
                <w:highlight w:val="none"/>
              </w:rPr>
              <w:t>优化食品科技创新平台布局，建设一批高水平省级和市级（重点）实验室、工程技术研究中心、区域科技发展实验室及产业技术创新联盟，支持食品企业建立高水平研发机构，加强食品科技创新基础建设。以食品科技创新人才战略为核心，不断培育壮大食品科技队伍，支持培养企业创新领军人才，全面提升企业创新能力。</w:t>
            </w:r>
          </w:p>
          <w:p w14:paraId="607EA538">
            <w:pPr>
              <w:keepNext w:val="0"/>
              <w:keepLines w:val="0"/>
              <w:pageBreakBefore w:val="0"/>
              <w:widowControl w:val="0"/>
              <w:kinsoku/>
              <w:wordWrap/>
              <w:overflowPunct/>
              <w:topLinePunct w:val="0"/>
              <w:autoSpaceDE/>
              <w:autoSpaceDN/>
              <w:bidi w:val="0"/>
              <w:adjustRightInd/>
              <w:snapToGrid/>
              <w:spacing w:before="156" w:beforeLines="50" w:after="156" w:afterLines="50" w:line="500" w:lineRule="exact"/>
              <w:ind w:firstLine="562"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2.开展食品产业科技发展行动。</w:t>
            </w:r>
            <w:r>
              <w:rPr>
                <w:rFonts w:hint="eastAsia" w:ascii="仿宋" w:hAnsi="仿宋" w:eastAsia="仿宋" w:cs="仿宋"/>
                <w:color w:val="auto"/>
                <w:sz w:val="28"/>
                <w:szCs w:val="28"/>
                <w:highlight w:val="none"/>
              </w:rPr>
              <w:t>围绕食品产业发展新趋势和新需求，从基础前沿、重大共性关键技术和应用示范进行全链条创新设计，全面对接国家重点研发计划、技术创新引导专项（基金）、基地和人才专项等科技计划（专项、基金等），</w:t>
            </w:r>
            <w:r>
              <w:rPr>
                <w:rFonts w:hint="eastAsia" w:ascii="仿宋" w:hAnsi="仿宋" w:eastAsia="仿宋" w:cs="仿宋"/>
                <w:color w:val="auto"/>
                <w:sz w:val="28"/>
                <w:szCs w:val="28"/>
                <w:highlight w:val="none"/>
                <w:lang w:eastAsia="zh-CN"/>
              </w:rPr>
              <w:t>精</w:t>
            </w:r>
            <w:r>
              <w:rPr>
                <w:rFonts w:hint="eastAsia" w:ascii="仿宋" w:hAnsi="仿宋" w:eastAsia="仿宋" w:cs="仿宋"/>
                <w:color w:val="auto"/>
                <w:sz w:val="28"/>
                <w:szCs w:val="28"/>
                <w:highlight w:val="none"/>
              </w:rPr>
              <w:t>准聚焦食品加工、质量安全、冷链物流、营养健康等主要领域。</w:t>
            </w:r>
          </w:p>
          <w:p w14:paraId="1DEDE550">
            <w:pPr>
              <w:keepNext w:val="0"/>
              <w:keepLines w:val="0"/>
              <w:pageBreakBefore w:val="0"/>
              <w:widowControl w:val="0"/>
              <w:kinsoku/>
              <w:wordWrap/>
              <w:overflowPunct/>
              <w:topLinePunct w:val="0"/>
              <w:autoSpaceDE/>
              <w:autoSpaceDN/>
              <w:bidi w:val="0"/>
              <w:adjustRightInd/>
              <w:snapToGrid/>
              <w:spacing w:before="156" w:beforeLines="50" w:after="156" w:afterLines="50" w:line="500" w:lineRule="exact"/>
              <w:ind w:firstLine="562" w:firstLineChars="200"/>
              <w:jc w:val="both"/>
              <w:textAlignment w:val="auto"/>
              <w:rPr>
                <w:rFonts w:hint="eastAsia" w:eastAsia="黑体"/>
                <w:b/>
                <w:bCs/>
                <w:color w:val="auto"/>
                <w:kern w:val="0"/>
                <w:sz w:val="28"/>
                <w:szCs w:val="28"/>
                <w:highlight w:val="none"/>
              </w:rPr>
            </w:pPr>
            <w:r>
              <w:rPr>
                <w:rFonts w:hint="eastAsia" w:ascii="仿宋" w:hAnsi="仿宋" w:eastAsia="仿宋" w:cs="仿宋"/>
                <w:b/>
                <w:bCs/>
                <w:color w:val="auto"/>
                <w:sz w:val="28"/>
                <w:szCs w:val="28"/>
                <w:highlight w:val="none"/>
              </w:rPr>
              <w:t>3.畜禽养殖技术创新工程。</w:t>
            </w:r>
            <w:r>
              <w:rPr>
                <w:rFonts w:hint="eastAsia" w:ascii="仿宋" w:hAnsi="仿宋" w:eastAsia="仿宋" w:cs="仿宋"/>
                <w:color w:val="auto"/>
                <w:sz w:val="28"/>
                <w:szCs w:val="28"/>
                <w:highlight w:val="none"/>
              </w:rPr>
              <w:t>重点支持农业方面引进一批鹅、鸡、鱼、生猪等畜禽养殖核心技术，从畜禽品种培育与繁殖技术、动物疫病防控技术、畜禽营养与饲料、畜禽养殖业废弃物资源化利用、养殖设施设备和食品加工等方面开展技术创新。</w:t>
            </w:r>
          </w:p>
        </w:tc>
      </w:tr>
    </w:tbl>
    <w:p w14:paraId="508228C7">
      <w:pPr>
        <w:keepNext w:val="0"/>
        <w:keepLines w:val="0"/>
        <w:pageBreakBefore w:val="0"/>
        <w:widowControl w:val="0"/>
        <w:pBdr>
          <w:bottom w:val="single" w:color="FFFFFF" w:sz="4" w:space="30"/>
        </w:pBdr>
        <w:kinsoku/>
        <w:wordWrap/>
        <w:overflowPunct/>
        <w:topLinePunct/>
        <w:autoSpaceDE w:val="0"/>
        <w:autoSpaceDN/>
        <w:bidi w:val="0"/>
        <w:adjustRightInd/>
        <w:snapToGrid/>
        <w:spacing w:before="157" w:beforeLines="50" w:after="157" w:afterLines="50"/>
        <w:jc w:val="both"/>
        <w:textAlignment w:val="auto"/>
        <w:outlineLvl w:val="9"/>
        <w:rPr>
          <w:rFonts w:hint="eastAsia" w:ascii="黑体" w:hAnsi="黑体" w:eastAsia="黑体" w:cs="黑体"/>
          <w:b w:val="0"/>
          <w:bCs/>
          <w:color w:val="auto"/>
          <w:kern w:val="44"/>
          <w:sz w:val="32"/>
          <w:szCs w:val="32"/>
          <w:highlight w:val="none"/>
          <w:lang w:val="en-US" w:eastAsia="zh-CN" w:bidi="ar-SA"/>
        </w:rPr>
      </w:pPr>
    </w:p>
    <w:p w14:paraId="2035DBA6">
      <w:pPr>
        <w:keepNext w:val="0"/>
        <w:keepLines w:val="0"/>
        <w:pageBreakBefore w:val="0"/>
        <w:widowControl w:val="0"/>
        <w:pBdr>
          <w:bottom w:val="single" w:color="FFFFFF" w:sz="4" w:space="30"/>
        </w:pBdr>
        <w:kinsoku/>
        <w:wordWrap/>
        <w:overflowPunct/>
        <w:topLinePunct/>
        <w:autoSpaceDE w:val="0"/>
        <w:autoSpaceDN/>
        <w:bidi w:val="0"/>
        <w:adjustRightInd/>
        <w:snapToGrid/>
        <w:spacing w:before="157" w:beforeLines="50" w:after="157" w:afterLines="50"/>
        <w:jc w:val="center"/>
        <w:textAlignment w:val="auto"/>
        <w:outlineLvl w:val="1"/>
        <w:rPr>
          <w:rFonts w:hint="eastAsia" w:ascii="黑体" w:hAnsi="黑体" w:eastAsia="黑体" w:cs="黑体"/>
          <w:b w:val="0"/>
          <w:bCs/>
          <w:color w:val="auto"/>
          <w:highlight w:val="none"/>
        </w:rPr>
      </w:pPr>
      <w:bookmarkStart w:id="61" w:name="_Toc17342"/>
      <w:r>
        <w:rPr>
          <w:rFonts w:hint="eastAsia" w:ascii="黑体" w:hAnsi="黑体" w:eastAsia="黑体" w:cs="黑体"/>
          <w:b w:val="0"/>
          <w:bCs/>
          <w:color w:val="auto"/>
          <w:kern w:val="44"/>
          <w:sz w:val="32"/>
          <w:szCs w:val="32"/>
          <w:highlight w:val="none"/>
          <w:lang w:val="en-US" w:eastAsia="zh-CN" w:bidi="ar-SA"/>
        </w:rPr>
        <w:t>第二节 搭建创新创业载体</w:t>
      </w:r>
      <w:bookmarkEnd w:id="61"/>
    </w:p>
    <w:p w14:paraId="3430A27F">
      <w:pPr>
        <w:keepNext w:val="0"/>
        <w:keepLines w:val="0"/>
        <w:pageBreakBefore w:val="0"/>
        <w:widowControl w:val="0"/>
        <w:pBdr>
          <w:bottom w:val="single" w:color="FFFFFF" w:sz="4" w:space="30"/>
        </w:pBdr>
        <w:kinsoku/>
        <w:wordWrap/>
        <w:overflowPunct/>
        <w:topLinePunct/>
        <w:autoSpaceDE w:val="0"/>
        <w:autoSpaceDN/>
        <w:bidi w:val="0"/>
        <w:adjustRightInd/>
        <w:snapToGrid/>
        <w:spacing w:before="157" w:beforeLines="50" w:line="630" w:lineRule="exact"/>
        <w:ind w:firstLine="640" w:firstLineChars="200"/>
        <w:jc w:val="both"/>
        <w:textAlignment w:val="auto"/>
        <w:rPr>
          <w:rFonts w:hint="eastAsia" w:ascii="仿宋" w:hAnsi="仿宋" w:eastAsia="仿宋" w:cs="仿宋"/>
          <w:color w:val="auto"/>
          <w:szCs w:val="32"/>
          <w:highlight w:val="none"/>
        </w:rPr>
      </w:pPr>
      <w:r>
        <w:rPr>
          <w:rFonts w:hint="eastAsia" w:ascii="仿宋" w:hAnsi="仿宋" w:eastAsia="仿宋" w:cs="仿宋"/>
          <w:color w:val="auto"/>
          <w:szCs w:val="32"/>
          <w:highlight w:val="none"/>
        </w:rPr>
        <w:t>整合园区、基地和高校、科研院所、企业等各种资源，打造一批特色鲜明、功能齐全的双创示范基地，布局一批便捷开放的众创空间和“星创天地”，扶持一批双创社区。</w:t>
      </w:r>
    </w:p>
    <w:p w14:paraId="5846877A">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3" w:firstLineChars="200"/>
        <w:jc w:val="both"/>
        <w:textAlignment w:val="auto"/>
        <w:rPr>
          <w:rFonts w:hint="eastAsia" w:ascii="仿宋" w:hAnsi="仿宋" w:eastAsia="仿宋" w:cs="仿宋"/>
          <w:color w:val="auto"/>
          <w:szCs w:val="32"/>
          <w:highlight w:val="none"/>
          <w:lang w:eastAsia="zh-CN"/>
        </w:rPr>
      </w:pPr>
      <w:r>
        <w:rPr>
          <w:rFonts w:hint="eastAsia" w:ascii="KaiTi_GB2312" w:hAnsi="KaiTi_GB2312" w:eastAsia="KaiTi_GB2312" w:cs="KaiTi_GB2312"/>
          <w:b/>
          <w:bCs/>
          <w:color w:val="auto"/>
          <w:szCs w:val="32"/>
          <w:highlight w:val="none"/>
          <w:lang w:val="en-US" w:eastAsia="zh-CN"/>
        </w:rPr>
        <w:t>园区聚集。</w:t>
      </w:r>
      <w:r>
        <w:rPr>
          <w:rFonts w:hint="eastAsia" w:ascii="仿宋" w:hAnsi="仿宋" w:eastAsia="仿宋" w:cs="仿宋"/>
          <w:color w:val="auto"/>
          <w:szCs w:val="32"/>
          <w:highlight w:val="none"/>
          <w:lang w:val="en-US" w:eastAsia="zh-CN"/>
        </w:rPr>
        <w:t>在园区要引进一批、培育一批、转化一批创新型企业，</w:t>
      </w:r>
      <w:r>
        <w:rPr>
          <w:rFonts w:hint="eastAsia" w:ascii="仿宋" w:hAnsi="仿宋" w:eastAsia="仿宋" w:cs="仿宋"/>
          <w:color w:val="auto"/>
          <w:szCs w:val="32"/>
          <w:highlight w:val="none"/>
        </w:rPr>
        <w:t>重点支持</w:t>
      </w:r>
      <w:r>
        <w:rPr>
          <w:rFonts w:hint="eastAsia" w:ascii="仿宋" w:hAnsi="仿宋" w:eastAsia="仿宋" w:cs="仿宋"/>
          <w:color w:val="auto"/>
          <w:szCs w:val="32"/>
          <w:highlight w:val="none"/>
          <w:lang w:eastAsia="zh-CN"/>
        </w:rPr>
        <w:t>经开区科技创新中心建设</w:t>
      </w:r>
      <w:r>
        <w:rPr>
          <w:rFonts w:hint="eastAsia" w:ascii="仿宋" w:hAnsi="仿宋" w:eastAsia="仿宋" w:cs="仿宋"/>
          <w:color w:val="auto"/>
          <w:szCs w:val="32"/>
          <w:highlight w:val="none"/>
        </w:rPr>
        <w:t>。建设一批高水平省级和市级工程技术研究中心、重点实验室、企业技术中心、院士工作站、博士后科研工作站、博士后创新实践基地。</w:t>
      </w:r>
      <w:r>
        <w:rPr>
          <w:rFonts w:hint="eastAsia" w:ascii="仿宋" w:hAnsi="仿宋" w:eastAsia="仿宋" w:cs="仿宋"/>
          <w:color w:val="auto"/>
          <w:szCs w:val="32"/>
          <w:highlight w:val="none"/>
          <w:lang w:val="en-US" w:eastAsia="zh-CN"/>
        </w:rPr>
        <w:t>在产业转移过程中，不但要转移产业，更要转移创新技术，支持沿海城市回归人员、</w:t>
      </w:r>
      <w:r>
        <w:rPr>
          <w:rFonts w:hint="eastAsia" w:ascii="仿宋" w:hAnsi="仿宋" w:eastAsia="仿宋" w:cs="仿宋"/>
          <w:color w:val="auto"/>
          <w:szCs w:val="32"/>
          <w:highlight w:val="none"/>
        </w:rPr>
        <w:t>留学归国人员创业等，推动园区打造若干具有一定影响力的创新创业聚集区</w:t>
      </w:r>
      <w:r>
        <w:rPr>
          <w:rFonts w:hint="eastAsia" w:ascii="仿宋" w:hAnsi="仿宋" w:eastAsia="仿宋" w:cs="仿宋"/>
          <w:color w:val="auto"/>
          <w:szCs w:val="32"/>
          <w:highlight w:val="none"/>
          <w:lang w:eastAsia="zh-CN"/>
        </w:rPr>
        <w:t>。</w:t>
      </w:r>
    </w:p>
    <w:p w14:paraId="453854D5">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3" w:firstLineChars="200"/>
        <w:jc w:val="both"/>
        <w:textAlignment w:val="auto"/>
        <w:rPr>
          <w:rFonts w:hint="eastAsia" w:ascii="仿宋" w:hAnsi="仿宋" w:eastAsia="仿宋" w:cs="仿宋"/>
          <w:color w:val="auto"/>
          <w:szCs w:val="32"/>
          <w:highlight w:val="none"/>
          <w:lang w:eastAsia="zh-CN"/>
        </w:rPr>
      </w:pPr>
      <w:r>
        <w:rPr>
          <w:rFonts w:hint="eastAsia" w:ascii="KaiTi_GB2312" w:hAnsi="KaiTi_GB2312" w:eastAsia="KaiTi_GB2312" w:cs="KaiTi_GB2312"/>
          <w:b/>
          <w:bCs/>
          <w:color w:val="auto"/>
          <w:szCs w:val="32"/>
          <w:highlight w:val="none"/>
          <w:lang w:val="en-US" w:eastAsia="zh-CN"/>
        </w:rPr>
        <w:t>社会联动。</w:t>
      </w:r>
      <w:r>
        <w:rPr>
          <w:rFonts w:hint="eastAsia" w:ascii="仿宋" w:hAnsi="仿宋" w:eastAsia="仿宋" w:cs="仿宋"/>
          <w:color w:val="auto"/>
          <w:szCs w:val="32"/>
          <w:highlight w:val="none"/>
          <w:lang w:val="en-US" w:eastAsia="zh-CN"/>
        </w:rPr>
        <w:t>在全社会、全领域、全产业，</w:t>
      </w:r>
      <w:r>
        <w:rPr>
          <w:rFonts w:hint="eastAsia" w:ascii="仿宋" w:hAnsi="仿宋" w:eastAsia="仿宋" w:cs="仿宋"/>
          <w:color w:val="auto"/>
          <w:szCs w:val="32"/>
          <w:highlight w:val="none"/>
        </w:rPr>
        <w:t>支持发展众创、众包、众扶、众筹等新模式，引导社会资本参与新型孵化载体建设和运营，促进孵化与投资、创新与创业相结合。围绕</w:t>
      </w:r>
      <w:r>
        <w:rPr>
          <w:rFonts w:hint="eastAsia" w:ascii="仿宋" w:hAnsi="仿宋" w:eastAsia="仿宋" w:cs="仿宋"/>
          <w:color w:val="auto"/>
          <w:szCs w:val="32"/>
          <w:highlight w:val="none"/>
          <w:lang w:val="en-US" w:eastAsia="zh-CN"/>
        </w:rPr>
        <w:t>电子商务、电子信息、古城特色文化、休闲旅游、演艺服务等创新创意产业进行有效、深度、高效创新，推升全社会形成浓厚的创意氛围</w:t>
      </w:r>
      <w:r>
        <w:rPr>
          <w:rFonts w:hint="eastAsia" w:ascii="仿宋" w:hAnsi="仿宋" w:eastAsia="仿宋" w:cs="仿宋"/>
          <w:color w:val="auto"/>
          <w:szCs w:val="32"/>
          <w:highlight w:val="none"/>
          <w:lang w:eastAsia="zh-CN"/>
        </w:rPr>
        <w:t>。</w:t>
      </w:r>
    </w:p>
    <w:p w14:paraId="76D7C70D">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3" w:firstLineChars="200"/>
        <w:jc w:val="both"/>
        <w:textAlignment w:val="auto"/>
        <w:rPr>
          <w:rFonts w:hint="eastAsia" w:ascii="仿宋" w:hAnsi="仿宋" w:eastAsia="仿宋" w:cs="仿宋"/>
          <w:color w:val="auto"/>
          <w:szCs w:val="32"/>
          <w:highlight w:val="none"/>
        </w:rPr>
      </w:pPr>
      <w:r>
        <w:rPr>
          <w:rFonts w:hint="eastAsia" w:ascii="KaiTi_GB2312" w:hAnsi="KaiTi_GB2312" w:eastAsia="KaiTi_GB2312" w:cs="KaiTi_GB2312"/>
          <w:b/>
          <w:bCs/>
          <w:color w:val="auto"/>
          <w:szCs w:val="32"/>
          <w:highlight w:val="none"/>
          <w:lang w:val="en-US" w:eastAsia="zh-CN"/>
        </w:rPr>
        <w:t>政策保障</w:t>
      </w:r>
      <w:r>
        <w:rPr>
          <w:rFonts w:hint="eastAsia" w:ascii="FangSong_GB2312" w:hAnsi="FangSong_GB2312" w:cs="FangSong_GB2312"/>
          <w:b/>
          <w:bCs/>
          <w:color w:val="auto"/>
          <w:szCs w:val="32"/>
          <w:highlight w:val="none"/>
          <w:lang w:val="en-US" w:eastAsia="zh-CN"/>
        </w:rPr>
        <w:t>。</w:t>
      </w:r>
      <w:r>
        <w:rPr>
          <w:rFonts w:hint="eastAsia" w:ascii="仿宋" w:hAnsi="仿宋" w:eastAsia="仿宋" w:cs="仿宋"/>
          <w:color w:val="auto"/>
          <w:szCs w:val="32"/>
          <w:highlight w:val="none"/>
        </w:rPr>
        <w:t>为创业者提供低成本办公场所和居住条件，实行奖励和补助政策，针对省级以上组织的大众创业、万众创新竞赛中胜出的获奖项目和个人，市本级按1：1的比例给予奖励。到“十四五”末，建成省级工程技术研究中心1家，邵阳市工程技术研究中心5家，国家级“星创天地”2家，湖南省“星创天地”5家，邵阳市级“星创天地”10家。</w:t>
      </w:r>
    </w:p>
    <w:p w14:paraId="2393378B">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jc w:val="center"/>
        <w:textAlignment w:val="auto"/>
        <w:outlineLvl w:val="1"/>
        <w:rPr>
          <w:rFonts w:hint="eastAsia" w:ascii="黑体" w:hAnsi="黑体" w:eastAsia="黑体" w:cs="黑体"/>
          <w:b w:val="0"/>
          <w:bCs/>
          <w:color w:val="auto"/>
          <w:highlight w:val="none"/>
        </w:rPr>
      </w:pPr>
      <w:bookmarkStart w:id="62" w:name="_Toc4962"/>
      <w:r>
        <w:rPr>
          <w:rFonts w:hint="eastAsia" w:ascii="黑体" w:hAnsi="黑体" w:eastAsia="黑体" w:cs="黑体"/>
          <w:b w:val="0"/>
          <w:bCs/>
          <w:color w:val="auto"/>
          <w:kern w:val="44"/>
          <w:sz w:val="32"/>
          <w:szCs w:val="32"/>
          <w:highlight w:val="none"/>
          <w:lang w:val="en-US" w:eastAsia="zh-CN" w:bidi="ar-SA"/>
        </w:rPr>
        <w:t>第三节 集聚高端创新人才</w:t>
      </w:r>
      <w:bookmarkEnd w:id="62"/>
    </w:p>
    <w:p w14:paraId="5864D5C8">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0" w:firstLineChars="200"/>
        <w:jc w:val="both"/>
        <w:textAlignment w:val="auto"/>
        <w:outlineLvl w:val="9"/>
        <w:rPr>
          <w:rFonts w:hint="eastAsia" w:ascii="仿宋" w:hAnsi="仿宋" w:eastAsia="仿宋" w:cs="仿宋"/>
          <w:i w:val="0"/>
          <w:caps w:val="0"/>
          <w:color w:val="auto"/>
          <w:spacing w:val="0"/>
          <w:sz w:val="32"/>
          <w:szCs w:val="32"/>
          <w:highlight w:val="none"/>
        </w:rPr>
      </w:pPr>
      <w:r>
        <w:rPr>
          <w:rFonts w:hint="eastAsia" w:ascii="仿宋" w:hAnsi="仿宋" w:eastAsia="仿宋" w:cs="仿宋"/>
          <w:i w:val="0"/>
          <w:caps w:val="0"/>
          <w:color w:val="auto"/>
          <w:spacing w:val="0"/>
          <w:sz w:val="32"/>
          <w:szCs w:val="32"/>
          <w:highlight w:val="none"/>
        </w:rPr>
        <w:t>坚持重点引进高层次人才和培养实用型人才并举，完善企业经营和党政管理人才培育机制，着眼于我市经济社会发展需要，大力实施人才强市战略，营造优良的用人环境，最大限度地释放人才红利。</w:t>
      </w:r>
    </w:p>
    <w:p w14:paraId="118BBA8F">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3" w:firstLineChars="200"/>
        <w:jc w:val="both"/>
        <w:textAlignment w:val="auto"/>
        <w:rPr>
          <w:rFonts w:hint="eastAsia" w:ascii="仿宋" w:hAnsi="仿宋" w:eastAsia="仿宋" w:cs="仿宋"/>
          <w:color w:val="auto"/>
          <w:szCs w:val="32"/>
          <w:highlight w:val="none"/>
          <w:lang w:eastAsia="zh-CN"/>
        </w:rPr>
      </w:pPr>
      <w:r>
        <w:rPr>
          <w:rFonts w:hint="eastAsia" w:ascii="楷体" w:hAnsi="楷体" w:eastAsia="楷体" w:cs="楷体"/>
          <w:b/>
          <w:bCs/>
          <w:color w:val="auto"/>
          <w:szCs w:val="32"/>
          <w:highlight w:val="none"/>
        </w:rPr>
        <w:t>强化人才队伍建设。</w:t>
      </w:r>
      <w:r>
        <w:rPr>
          <w:rFonts w:hint="eastAsia" w:ascii="仿宋" w:hAnsi="仿宋" w:eastAsia="仿宋" w:cs="仿宋"/>
          <w:color w:val="auto"/>
          <w:szCs w:val="32"/>
          <w:highlight w:val="none"/>
        </w:rPr>
        <w:t>主动对接国家“万人计划”和省</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芙蓉人才行动计划</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等重大人才工程，深入实施都梁人才行动计划，引进“两院”院士、学科技术带头人、掌握关键技术的领军人才、拥有创新专利的科技人才、经验丰富的管理人才等来武创业发展，打造2个以上具有自主知识产权和持续创新能力的科技创新团队。实施本土人才培养计划，培养一批高素质的专业技术人才</w:t>
      </w:r>
      <w:r>
        <w:rPr>
          <w:rFonts w:hint="eastAsia" w:ascii="仿宋" w:hAnsi="仿宋" w:eastAsia="仿宋" w:cs="仿宋"/>
          <w:color w:val="auto"/>
          <w:szCs w:val="32"/>
          <w:highlight w:val="none"/>
          <w:lang w:eastAsia="zh-CN"/>
        </w:rPr>
        <w:t>、青年人才和</w:t>
      </w:r>
      <w:r>
        <w:rPr>
          <w:rFonts w:hint="eastAsia" w:ascii="仿宋" w:hAnsi="仿宋" w:eastAsia="仿宋" w:cs="仿宋"/>
          <w:color w:val="auto"/>
          <w:szCs w:val="32"/>
          <w:highlight w:val="none"/>
        </w:rPr>
        <w:t>农村致富带头人，培养一批懂专业、会管理、政治素质过硬的党政人才，建设一支结构优化、素质卓越的科技人才队伍。突出创新驱动，服务产业转型升级，培养高层次质量人才，打造创新型质量科技平台。</w:t>
      </w:r>
      <w:r>
        <w:rPr>
          <w:rFonts w:hint="eastAsia" w:ascii="仿宋" w:hAnsi="仿宋" w:eastAsia="仿宋" w:cs="仿宋"/>
          <w:color w:val="auto"/>
          <w:szCs w:val="32"/>
          <w:highlight w:val="none"/>
          <w:lang w:eastAsia="zh-CN"/>
        </w:rPr>
        <w:t>设立突出贡献奖，制定突出贡献奖奖励支持措施。</w:t>
      </w:r>
    </w:p>
    <w:p w14:paraId="24760071">
      <w:pPr>
        <w:keepNext w:val="0"/>
        <w:keepLines w:val="0"/>
        <w:pageBreakBefore w:val="0"/>
        <w:widowControl w:val="0"/>
        <w:pBdr>
          <w:bottom w:val="single" w:color="FFFFFF" w:sz="4" w:space="30"/>
        </w:pBdr>
        <w:kinsoku/>
        <w:wordWrap/>
        <w:overflowPunct/>
        <w:topLinePunct/>
        <w:autoSpaceDE w:val="0"/>
        <w:autoSpaceDN/>
        <w:bidi w:val="0"/>
        <w:adjustRightInd/>
        <w:snapToGrid/>
        <w:spacing w:line="63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szCs w:val="32"/>
          <w:highlight w:val="none"/>
        </w:rPr>
        <w:t>完善人才服务体系。</w:t>
      </w:r>
      <w:r>
        <w:rPr>
          <w:rFonts w:hint="eastAsia" w:ascii="仿宋" w:hAnsi="仿宋" w:eastAsia="仿宋" w:cs="仿宋"/>
          <w:b w:val="0"/>
          <w:bCs w:val="0"/>
          <w:color w:val="auto"/>
          <w:szCs w:val="32"/>
          <w:highlight w:val="none"/>
          <w:lang w:eastAsia="zh-CN"/>
        </w:rPr>
        <w:t>坚持把人才作为经济社会发展第一资源，出台《关于加强武冈市工业新兴优势产业链人才队伍建设的若干措施》等配套文件，建立人才培养基地和技术研发中心，建立“卡脖子”技术需求清单，打造高端人才蓄水池。</w:t>
      </w:r>
      <w:r>
        <w:rPr>
          <w:rFonts w:hint="eastAsia" w:ascii="仿宋" w:hAnsi="仿宋" w:eastAsia="仿宋" w:cs="仿宋"/>
          <w:color w:val="auto"/>
          <w:szCs w:val="32"/>
          <w:highlight w:val="none"/>
        </w:rPr>
        <w:t>创新人才评价制度，分类制定人才评价标准，构建重创新创业实绩、重社会和业内认可的多元化人才评价体系。完善人才服务和管理体系，为企事业单位的高层次专业技术人才流动调配开辟绿色通道，改善人才的办公、居住、科研条件，积极为外来人才的配偶、子女解决入户、就业、就读、社保等问题，为人才发挥才智提供良好服务。</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4894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000" w:type="pct"/>
            <w:shd w:val="clear" w:color="auto" w:fill="auto"/>
            <w:vAlign w:val="top"/>
          </w:tcPr>
          <w:p w14:paraId="70B8D101">
            <w:pPr>
              <w:pageBreakBefore w:val="0"/>
              <w:widowControl w:val="0"/>
              <w:kinsoku/>
              <w:wordWrap/>
              <w:overflowPunct/>
              <w:bidi w:val="0"/>
              <w:spacing w:line="420" w:lineRule="auto"/>
              <w:jc w:val="center"/>
              <w:rPr>
                <w:rFonts w:eastAsia="黑体"/>
                <w:b/>
                <w:bCs/>
                <w:color w:val="auto"/>
                <w:kern w:val="0"/>
                <w:sz w:val="28"/>
                <w:szCs w:val="28"/>
                <w:highlight w:val="none"/>
              </w:rPr>
            </w:pPr>
            <w:r>
              <w:rPr>
                <w:rFonts w:hint="eastAsia" w:ascii="宋体" w:hAnsi="宋体" w:eastAsia="宋体" w:cs="宋体"/>
                <w:b/>
                <w:color w:val="auto"/>
                <w:kern w:val="0"/>
                <w:sz w:val="28"/>
                <w:szCs w:val="28"/>
                <w:highlight w:val="none"/>
                <w:lang w:bidi="ar"/>
              </w:rPr>
              <w:t>专栏</w:t>
            </w:r>
            <w:r>
              <w:rPr>
                <w:rFonts w:hint="eastAsia" w:ascii="宋体" w:hAnsi="宋体" w:eastAsia="宋体" w:cs="宋体"/>
                <w:b/>
                <w:color w:val="auto"/>
                <w:kern w:val="0"/>
                <w:sz w:val="28"/>
                <w:szCs w:val="28"/>
                <w:highlight w:val="none"/>
                <w:lang w:val="en-US" w:eastAsia="zh-CN" w:bidi="ar"/>
              </w:rPr>
              <w:t>6</w:t>
            </w:r>
            <w:r>
              <w:rPr>
                <w:rFonts w:hint="eastAsia" w:ascii="宋体" w:hAnsi="宋体" w:eastAsia="宋体" w:cs="宋体"/>
                <w:b/>
                <w:color w:val="auto"/>
                <w:kern w:val="0"/>
                <w:sz w:val="28"/>
                <w:szCs w:val="28"/>
                <w:highlight w:val="none"/>
                <w:lang w:bidi="ar"/>
              </w:rPr>
              <w:t>：都梁人才队伍建设工程</w:t>
            </w:r>
          </w:p>
        </w:tc>
      </w:tr>
      <w:tr w14:paraId="0506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3" w:hRule="atLeast"/>
          <w:jc w:val="center"/>
        </w:trPr>
        <w:tc>
          <w:tcPr>
            <w:tcW w:w="5000" w:type="pct"/>
            <w:shd w:val="clear" w:color="auto" w:fill="auto"/>
            <w:vAlign w:val="top"/>
          </w:tcPr>
          <w:p w14:paraId="4DB97085">
            <w:pPr>
              <w:pageBreakBefore w:val="0"/>
              <w:widowControl w:val="0"/>
              <w:kinsoku/>
              <w:wordWrap/>
              <w:overflowPunct/>
              <w:bidi w:val="0"/>
              <w:spacing w:line="400" w:lineRule="exact"/>
              <w:ind w:firstLine="562" w:firstLineChars="200"/>
              <w:jc w:val="both"/>
              <w:rPr>
                <w:rFonts w:hint="eastAsia" w:ascii="仿宋" w:hAnsi="仿宋" w:eastAsia="仿宋" w:cs="仿宋"/>
                <w:b w:val="0"/>
                <w:bCs w:val="0"/>
                <w:color w:val="auto"/>
                <w:kern w:val="0"/>
                <w:sz w:val="28"/>
                <w:szCs w:val="28"/>
                <w:highlight w:val="none"/>
                <w:lang w:bidi="ar"/>
              </w:rPr>
            </w:pPr>
            <w:r>
              <w:rPr>
                <w:rFonts w:hint="eastAsia" w:ascii="仿宋" w:hAnsi="仿宋" w:eastAsia="仿宋" w:cs="仿宋"/>
                <w:b/>
                <w:bCs/>
                <w:color w:val="auto"/>
                <w:kern w:val="0"/>
                <w:sz w:val="28"/>
                <w:szCs w:val="28"/>
                <w:highlight w:val="none"/>
                <w:lang w:val="en-US" w:eastAsia="zh-CN" w:bidi="ar-SA"/>
              </w:rPr>
              <w:t>1.高层次人才引进计划：</w:t>
            </w:r>
            <w:r>
              <w:rPr>
                <w:rFonts w:hint="eastAsia" w:ascii="仿宋" w:hAnsi="仿宋" w:eastAsia="仿宋" w:cs="仿宋"/>
                <w:b w:val="0"/>
                <w:bCs w:val="0"/>
                <w:color w:val="auto"/>
                <w:kern w:val="0"/>
                <w:sz w:val="28"/>
                <w:szCs w:val="28"/>
                <w:highlight w:val="none"/>
                <w:lang w:bidi="ar"/>
              </w:rPr>
              <w:t>引进“两院”院士、科技领军人才</w:t>
            </w:r>
            <w:r>
              <w:rPr>
                <w:rFonts w:hint="eastAsia" w:ascii="仿宋" w:hAnsi="仿宋" w:eastAsia="仿宋" w:cs="仿宋"/>
                <w:b w:val="0"/>
                <w:bCs w:val="0"/>
                <w:color w:val="auto"/>
                <w:kern w:val="0"/>
                <w:sz w:val="28"/>
                <w:szCs w:val="28"/>
                <w:highlight w:val="none"/>
                <w:lang w:eastAsia="zh-CN" w:bidi="ar"/>
              </w:rPr>
              <w:t>、</w:t>
            </w:r>
            <w:r>
              <w:rPr>
                <w:rFonts w:hint="eastAsia" w:ascii="仿宋" w:hAnsi="仿宋" w:eastAsia="仿宋" w:cs="仿宋"/>
                <w:b w:val="0"/>
                <w:bCs w:val="0"/>
                <w:color w:val="auto"/>
                <w:kern w:val="0"/>
                <w:sz w:val="28"/>
                <w:szCs w:val="28"/>
                <w:highlight w:val="none"/>
                <w:lang w:bidi="ar"/>
              </w:rPr>
              <w:t>经济管理人才等各类</w:t>
            </w:r>
            <w:r>
              <w:rPr>
                <w:rFonts w:hint="eastAsia" w:ascii="仿宋" w:hAnsi="仿宋" w:eastAsia="仿宋" w:cs="仿宋"/>
                <w:b w:val="0"/>
                <w:bCs w:val="0"/>
                <w:color w:val="auto"/>
                <w:kern w:val="0"/>
                <w:sz w:val="28"/>
                <w:szCs w:val="28"/>
                <w:highlight w:val="none"/>
                <w:lang w:eastAsia="zh-CN" w:bidi="ar"/>
              </w:rPr>
              <w:t>高层次</w:t>
            </w:r>
            <w:r>
              <w:rPr>
                <w:rFonts w:hint="eastAsia" w:ascii="仿宋" w:hAnsi="仿宋" w:eastAsia="仿宋" w:cs="仿宋"/>
                <w:b w:val="0"/>
                <w:bCs w:val="0"/>
                <w:color w:val="auto"/>
                <w:kern w:val="0"/>
                <w:sz w:val="28"/>
                <w:szCs w:val="28"/>
                <w:highlight w:val="none"/>
                <w:lang w:bidi="ar"/>
              </w:rPr>
              <w:t>人才50-100人，引进2个以上具有自主知识产权和持续创新能力的科技创新团队。</w:t>
            </w:r>
          </w:p>
          <w:p w14:paraId="3144B4F0">
            <w:pPr>
              <w:pageBreakBefore w:val="0"/>
              <w:widowControl w:val="0"/>
              <w:kinsoku/>
              <w:wordWrap/>
              <w:overflowPunct/>
              <w:bidi w:val="0"/>
              <w:spacing w:line="400" w:lineRule="exact"/>
              <w:ind w:firstLine="562" w:firstLineChars="200"/>
              <w:jc w:val="both"/>
              <w:rPr>
                <w:rFonts w:hint="eastAsia" w:ascii="仿宋" w:hAnsi="仿宋" w:eastAsia="仿宋" w:cs="仿宋"/>
                <w:b w:val="0"/>
                <w:bCs w:val="0"/>
                <w:color w:val="auto"/>
                <w:kern w:val="0"/>
                <w:sz w:val="28"/>
                <w:szCs w:val="28"/>
                <w:highlight w:val="none"/>
                <w:lang w:eastAsia="zh-CN" w:bidi="ar"/>
              </w:rPr>
            </w:pPr>
            <w:r>
              <w:rPr>
                <w:rFonts w:hint="eastAsia" w:ascii="仿宋" w:hAnsi="仿宋" w:eastAsia="仿宋" w:cs="仿宋"/>
                <w:b/>
                <w:bCs/>
                <w:color w:val="auto"/>
                <w:kern w:val="0"/>
                <w:sz w:val="28"/>
                <w:szCs w:val="28"/>
                <w:highlight w:val="none"/>
                <w:lang w:val="en-US" w:eastAsia="zh-CN" w:bidi="ar-SA"/>
              </w:rPr>
              <w:t>2.专业技术人才培养计划：</w:t>
            </w:r>
            <w:r>
              <w:rPr>
                <w:rFonts w:hint="eastAsia" w:ascii="仿宋" w:hAnsi="仿宋" w:eastAsia="仿宋" w:cs="仿宋"/>
                <w:b w:val="0"/>
                <w:bCs w:val="0"/>
                <w:color w:val="auto"/>
                <w:kern w:val="0"/>
                <w:sz w:val="28"/>
                <w:szCs w:val="28"/>
                <w:highlight w:val="none"/>
                <w:lang w:eastAsia="zh-CN" w:bidi="ar"/>
              </w:rPr>
              <w:t>培养</w:t>
            </w:r>
            <w:r>
              <w:rPr>
                <w:rFonts w:hint="eastAsia" w:ascii="仿宋" w:hAnsi="仿宋" w:eastAsia="仿宋" w:cs="仿宋"/>
                <w:b w:val="0"/>
                <w:bCs w:val="0"/>
                <w:color w:val="auto"/>
                <w:kern w:val="0"/>
                <w:sz w:val="28"/>
                <w:szCs w:val="28"/>
                <w:highlight w:val="none"/>
                <w:lang w:val="en-US" w:eastAsia="zh-CN" w:bidi="ar"/>
              </w:rPr>
              <w:t>10-15名农业顶尖人才和5-10科技创新人才</w:t>
            </w:r>
            <w:r>
              <w:rPr>
                <w:rFonts w:hint="eastAsia" w:ascii="仿宋" w:hAnsi="仿宋" w:eastAsia="仿宋" w:cs="仿宋"/>
                <w:b w:val="0"/>
                <w:bCs w:val="0"/>
                <w:color w:val="auto"/>
                <w:kern w:val="0"/>
                <w:sz w:val="28"/>
                <w:szCs w:val="28"/>
                <w:highlight w:val="none"/>
                <w:lang w:bidi="ar"/>
              </w:rPr>
              <w:t>。加强学历提升、外派进修、学术交流，</w:t>
            </w:r>
            <w:r>
              <w:rPr>
                <w:rFonts w:hint="eastAsia" w:ascii="仿宋" w:hAnsi="仿宋" w:eastAsia="仿宋" w:cs="仿宋"/>
                <w:b w:val="0"/>
                <w:bCs w:val="0"/>
                <w:color w:val="auto"/>
                <w:kern w:val="0"/>
                <w:sz w:val="28"/>
                <w:szCs w:val="28"/>
                <w:highlight w:val="none"/>
                <w:lang w:eastAsia="zh-CN" w:bidi="ar"/>
              </w:rPr>
              <w:t>培育</w:t>
            </w:r>
            <w:r>
              <w:rPr>
                <w:rFonts w:hint="eastAsia" w:ascii="仿宋" w:hAnsi="仿宋" w:eastAsia="仿宋" w:cs="仿宋"/>
                <w:b w:val="0"/>
                <w:bCs w:val="0"/>
                <w:color w:val="auto"/>
                <w:kern w:val="0"/>
                <w:sz w:val="28"/>
                <w:szCs w:val="28"/>
                <w:highlight w:val="none"/>
                <w:lang w:bidi="ar"/>
              </w:rPr>
              <w:t>100名优秀骨干医师、100名教学名师。</w:t>
            </w:r>
          </w:p>
          <w:p w14:paraId="60437365">
            <w:pPr>
              <w:pageBreakBefore w:val="0"/>
              <w:widowControl w:val="0"/>
              <w:kinsoku/>
              <w:wordWrap/>
              <w:overflowPunct/>
              <w:bidi w:val="0"/>
              <w:spacing w:line="400" w:lineRule="exact"/>
              <w:ind w:firstLine="560" w:firstLineChars="200"/>
              <w:jc w:val="both"/>
              <w:rPr>
                <w:rFonts w:hint="eastAsia" w:ascii="仿宋" w:hAnsi="仿宋" w:eastAsia="仿宋" w:cs="仿宋"/>
                <w:b w:val="0"/>
                <w:bCs w:val="0"/>
                <w:color w:val="auto"/>
                <w:kern w:val="0"/>
                <w:sz w:val="28"/>
                <w:szCs w:val="28"/>
                <w:highlight w:val="none"/>
                <w:lang w:eastAsia="zh-CN" w:bidi="ar"/>
              </w:rPr>
            </w:pPr>
            <w:r>
              <w:rPr>
                <w:rFonts w:hint="eastAsia" w:ascii="仿宋" w:hAnsi="仿宋" w:eastAsia="仿宋" w:cs="仿宋"/>
                <w:b w:val="0"/>
                <w:bCs w:val="0"/>
                <w:color w:val="auto"/>
                <w:kern w:val="0"/>
                <w:sz w:val="28"/>
                <w:szCs w:val="28"/>
                <w:highlight w:val="none"/>
                <w:lang w:val="en-US" w:eastAsia="zh-CN" w:bidi="ar-SA"/>
              </w:rPr>
              <w:t xml:space="preserve">   </w:t>
            </w:r>
            <w:r>
              <w:rPr>
                <w:rFonts w:hint="eastAsia" w:ascii="仿宋" w:hAnsi="仿宋" w:eastAsia="仿宋" w:cs="仿宋"/>
                <w:b/>
                <w:bCs/>
                <w:color w:val="auto"/>
                <w:kern w:val="0"/>
                <w:sz w:val="28"/>
                <w:szCs w:val="28"/>
                <w:highlight w:val="none"/>
                <w:lang w:val="en-US" w:eastAsia="zh-CN" w:bidi="ar-SA"/>
              </w:rPr>
              <w:t xml:space="preserve"> 3.农村实用人才培养计划：</w:t>
            </w:r>
            <w:r>
              <w:rPr>
                <w:rFonts w:hint="eastAsia" w:ascii="仿宋" w:hAnsi="仿宋" w:eastAsia="仿宋" w:cs="仿宋"/>
                <w:b w:val="0"/>
                <w:bCs w:val="0"/>
                <w:color w:val="auto"/>
                <w:kern w:val="0"/>
                <w:sz w:val="28"/>
                <w:szCs w:val="28"/>
                <w:highlight w:val="none"/>
                <w:lang w:bidi="ar"/>
              </w:rPr>
              <w:t>选拔一批有发展潜力的农村实用人才，与省、</w:t>
            </w:r>
            <w:r>
              <w:rPr>
                <w:rFonts w:hint="eastAsia" w:ascii="仿宋" w:hAnsi="仿宋" w:eastAsia="仿宋" w:cs="仿宋"/>
                <w:b w:val="0"/>
                <w:bCs w:val="0"/>
                <w:color w:val="auto"/>
                <w:kern w:val="0"/>
                <w:sz w:val="28"/>
                <w:szCs w:val="28"/>
                <w:highlight w:val="none"/>
                <w:lang w:eastAsia="zh-CN" w:bidi="ar"/>
              </w:rPr>
              <w:t>邵</w:t>
            </w:r>
            <w:r>
              <w:rPr>
                <w:rFonts w:hint="eastAsia" w:ascii="仿宋" w:hAnsi="仿宋" w:eastAsia="仿宋" w:cs="仿宋"/>
                <w:b w:val="0"/>
                <w:bCs w:val="0"/>
                <w:color w:val="auto"/>
                <w:kern w:val="0"/>
                <w:sz w:val="28"/>
                <w:szCs w:val="28"/>
                <w:highlight w:val="none"/>
                <w:lang w:bidi="ar"/>
              </w:rPr>
              <w:t>、</w:t>
            </w:r>
            <w:r>
              <w:rPr>
                <w:rFonts w:hint="eastAsia" w:ascii="仿宋" w:hAnsi="仿宋" w:eastAsia="仿宋" w:cs="仿宋"/>
                <w:b w:val="0"/>
                <w:bCs w:val="0"/>
                <w:color w:val="auto"/>
                <w:kern w:val="0"/>
                <w:sz w:val="28"/>
                <w:szCs w:val="28"/>
                <w:highlight w:val="none"/>
                <w:lang w:eastAsia="zh-CN" w:bidi="ar"/>
              </w:rPr>
              <w:t>武冈</w:t>
            </w:r>
            <w:r>
              <w:rPr>
                <w:rFonts w:hint="eastAsia" w:ascii="仿宋" w:hAnsi="仿宋" w:eastAsia="仿宋" w:cs="仿宋"/>
                <w:b w:val="0"/>
                <w:bCs w:val="0"/>
                <w:color w:val="auto"/>
                <w:kern w:val="0"/>
                <w:sz w:val="28"/>
                <w:szCs w:val="28"/>
                <w:highlight w:val="none"/>
                <w:lang w:bidi="ar"/>
              </w:rPr>
              <w:t>涉农专家和农技人员结对，发挥各类农业科技园、专业合作经济组织等的作用，有针对性培养农村实用人才带头人50-100名。</w:t>
            </w:r>
          </w:p>
          <w:p w14:paraId="5AF74973">
            <w:pPr>
              <w:pageBreakBefore w:val="0"/>
              <w:widowControl w:val="0"/>
              <w:kinsoku/>
              <w:wordWrap/>
              <w:overflowPunct/>
              <w:bidi w:val="0"/>
              <w:spacing w:line="400" w:lineRule="exact"/>
              <w:ind w:firstLine="560" w:firstLineChars="200"/>
              <w:jc w:val="both"/>
              <w:rPr>
                <w:rFonts w:ascii="仿宋" w:hAnsi="仿宋" w:eastAsia="仿宋" w:cs="仿宋"/>
                <w:color w:val="auto"/>
                <w:kern w:val="0"/>
                <w:sz w:val="28"/>
                <w:szCs w:val="28"/>
                <w:highlight w:val="none"/>
                <w:lang w:bidi="ar"/>
              </w:rPr>
            </w:pPr>
            <w:r>
              <w:rPr>
                <w:rFonts w:hint="eastAsia" w:ascii="仿宋" w:hAnsi="仿宋" w:eastAsia="仿宋" w:cs="仿宋"/>
                <w:b w:val="0"/>
                <w:bCs w:val="0"/>
                <w:color w:val="auto"/>
                <w:kern w:val="0"/>
                <w:sz w:val="28"/>
                <w:szCs w:val="28"/>
                <w:highlight w:val="none"/>
                <w:lang w:bidi="ar"/>
              </w:rPr>
              <w:t xml:space="preserve">  </w:t>
            </w:r>
            <w:r>
              <w:rPr>
                <w:rFonts w:hint="eastAsia" w:ascii="仿宋" w:hAnsi="仿宋" w:eastAsia="仿宋" w:cs="仿宋"/>
                <w:b w:val="0"/>
                <w:bCs w:val="0"/>
                <w:color w:val="auto"/>
                <w:kern w:val="0"/>
                <w:sz w:val="28"/>
                <w:szCs w:val="28"/>
                <w:highlight w:val="none"/>
                <w:lang w:val="en-US" w:eastAsia="zh-CN" w:bidi="ar-SA"/>
              </w:rPr>
              <w:t xml:space="preserve"> </w:t>
            </w:r>
            <w:r>
              <w:rPr>
                <w:rFonts w:hint="eastAsia" w:ascii="仿宋" w:hAnsi="仿宋" w:eastAsia="仿宋" w:cs="仿宋"/>
                <w:b/>
                <w:bCs/>
                <w:color w:val="auto"/>
                <w:kern w:val="0"/>
                <w:sz w:val="28"/>
                <w:szCs w:val="28"/>
                <w:highlight w:val="none"/>
                <w:lang w:val="en-US" w:eastAsia="zh-CN" w:bidi="ar-SA"/>
              </w:rPr>
              <w:t xml:space="preserve"> 4.大学生基层培养计划：</w:t>
            </w:r>
            <w:r>
              <w:rPr>
                <w:rFonts w:hint="eastAsia" w:ascii="仿宋" w:hAnsi="仿宋" w:eastAsia="仿宋" w:cs="仿宋"/>
                <w:b w:val="0"/>
                <w:bCs w:val="0"/>
                <w:color w:val="auto"/>
                <w:kern w:val="0"/>
                <w:sz w:val="28"/>
                <w:szCs w:val="28"/>
                <w:highlight w:val="none"/>
                <w:lang w:bidi="ar"/>
              </w:rPr>
              <w:t>落实对自愿到农村中小学、卫生院、文化站、农技推广站等机构工作的大学生的经济补助，实</w:t>
            </w:r>
            <w:r>
              <w:rPr>
                <w:rFonts w:hint="eastAsia" w:ascii="仿宋" w:hAnsi="仿宋" w:eastAsia="仿宋" w:cs="仿宋"/>
                <w:b w:val="0"/>
                <w:bCs w:val="0"/>
                <w:color w:val="auto"/>
                <w:kern w:val="0"/>
                <w:sz w:val="28"/>
                <w:szCs w:val="28"/>
                <w:highlight w:val="none"/>
                <w:lang w:eastAsia="zh-CN" w:bidi="ar"/>
              </w:rPr>
              <w:t>行</w:t>
            </w:r>
            <w:r>
              <w:rPr>
                <w:rFonts w:hint="eastAsia" w:ascii="仿宋" w:hAnsi="仿宋" w:eastAsia="仿宋" w:cs="仿宋"/>
                <w:b w:val="0"/>
                <w:bCs w:val="0"/>
                <w:color w:val="auto"/>
                <w:kern w:val="0"/>
                <w:sz w:val="28"/>
                <w:szCs w:val="28"/>
                <w:highlight w:val="none"/>
                <w:lang w:bidi="ar"/>
              </w:rPr>
              <w:t>政府购买</w:t>
            </w:r>
            <w:r>
              <w:rPr>
                <w:rFonts w:hint="eastAsia" w:ascii="仿宋" w:hAnsi="仿宋" w:eastAsia="仿宋" w:cs="仿宋"/>
                <w:b w:val="0"/>
                <w:bCs w:val="0"/>
                <w:color w:val="auto"/>
                <w:kern w:val="0"/>
                <w:sz w:val="28"/>
                <w:szCs w:val="28"/>
                <w:highlight w:val="none"/>
                <w:lang w:eastAsia="zh-CN" w:bidi="ar"/>
              </w:rPr>
              <w:t>服务</w:t>
            </w:r>
            <w:r>
              <w:rPr>
                <w:rFonts w:hint="eastAsia" w:ascii="仿宋" w:hAnsi="仿宋" w:eastAsia="仿宋" w:cs="仿宋"/>
                <w:b w:val="0"/>
                <w:bCs w:val="0"/>
                <w:color w:val="auto"/>
                <w:kern w:val="0"/>
                <w:sz w:val="28"/>
                <w:szCs w:val="28"/>
                <w:highlight w:val="none"/>
                <w:lang w:bidi="ar"/>
              </w:rPr>
              <w:t>、</w:t>
            </w:r>
            <w:r>
              <w:rPr>
                <w:rFonts w:hint="eastAsia" w:ascii="仿宋" w:hAnsi="仿宋" w:eastAsia="仿宋" w:cs="仿宋"/>
                <w:b w:val="0"/>
                <w:bCs w:val="0"/>
                <w:color w:val="auto"/>
                <w:kern w:val="0"/>
                <w:sz w:val="28"/>
                <w:szCs w:val="28"/>
                <w:highlight w:val="none"/>
                <w:lang w:eastAsia="zh-CN" w:bidi="ar"/>
              </w:rPr>
              <w:t>落实</w:t>
            </w:r>
            <w:r>
              <w:rPr>
                <w:rFonts w:hint="eastAsia" w:ascii="仿宋" w:hAnsi="仿宋" w:eastAsia="仿宋" w:cs="仿宋"/>
                <w:b w:val="0"/>
                <w:bCs w:val="0"/>
                <w:color w:val="auto"/>
                <w:kern w:val="0"/>
                <w:sz w:val="28"/>
                <w:szCs w:val="28"/>
                <w:highlight w:val="none"/>
                <w:lang w:bidi="ar"/>
              </w:rPr>
              <w:t>学费和助学贷款代偿、创业扶持</w:t>
            </w:r>
            <w:r>
              <w:rPr>
                <w:rFonts w:hint="eastAsia" w:ascii="仿宋" w:hAnsi="仿宋" w:eastAsia="仿宋" w:cs="仿宋"/>
                <w:b w:val="0"/>
                <w:bCs w:val="0"/>
                <w:color w:val="auto"/>
                <w:kern w:val="0"/>
                <w:sz w:val="28"/>
                <w:szCs w:val="28"/>
                <w:highlight w:val="none"/>
                <w:lang w:eastAsia="zh-CN" w:bidi="ar"/>
              </w:rPr>
              <w:t>等</w:t>
            </w:r>
            <w:r>
              <w:rPr>
                <w:rFonts w:hint="eastAsia" w:ascii="仿宋" w:hAnsi="仿宋" w:eastAsia="仿宋" w:cs="仿宋"/>
                <w:b w:val="0"/>
                <w:bCs w:val="0"/>
                <w:color w:val="auto"/>
                <w:kern w:val="0"/>
                <w:sz w:val="28"/>
                <w:szCs w:val="28"/>
                <w:highlight w:val="none"/>
                <w:lang w:bidi="ar"/>
              </w:rPr>
              <w:t>，充实基层人才队伍。</w:t>
            </w:r>
          </w:p>
        </w:tc>
      </w:tr>
      <w:bookmarkEnd w:id="49"/>
      <w:bookmarkEnd w:id="50"/>
      <w:bookmarkEnd w:id="51"/>
      <w:bookmarkEnd w:id="52"/>
      <w:bookmarkEnd w:id="53"/>
      <w:bookmarkEnd w:id="54"/>
    </w:tbl>
    <w:p w14:paraId="4590F509">
      <w:pPr>
        <w:keepNext w:val="0"/>
        <w:keepLines w:val="0"/>
        <w:pageBreakBefore w:val="0"/>
        <w:widowControl w:val="0"/>
        <w:kinsoku w:val="0"/>
        <w:wordWrap/>
        <w:overflowPunct w:val="0"/>
        <w:topLinePunct w:val="0"/>
        <w:autoSpaceDE w:val="0"/>
        <w:autoSpaceDN w:val="0"/>
        <w:bidi w:val="0"/>
        <w:adjustRightInd/>
        <w:snapToGrid/>
        <w:spacing w:before="0" w:after="0" w:line="620" w:lineRule="exact"/>
        <w:jc w:val="center"/>
        <w:textAlignment w:val="auto"/>
        <w:outlineLvl w:val="9"/>
        <w:rPr>
          <w:rFonts w:hint="eastAsia" w:ascii="黑体" w:hAnsi="黑体" w:eastAsia="黑体" w:cs="黑体"/>
          <w:bCs/>
          <w:color w:val="auto"/>
          <w:highlight w:val="none"/>
        </w:rPr>
      </w:pPr>
      <w:bookmarkStart w:id="63" w:name="_Toc23858"/>
      <w:bookmarkStart w:id="64" w:name="_Toc19640"/>
      <w:bookmarkStart w:id="65" w:name="_Toc22765"/>
    </w:p>
    <w:p w14:paraId="53DBD4E1">
      <w:pPr>
        <w:keepNext w:val="0"/>
        <w:keepLines w:val="0"/>
        <w:pageBreakBefore w:val="0"/>
        <w:widowControl w:val="0"/>
        <w:kinsoku w:val="0"/>
        <w:wordWrap/>
        <w:overflowPunct w:val="0"/>
        <w:topLinePunct w:val="0"/>
        <w:autoSpaceDE w:val="0"/>
        <w:autoSpaceDN w:val="0"/>
        <w:bidi w:val="0"/>
        <w:adjustRightInd/>
        <w:snapToGrid/>
        <w:spacing w:before="0" w:after="0" w:line="620" w:lineRule="exact"/>
        <w:jc w:val="center"/>
        <w:textAlignment w:val="auto"/>
        <w:outlineLvl w:val="9"/>
        <w:rPr>
          <w:rFonts w:hint="eastAsia" w:ascii="黑体" w:hAnsi="黑体" w:eastAsia="黑体" w:cs="黑体"/>
          <w:bCs/>
          <w:color w:val="auto"/>
          <w:highlight w:val="none"/>
        </w:rPr>
      </w:pPr>
    </w:p>
    <w:p w14:paraId="006F5471">
      <w:pPr>
        <w:keepNext w:val="0"/>
        <w:keepLines w:val="0"/>
        <w:pageBreakBefore w:val="0"/>
        <w:widowControl w:val="0"/>
        <w:kinsoku w:val="0"/>
        <w:wordWrap/>
        <w:overflowPunct w:val="0"/>
        <w:topLinePunct w:val="0"/>
        <w:autoSpaceDE w:val="0"/>
        <w:autoSpaceDN w:val="0"/>
        <w:bidi w:val="0"/>
        <w:adjustRightInd/>
        <w:snapToGrid/>
        <w:spacing w:before="0" w:after="0" w:line="620" w:lineRule="exact"/>
        <w:jc w:val="center"/>
        <w:textAlignment w:val="auto"/>
        <w:outlineLvl w:val="9"/>
        <w:rPr>
          <w:rFonts w:hint="eastAsia" w:ascii="黑体" w:hAnsi="黑体" w:eastAsia="黑体" w:cs="黑体"/>
          <w:bCs/>
          <w:color w:val="auto"/>
          <w:highlight w:val="none"/>
        </w:rPr>
      </w:pPr>
    </w:p>
    <w:p w14:paraId="014DDAB2">
      <w:pPr>
        <w:keepNext w:val="0"/>
        <w:keepLines w:val="0"/>
        <w:pageBreakBefore w:val="0"/>
        <w:widowControl w:val="0"/>
        <w:kinsoku w:val="0"/>
        <w:wordWrap/>
        <w:overflowPunct w:val="0"/>
        <w:topLinePunct w:val="0"/>
        <w:autoSpaceDE w:val="0"/>
        <w:autoSpaceDN w:val="0"/>
        <w:bidi w:val="0"/>
        <w:adjustRightInd/>
        <w:snapToGrid/>
        <w:spacing w:before="0" w:after="0" w:line="620" w:lineRule="exact"/>
        <w:jc w:val="both"/>
        <w:textAlignment w:val="auto"/>
        <w:outlineLvl w:val="9"/>
        <w:rPr>
          <w:rFonts w:hint="eastAsia" w:ascii="黑体" w:hAnsi="黑体" w:eastAsia="黑体" w:cs="黑体"/>
          <w:bCs/>
          <w:color w:val="auto"/>
          <w:highlight w:val="none"/>
        </w:rPr>
      </w:pPr>
    </w:p>
    <w:p w14:paraId="2C9BC28C">
      <w:pPr>
        <w:pStyle w:val="3"/>
        <w:keepNext w:val="0"/>
        <w:keepLines w:val="0"/>
        <w:pageBreakBefore w:val="0"/>
        <w:widowControl w:val="0"/>
        <w:kinsoku w:val="0"/>
        <w:wordWrap/>
        <w:overflowPunct w:val="0"/>
        <w:topLinePunct w:val="0"/>
        <w:autoSpaceDE w:val="0"/>
        <w:autoSpaceDN w:val="0"/>
        <w:bidi w:val="0"/>
        <w:adjustRightInd/>
        <w:snapToGrid/>
        <w:spacing w:before="0" w:after="0" w:line="620" w:lineRule="exact"/>
        <w:jc w:val="center"/>
        <w:textAlignment w:val="auto"/>
        <w:rPr>
          <w:rFonts w:hint="eastAsia"/>
          <w:bCs/>
          <w:color w:val="auto"/>
          <w:spacing w:val="-6"/>
          <w:highlight w:val="none"/>
        </w:rPr>
      </w:pPr>
      <w:bookmarkStart w:id="66" w:name="_Toc30557"/>
      <w:r>
        <w:rPr>
          <w:rFonts w:hint="eastAsia" w:ascii="黑体" w:hAnsi="黑体" w:eastAsia="黑体" w:cs="黑体"/>
          <w:bCs/>
          <w:color w:val="auto"/>
          <w:highlight w:val="none"/>
        </w:rPr>
        <w:t xml:space="preserve">第五章  </w:t>
      </w:r>
      <w:r>
        <w:rPr>
          <w:rFonts w:hint="eastAsia" w:ascii="黑体" w:hAnsi="黑体" w:eastAsia="黑体" w:cs="黑体"/>
          <w:bCs/>
          <w:color w:val="auto"/>
          <w:spacing w:val="-6"/>
          <w:highlight w:val="none"/>
        </w:rPr>
        <w:t>全面深化改革</w:t>
      </w:r>
      <w:r>
        <w:rPr>
          <w:rFonts w:hint="eastAsia" w:ascii="黑体" w:hAnsi="黑体" w:eastAsia="黑体" w:cs="黑体"/>
          <w:bCs/>
          <w:color w:val="auto"/>
          <w:spacing w:val="-6"/>
          <w:highlight w:val="none"/>
          <w:lang w:eastAsia="zh-CN"/>
        </w:rPr>
        <w:t>开放</w:t>
      </w:r>
      <w:r>
        <w:rPr>
          <w:rFonts w:hint="eastAsia" w:ascii="黑体" w:hAnsi="黑体" w:eastAsia="黑体" w:cs="黑体"/>
          <w:bCs/>
          <w:color w:val="auto"/>
          <w:spacing w:val="-6"/>
          <w:highlight w:val="none"/>
        </w:rPr>
        <w:t>，打造</w:t>
      </w:r>
      <w:r>
        <w:rPr>
          <w:rFonts w:hint="eastAsia" w:ascii="黑体" w:hAnsi="黑体" w:eastAsia="黑体" w:cs="黑体"/>
          <w:bCs/>
          <w:color w:val="auto"/>
          <w:spacing w:val="-6"/>
          <w:highlight w:val="none"/>
          <w:lang w:eastAsia="zh-CN"/>
        </w:rPr>
        <w:t>湘西南</w:t>
      </w:r>
      <w:r>
        <w:rPr>
          <w:rFonts w:hint="eastAsia" w:ascii="黑体" w:hAnsi="黑体" w:eastAsia="黑体" w:cs="黑体"/>
          <w:bCs/>
          <w:color w:val="auto"/>
          <w:spacing w:val="-6"/>
          <w:highlight w:val="none"/>
        </w:rPr>
        <w:t>改革开放高地</w:t>
      </w:r>
      <w:bookmarkEnd w:id="66"/>
    </w:p>
    <w:p w14:paraId="7FCF7B28">
      <w:pPr>
        <w:keepNext w:val="0"/>
        <w:keepLines w:val="0"/>
        <w:pageBreakBefore w:val="0"/>
        <w:widowControl w:val="0"/>
        <w:kinsoku w:val="0"/>
        <w:wordWrap/>
        <w:overflowPunct w:val="0"/>
        <w:topLinePunct w:val="0"/>
        <w:autoSpaceDE w:val="0"/>
        <w:autoSpaceDN w:val="0"/>
        <w:bidi w:val="0"/>
        <w:adjustRightInd/>
        <w:snapToGrid/>
        <w:spacing w:line="600" w:lineRule="exact"/>
        <w:ind w:firstLine="640" w:firstLineChars="200"/>
        <w:jc w:val="both"/>
        <w:textAlignment w:val="auto"/>
        <w:rPr>
          <w:rFonts w:hint="eastAsia" w:ascii="仿宋" w:hAnsi="仿宋" w:eastAsia="仿宋" w:cs="仿宋"/>
          <w:color w:val="auto"/>
          <w:szCs w:val="32"/>
          <w:highlight w:val="none"/>
          <w:lang w:val="en-US" w:eastAsia="zh-CN"/>
        </w:rPr>
      </w:pPr>
      <w:r>
        <w:rPr>
          <w:rFonts w:hint="eastAsia" w:ascii="仿宋" w:hAnsi="仿宋" w:eastAsia="仿宋" w:cs="仿宋"/>
          <w:color w:val="auto"/>
          <w:szCs w:val="32"/>
          <w:highlight w:val="none"/>
          <w:lang w:val="en-US" w:eastAsia="zh-CN"/>
        </w:rPr>
        <w:t>精准把握新发展阶段的新特征新要求，大力推进重点领域和关键环节改革，激发市场主体活力，完善经济治理体系，加快转变政府职能，努力构建与转变经济发展方式相适应的体制机制。</w:t>
      </w:r>
      <w:r>
        <w:rPr>
          <w:rFonts w:hint="eastAsia" w:ascii="仿宋" w:hAnsi="仿宋" w:eastAsia="仿宋" w:cs="仿宋"/>
          <w:color w:val="auto"/>
          <w:sz w:val="32"/>
          <w:szCs w:val="32"/>
          <w:highlight w:val="none"/>
        </w:rPr>
        <w:t>提升区域开放水平，紧紧抓住“一带一路”、中部地区崛起、粤港澳大湾区、湘南湘西承接产业转移示范区、</w:t>
      </w:r>
      <w:r>
        <w:rPr>
          <w:rFonts w:hint="eastAsia" w:ascii="仿宋" w:hAnsi="仿宋" w:eastAsia="仿宋" w:cs="仿宋"/>
          <w:color w:val="auto"/>
          <w:sz w:val="32"/>
          <w:szCs w:val="32"/>
          <w:highlight w:val="none"/>
          <w:lang w:eastAsia="zh-CN"/>
        </w:rPr>
        <w:t>中国（湖南）自由贸易试验区</w:t>
      </w:r>
      <w:r>
        <w:rPr>
          <w:rFonts w:hint="eastAsia" w:ascii="仿宋" w:hAnsi="仿宋" w:eastAsia="仿宋" w:cs="仿宋"/>
          <w:color w:val="auto"/>
          <w:sz w:val="32"/>
          <w:szCs w:val="32"/>
          <w:highlight w:val="none"/>
        </w:rPr>
        <w:t>战略机遇，统筹对内对外开放合作，</w:t>
      </w:r>
      <w:r>
        <w:rPr>
          <w:rFonts w:hint="eastAsia" w:ascii="仿宋" w:hAnsi="仿宋" w:eastAsia="仿宋" w:cs="仿宋"/>
          <w:color w:val="auto"/>
          <w:szCs w:val="32"/>
          <w:highlight w:val="none"/>
          <w:lang w:val="en-US" w:eastAsia="zh-CN"/>
        </w:rPr>
        <w:t>依托临空（机场）经济区，激发内核，增强动力，打造湘西南改革开放高地。</w:t>
      </w:r>
    </w:p>
    <w:p w14:paraId="7647BD5B">
      <w:pPr>
        <w:pStyle w:val="4"/>
        <w:keepNext w:val="0"/>
        <w:keepLines w:val="0"/>
        <w:pageBreakBefore w:val="0"/>
        <w:widowControl w:val="0"/>
        <w:kinsoku w:val="0"/>
        <w:wordWrap/>
        <w:overflowPunct w:val="0"/>
        <w:topLinePunct w:val="0"/>
        <w:autoSpaceDE w:val="0"/>
        <w:autoSpaceDN w:val="0"/>
        <w:bidi w:val="0"/>
        <w:adjustRightInd/>
        <w:snapToGrid/>
        <w:spacing w:before="0" w:after="0" w:line="600" w:lineRule="exact"/>
        <w:jc w:val="center"/>
        <w:textAlignment w:val="auto"/>
        <w:rPr>
          <w:rFonts w:hint="eastAsia" w:ascii="黑体" w:hAnsi="黑体" w:eastAsia="黑体" w:cs="黑体"/>
          <w:b w:val="0"/>
          <w:bCs/>
          <w:color w:val="auto"/>
          <w:highlight w:val="none"/>
        </w:rPr>
      </w:pPr>
      <w:bookmarkStart w:id="67" w:name="_Toc26670"/>
      <w:bookmarkStart w:id="68" w:name="_Toc17318"/>
      <w:r>
        <w:rPr>
          <w:rFonts w:hint="eastAsia" w:ascii="黑体" w:hAnsi="黑体" w:eastAsia="黑体" w:cs="黑体"/>
          <w:b w:val="0"/>
          <w:bCs/>
          <w:color w:val="auto"/>
          <w:kern w:val="44"/>
          <w:sz w:val="32"/>
          <w:szCs w:val="32"/>
          <w:highlight w:val="none"/>
          <w:lang w:val="en-US" w:eastAsia="zh-CN" w:bidi="ar-SA"/>
        </w:rPr>
        <w:t>第一节 激发市场主体活力</w:t>
      </w:r>
      <w:bookmarkEnd w:id="67"/>
      <w:bookmarkEnd w:id="68"/>
    </w:p>
    <w:p w14:paraId="58195FA4">
      <w:pPr>
        <w:keepNext w:val="0"/>
        <w:keepLines w:val="0"/>
        <w:pageBreakBefore w:val="0"/>
        <w:widowControl/>
        <w:kinsoku w:val="0"/>
        <w:wordWrap/>
        <w:overflowPunct w:val="0"/>
        <w:topLinePunct w:val="0"/>
        <w:autoSpaceDE w:val="0"/>
        <w:autoSpaceDN w:val="0"/>
        <w:bidi w:val="0"/>
        <w:adjustRightInd/>
        <w:snapToGrid/>
        <w:spacing w:line="600" w:lineRule="exact"/>
        <w:ind w:firstLine="640" w:firstLineChars="200"/>
        <w:textAlignment w:val="auto"/>
        <w:rPr>
          <w:rFonts w:hint="eastAsia" w:ascii="仿宋" w:hAnsi="仿宋" w:eastAsia="仿宋" w:cs="仿宋"/>
          <w:i w:val="0"/>
          <w:caps w:val="0"/>
          <w:color w:val="auto"/>
          <w:spacing w:val="0"/>
          <w:sz w:val="32"/>
          <w:szCs w:val="32"/>
          <w:highlight w:val="none"/>
        </w:rPr>
      </w:pPr>
      <w:r>
        <w:rPr>
          <w:rFonts w:hint="eastAsia" w:ascii="仿宋" w:hAnsi="仿宋" w:eastAsia="仿宋" w:cs="仿宋"/>
          <w:color w:val="auto"/>
          <w:szCs w:val="32"/>
          <w:highlight w:val="none"/>
        </w:rPr>
        <w:t>坚持和完善基本经济制度，激发市场主体发展活力。全面落实支持市场主体发展各项政策措施，大力弘扬企业家精神，支持企业高质量发展。</w:t>
      </w:r>
    </w:p>
    <w:p w14:paraId="2BD57EED">
      <w:pPr>
        <w:keepNext w:val="0"/>
        <w:keepLines w:val="0"/>
        <w:pageBreakBefore w:val="0"/>
        <w:widowControl w:val="0"/>
        <w:kinsoku w:val="0"/>
        <w:wordWrap/>
        <w:overflowPunct w:val="0"/>
        <w:topLinePunct w:val="0"/>
        <w:autoSpaceDE w:val="0"/>
        <w:autoSpaceDN w:val="0"/>
        <w:bidi w:val="0"/>
        <w:adjustRightInd/>
        <w:snapToGrid/>
        <w:spacing w:line="600" w:lineRule="exact"/>
        <w:ind w:firstLine="643" w:firstLineChars="200"/>
        <w:textAlignment w:val="auto"/>
        <w:rPr>
          <w:rFonts w:hint="eastAsia" w:ascii="仿宋" w:hAnsi="仿宋" w:eastAsia="仿宋" w:cs="仿宋"/>
          <w:color w:val="auto"/>
          <w:highlight w:val="none"/>
        </w:rPr>
      </w:pPr>
      <w:r>
        <w:rPr>
          <w:rFonts w:hint="eastAsia" w:ascii="楷体" w:hAnsi="楷体" w:eastAsia="楷体" w:cs="楷体"/>
          <w:b/>
          <w:bCs/>
          <w:color w:val="auto"/>
          <w:szCs w:val="32"/>
          <w:highlight w:val="none"/>
        </w:rPr>
        <w:t>支持</w:t>
      </w:r>
      <w:r>
        <w:rPr>
          <w:rFonts w:hint="eastAsia" w:ascii="楷体" w:hAnsi="楷体" w:eastAsia="楷体" w:cs="楷体"/>
          <w:b/>
          <w:bCs/>
          <w:color w:val="auto"/>
          <w:szCs w:val="32"/>
          <w:highlight w:val="none"/>
          <w:lang w:val="en-US" w:eastAsia="zh-CN"/>
        </w:rPr>
        <w:t>企业</w:t>
      </w:r>
      <w:r>
        <w:rPr>
          <w:rFonts w:hint="eastAsia" w:ascii="楷体" w:hAnsi="楷体" w:eastAsia="楷体" w:cs="楷体"/>
          <w:b/>
          <w:bCs/>
          <w:color w:val="auto"/>
          <w:szCs w:val="32"/>
          <w:highlight w:val="none"/>
        </w:rPr>
        <w:t>高质量发展。</w:t>
      </w:r>
      <w:r>
        <w:rPr>
          <w:rFonts w:hint="eastAsia" w:ascii="仿宋" w:hAnsi="仿宋" w:eastAsia="仿宋" w:cs="仿宋"/>
          <w:color w:val="auto"/>
          <w:highlight w:val="none"/>
        </w:rPr>
        <w:t>优化经济发展环境，构建亲清政商关系，促进</w:t>
      </w:r>
      <w:r>
        <w:rPr>
          <w:rFonts w:hint="eastAsia" w:ascii="仿宋" w:hAnsi="仿宋" w:eastAsia="仿宋" w:cs="仿宋"/>
          <w:color w:val="auto"/>
          <w:highlight w:val="none"/>
          <w:lang w:val="en-US" w:eastAsia="zh-CN"/>
        </w:rPr>
        <w:t>企业</w:t>
      </w:r>
      <w:r>
        <w:rPr>
          <w:rFonts w:hint="eastAsia" w:ascii="仿宋" w:hAnsi="仿宋" w:eastAsia="仿宋" w:cs="仿宋"/>
          <w:color w:val="auto"/>
          <w:highlight w:val="none"/>
        </w:rPr>
        <w:t>健康发展，依法平等保护企业产权和企业家权益。坚持权利平等、机会平等、规则平等，完善</w:t>
      </w:r>
      <w:r>
        <w:rPr>
          <w:rFonts w:hint="eastAsia" w:ascii="仿宋" w:hAnsi="仿宋" w:eastAsia="仿宋" w:cs="仿宋"/>
          <w:color w:val="auto"/>
          <w:highlight w:val="none"/>
          <w:lang w:val="en-US" w:eastAsia="zh-CN"/>
        </w:rPr>
        <w:t>企业</w:t>
      </w:r>
      <w:r>
        <w:rPr>
          <w:rFonts w:hint="eastAsia" w:ascii="仿宋" w:hAnsi="仿宋" w:eastAsia="仿宋" w:cs="仿宋"/>
          <w:color w:val="auto"/>
          <w:highlight w:val="none"/>
        </w:rPr>
        <w:t>发展服务机制。建立激励和补贴机制，支持</w:t>
      </w:r>
      <w:r>
        <w:rPr>
          <w:rFonts w:hint="eastAsia" w:ascii="仿宋" w:hAnsi="仿宋" w:eastAsia="仿宋" w:cs="仿宋"/>
          <w:color w:val="auto"/>
          <w:highlight w:val="none"/>
          <w:lang w:val="en-US" w:eastAsia="zh-CN"/>
        </w:rPr>
        <w:t>社会</w:t>
      </w:r>
      <w:r>
        <w:rPr>
          <w:rFonts w:hint="eastAsia" w:ascii="仿宋" w:hAnsi="仿宋" w:eastAsia="仿宋" w:cs="仿宋"/>
          <w:color w:val="auto"/>
          <w:highlight w:val="none"/>
        </w:rPr>
        <w:t>资本投入微利或非营利性市政公用事业领域，引导和鼓励</w:t>
      </w:r>
      <w:r>
        <w:rPr>
          <w:rFonts w:hint="eastAsia" w:ascii="仿宋" w:hAnsi="仿宋" w:eastAsia="仿宋" w:cs="仿宋"/>
          <w:color w:val="auto"/>
          <w:highlight w:val="none"/>
          <w:lang w:val="en-US" w:eastAsia="zh-CN"/>
        </w:rPr>
        <w:t>社会</w:t>
      </w:r>
      <w:r>
        <w:rPr>
          <w:rFonts w:hint="eastAsia" w:ascii="仿宋" w:hAnsi="仿宋" w:eastAsia="仿宋" w:cs="仿宋"/>
          <w:color w:val="auto"/>
          <w:highlight w:val="none"/>
        </w:rPr>
        <w:t>资本和各类产业投资基金投资我市战略性新兴产业、基础产业、城镇化及医疗、教育等社会事业领域。支持有条件的私营企业建立现代企业制度、符合条件的个体工商户转为企业。</w:t>
      </w:r>
      <w:r>
        <w:rPr>
          <w:rFonts w:hint="eastAsia" w:ascii="仿宋" w:hAnsi="仿宋" w:eastAsia="仿宋" w:cs="仿宋"/>
          <w:color w:val="auto"/>
          <w:highlight w:val="none"/>
          <w:lang w:val="en-US" w:eastAsia="zh-CN"/>
        </w:rPr>
        <w:t>落实好减税降费、援企稳岗等各项纾困惠企政策。</w:t>
      </w:r>
    </w:p>
    <w:p w14:paraId="430F6D3B">
      <w:pPr>
        <w:keepNext w:val="0"/>
        <w:keepLines w:val="0"/>
        <w:pageBreakBefore w:val="0"/>
        <w:widowControl w:val="0"/>
        <w:kinsoku w:val="0"/>
        <w:wordWrap/>
        <w:overflowPunct w:val="0"/>
        <w:topLinePunct w:val="0"/>
        <w:autoSpaceDE w:val="0"/>
        <w:autoSpaceDN w:val="0"/>
        <w:bidi w:val="0"/>
        <w:adjustRightInd/>
        <w:snapToGrid/>
        <w:spacing w:line="608" w:lineRule="exact"/>
        <w:ind w:firstLine="643" w:firstLineChars="200"/>
        <w:textAlignment w:val="auto"/>
        <w:rPr>
          <w:rFonts w:hint="eastAsia" w:ascii="仿宋" w:hAnsi="仿宋" w:eastAsia="仿宋" w:cs="仿宋"/>
          <w:color w:val="auto"/>
          <w:szCs w:val="32"/>
          <w:highlight w:val="none"/>
          <w:lang w:val="en-US" w:eastAsia="zh-CN"/>
        </w:rPr>
      </w:pPr>
      <w:r>
        <w:rPr>
          <w:rFonts w:hint="eastAsia" w:ascii="楷体" w:hAnsi="楷体" w:eastAsia="楷体" w:cs="楷体"/>
          <w:b/>
          <w:bCs/>
          <w:color w:val="auto"/>
          <w:szCs w:val="32"/>
          <w:highlight w:val="none"/>
          <w:lang w:val="en-US" w:eastAsia="zh-CN"/>
        </w:rPr>
        <w:t>大力弘扬企业家精神</w:t>
      </w:r>
      <w:r>
        <w:rPr>
          <w:rFonts w:hint="eastAsia" w:ascii="楷体" w:hAnsi="楷体" w:eastAsia="楷体" w:cs="楷体"/>
          <w:b/>
          <w:bCs/>
          <w:color w:val="auto"/>
          <w:szCs w:val="32"/>
          <w:highlight w:val="none"/>
        </w:rPr>
        <w:t>。</w:t>
      </w:r>
      <w:r>
        <w:rPr>
          <w:rFonts w:hint="eastAsia" w:ascii="仿宋" w:hAnsi="仿宋" w:eastAsia="仿宋" w:cs="仿宋"/>
          <w:color w:val="auto"/>
          <w:szCs w:val="32"/>
          <w:highlight w:val="none"/>
        </w:rPr>
        <w:t>重视企业家在</w:t>
      </w:r>
      <w:r>
        <w:rPr>
          <w:rFonts w:hint="eastAsia" w:ascii="仿宋" w:hAnsi="仿宋" w:eastAsia="仿宋" w:cs="仿宋"/>
          <w:color w:val="auto"/>
          <w:szCs w:val="32"/>
          <w:highlight w:val="none"/>
          <w:lang w:eastAsia="zh-CN"/>
        </w:rPr>
        <w:t>科技创新</w:t>
      </w:r>
      <w:r>
        <w:rPr>
          <w:rFonts w:hint="eastAsia" w:ascii="仿宋" w:hAnsi="仿宋" w:eastAsia="仿宋" w:cs="仿宋"/>
          <w:color w:val="auto"/>
          <w:szCs w:val="32"/>
          <w:highlight w:val="none"/>
        </w:rPr>
        <w:t>、推动经济转型、促进经济增长中的重要作用。正确处理好政府与市场的关系，减少政府对资源的直接配置，为企业家提供更广阔的成长空间。进一步完善市场体系，切实维护企业家合法权益。创造有利条件，帮助企业家全面提升综合素质和创新创业能力。营造有利于企业家成长的良好社会环境，理解支持企业家，尊重企业家的劳动价值。建立完善企业家激励</w:t>
      </w:r>
      <w:r>
        <w:rPr>
          <w:rFonts w:hint="eastAsia" w:ascii="仿宋" w:hAnsi="仿宋" w:eastAsia="仿宋" w:cs="仿宋"/>
          <w:color w:val="auto"/>
          <w:szCs w:val="32"/>
          <w:highlight w:val="none"/>
          <w:lang w:eastAsia="zh-CN"/>
        </w:rPr>
        <w:t>措施</w:t>
      </w:r>
      <w:r>
        <w:rPr>
          <w:rFonts w:hint="eastAsia" w:ascii="仿宋" w:hAnsi="仿宋" w:eastAsia="仿宋" w:cs="仿宋"/>
          <w:color w:val="auto"/>
          <w:szCs w:val="32"/>
          <w:highlight w:val="none"/>
        </w:rPr>
        <w:t>，鼓励企业家创新创业。</w:t>
      </w:r>
    </w:p>
    <w:p w14:paraId="7FD5257A">
      <w:pPr>
        <w:pStyle w:val="4"/>
        <w:pageBreakBefore w:val="0"/>
        <w:widowControl w:val="0"/>
        <w:kinsoku/>
        <w:wordWrap/>
        <w:overflowPunct/>
        <w:topLinePunct w:val="0"/>
        <w:bidi w:val="0"/>
        <w:adjustRightInd/>
        <w:snapToGrid/>
        <w:spacing w:before="0" w:after="0" w:line="608" w:lineRule="exact"/>
        <w:jc w:val="center"/>
        <w:textAlignment w:val="auto"/>
        <w:rPr>
          <w:rFonts w:hint="eastAsia" w:ascii="黑体" w:hAnsi="黑体" w:eastAsia="黑体" w:cs="黑体"/>
          <w:b w:val="0"/>
          <w:bCs/>
          <w:color w:val="auto"/>
          <w:highlight w:val="none"/>
        </w:rPr>
      </w:pPr>
      <w:bookmarkStart w:id="69" w:name="_Toc25422"/>
      <w:r>
        <w:rPr>
          <w:rFonts w:hint="eastAsia" w:ascii="黑体" w:hAnsi="黑体" w:eastAsia="黑体" w:cs="黑体"/>
          <w:b w:val="0"/>
          <w:bCs/>
          <w:color w:val="auto"/>
          <w:kern w:val="44"/>
          <w:sz w:val="32"/>
          <w:szCs w:val="32"/>
          <w:highlight w:val="none"/>
          <w:lang w:val="en-US" w:eastAsia="zh-CN" w:bidi="ar-SA"/>
        </w:rPr>
        <w:t>第二节 完善经济治理体系</w:t>
      </w:r>
      <w:bookmarkEnd w:id="69"/>
    </w:p>
    <w:p w14:paraId="2A2410E3">
      <w:pPr>
        <w:pageBreakBefore w:val="0"/>
        <w:widowControl w:val="0"/>
        <w:kinsoku/>
        <w:wordWrap/>
        <w:overflowPunct/>
        <w:topLinePunct w:val="0"/>
        <w:autoSpaceDE/>
        <w:autoSpaceDN/>
        <w:bidi w:val="0"/>
        <w:adjustRightInd/>
        <w:snapToGrid/>
        <w:spacing w:line="608" w:lineRule="exact"/>
        <w:ind w:firstLine="640" w:firstLineChars="200"/>
        <w:jc w:val="both"/>
        <w:textAlignment w:val="auto"/>
        <w:rPr>
          <w:rFonts w:hint="eastAsia" w:ascii="仿宋" w:hAnsi="仿宋" w:eastAsia="仿宋" w:cs="仿宋"/>
          <w:b w:val="0"/>
          <w:bCs w:val="0"/>
          <w:color w:val="auto"/>
          <w:szCs w:val="32"/>
          <w:highlight w:val="none"/>
        </w:rPr>
      </w:pPr>
      <w:r>
        <w:rPr>
          <w:rFonts w:hint="eastAsia" w:ascii="仿宋" w:hAnsi="仿宋" w:eastAsia="仿宋" w:cs="仿宋"/>
          <w:b w:val="0"/>
          <w:bCs w:val="0"/>
          <w:color w:val="auto"/>
          <w:szCs w:val="32"/>
          <w:highlight w:val="none"/>
        </w:rPr>
        <w:t>深化财税体制改革，完善税收和预算管理制度，着力提高金融服务实体经济</w:t>
      </w:r>
      <w:r>
        <w:rPr>
          <w:rFonts w:hint="eastAsia" w:ascii="仿宋" w:hAnsi="仿宋" w:eastAsia="仿宋" w:cs="仿宋"/>
          <w:b w:val="0"/>
          <w:bCs w:val="0"/>
          <w:color w:val="auto"/>
          <w:szCs w:val="32"/>
          <w:highlight w:val="none"/>
          <w:lang w:eastAsia="zh-CN"/>
        </w:rPr>
        <w:t>能力</w:t>
      </w:r>
      <w:r>
        <w:rPr>
          <w:rFonts w:hint="eastAsia" w:ascii="仿宋" w:hAnsi="仿宋" w:eastAsia="仿宋" w:cs="仿宋"/>
          <w:b w:val="0"/>
          <w:bCs w:val="0"/>
          <w:color w:val="auto"/>
          <w:szCs w:val="32"/>
          <w:highlight w:val="none"/>
        </w:rPr>
        <w:t>。</w:t>
      </w:r>
    </w:p>
    <w:p w14:paraId="4A0CD4AC">
      <w:pPr>
        <w:pageBreakBefore w:val="0"/>
        <w:widowControl w:val="0"/>
        <w:kinsoku/>
        <w:wordWrap/>
        <w:overflowPunct/>
        <w:topLinePunct w:val="0"/>
        <w:autoSpaceDE/>
        <w:autoSpaceDN/>
        <w:bidi w:val="0"/>
        <w:adjustRightInd/>
        <w:snapToGrid/>
        <w:spacing w:line="608"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rPr>
        <w:t>深化财税体制改革。</w:t>
      </w:r>
      <w:r>
        <w:rPr>
          <w:rFonts w:hint="eastAsia" w:ascii="仿宋" w:hAnsi="仿宋" w:eastAsia="仿宋" w:cs="仿宋"/>
          <w:color w:val="auto"/>
          <w:szCs w:val="32"/>
          <w:highlight w:val="none"/>
        </w:rPr>
        <w:t>改进预算管理制度，建立政府预算公开制度，落实全口径预算管理，</w:t>
      </w:r>
      <w:r>
        <w:rPr>
          <w:rFonts w:hint="eastAsia" w:ascii="仿宋" w:hAnsi="仿宋" w:eastAsia="仿宋" w:cs="仿宋"/>
          <w:color w:val="auto"/>
          <w:szCs w:val="32"/>
          <w:highlight w:val="none"/>
          <w:lang w:eastAsia="zh-CN"/>
        </w:rPr>
        <w:t>提高财税收入质量</w:t>
      </w:r>
      <w:r>
        <w:rPr>
          <w:rFonts w:hint="eastAsia" w:ascii="仿宋" w:hAnsi="仿宋" w:eastAsia="仿宋" w:cs="仿宋"/>
          <w:color w:val="auto"/>
          <w:szCs w:val="32"/>
          <w:highlight w:val="none"/>
        </w:rPr>
        <w:t>。完善收入征管机制，稳步推进税制改革，清理规范财税优惠政策，建立财政收入与经济协调增长机制。强化财政资金绩效，严格实施管、评、审分离，健全政府投资项目监管机制。规范非税收入，提高财政收入质量。</w:t>
      </w:r>
      <w:r>
        <w:rPr>
          <w:rFonts w:hint="eastAsia" w:ascii="仿宋" w:hAnsi="仿宋" w:eastAsia="仿宋" w:cs="仿宋"/>
          <w:color w:val="auto"/>
          <w:szCs w:val="32"/>
          <w:highlight w:val="none"/>
          <w:lang w:val="en-US" w:eastAsia="zh-CN"/>
        </w:rPr>
        <w:t>完善政府债务风险常态化监控机制，</w:t>
      </w:r>
      <w:r>
        <w:rPr>
          <w:rFonts w:hint="eastAsia" w:ascii="仿宋" w:hAnsi="仿宋" w:eastAsia="仿宋" w:cs="仿宋"/>
          <w:color w:val="auto"/>
          <w:szCs w:val="32"/>
          <w:highlight w:val="none"/>
        </w:rPr>
        <w:t>实行政府债务全生命周期管理，将政府债务及相关收支纳入预算管理，加强风险预警，建立债务偿债应急机制，稳妥防范化解政府债务风险。</w:t>
      </w:r>
    </w:p>
    <w:p w14:paraId="516B0889">
      <w:pPr>
        <w:pageBreakBefore w:val="0"/>
        <w:widowControl w:val="0"/>
        <w:kinsoku/>
        <w:wordWrap/>
        <w:overflowPunct/>
        <w:topLinePunct w:val="0"/>
        <w:autoSpaceDE/>
        <w:autoSpaceDN/>
        <w:bidi w:val="0"/>
        <w:adjustRightInd/>
        <w:snapToGrid/>
        <w:spacing w:line="608"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rPr>
        <w:t>健全金融市场体系。</w:t>
      </w:r>
      <w:r>
        <w:rPr>
          <w:rFonts w:hint="eastAsia" w:ascii="仿宋" w:hAnsi="仿宋" w:eastAsia="仿宋" w:cs="仿宋"/>
          <w:color w:val="auto"/>
          <w:szCs w:val="32"/>
          <w:highlight w:val="none"/>
        </w:rPr>
        <w:t>增强金融普惠性，完善保险经济补偿机制，</w:t>
      </w:r>
      <w:r>
        <w:rPr>
          <w:rFonts w:hint="eastAsia" w:ascii="仿宋" w:hAnsi="仿宋" w:eastAsia="仿宋" w:cs="仿宋"/>
          <w:color w:val="auto"/>
          <w:szCs w:val="32"/>
          <w:highlight w:val="none"/>
          <w:lang w:eastAsia="zh-CN"/>
        </w:rPr>
        <w:t>提高保险深度和密度，</w:t>
      </w:r>
      <w:r>
        <w:rPr>
          <w:rFonts w:hint="eastAsia" w:ascii="仿宋" w:hAnsi="仿宋" w:eastAsia="仿宋" w:cs="仿宋"/>
          <w:color w:val="auto"/>
          <w:szCs w:val="32"/>
          <w:highlight w:val="none"/>
        </w:rPr>
        <w:t>加快推动农业保险、城乡居民大病保险、小额人身保险等保险产品创新试点。提高金融服务实体经济能力，发展新兴金融业，改善中小微企业、三农领域等薄弱环节的金融服务，设立</w:t>
      </w:r>
      <w:r>
        <w:rPr>
          <w:rFonts w:hint="eastAsia" w:ascii="仿宋" w:hAnsi="仿宋" w:eastAsia="仿宋" w:cs="仿宋"/>
          <w:color w:val="auto"/>
          <w:szCs w:val="32"/>
          <w:highlight w:val="none"/>
          <w:lang w:eastAsia="zh-CN"/>
        </w:rPr>
        <w:t>中</w:t>
      </w:r>
      <w:r>
        <w:rPr>
          <w:rFonts w:hint="eastAsia" w:ascii="仿宋" w:hAnsi="仿宋" w:eastAsia="仿宋" w:cs="仿宋"/>
          <w:color w:val="auto"/>
          <w:szCs w:val="32"/>
          <w:highlight w:val="none"/>
        </w:rPr>
        <w:t>小微企业创业投资引导基金、互帮互济过桥基金，完善融资担保体系。加大打击非法集资力度，</w:t>
      </w:r>
      <w:r>
        <w:rPr>
          <w:rFonts w:hint="eastAsia" w:ascii="仿宋" w:hAnsi="仿宋" w:eastAsia="仿宋" w:cs="仿宋"/>
          <w:color w:val="auto"/>
          <w:szCs w:val="32"/>
          <w:highlight w:val="none"/>
          <w:lang w:eastAsia="zh-CN"/>
        </w:rPr>
        <w:t>积极稳妥化解金融陈案，维护金融秩序和金融安全。</w:t>
      </w:r>
    </w:p>
    <w:p w14:paraId="5C70E68B">
      <w:pPr>
        <w:pStyle w:val="4"/>
        <w:keepNext/>
        <w:keepLines/>
        <w:pageBreakBefore w:val="0"/>
        <w:widowControl w:val="0"/>
        <w:kinsoku/>
        <w:wordWrap/>
        <w:overflowPunct/>
        <w:topLinePunct w:val="0"/>
        <w:autoSpaceDE/>
        <w:autoSpaceDN/>
        <w:bidi w:val="0"/>
        <w:adjustRightInd/>
        <w:snapToGrid/>
        <w:spacing w:before="100" w:after="100" w:line="600" w:lineRule="exact"/>
        <w:jc w:val="center"/>
        <w:textAlignment w:val="auto"/>
        <w:rPr>
          <w:rFonts w:hint="eastAsia" w:ascii="黑体" w:hAnsi="黑体" w:eastAsia="黑体" w:cs="黑体"/>
          <w:b w:val="0"/>
          <w:bCs/>
          <w:color w:val="auto"/>
          <w:highlight w:val="none"/>
        </w:rPr>
      </w:pPr>
      <w:bookmarkStart w:id="70" w:name="_Toc28476"/>
      <w:r>
        <w:rPr>
          <w:rFonts w:hint="eastAsia" w:ascii="黑体" w:hAnsi="黑体" w:eastAsia="黑体" w:cs="黑体"/>
          <w:b w:val="0"/>
          <w:bCs/>
          <w:color w:val="auto"/>
          <w:kern w:val="44"/>
          <w:sz w:val="32"/>
          <w:szCs w:val="32"/>
          <w:highlight w:val="none"/>
          <w:lang w:val="en-US" w:eastAsia="zh-CN" w:bidi="ar-SA"/>
        </w:rPr>
        <w:t>第三节 构建高标准市场体系</w:t>
      </w:r>
      <w:bookmarkEnd w:id="70"/>
    </w:p>
    <w:p w14:paraId="55510153">
      <w:pPr>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val="0"/>
          <w:bCs w:val="0"/>
          <w:color w:val="auto"/>
          <w:szCs w:val="32"/>
          <w:highlight w:val="none"/>
        </w:rPr>
      </w:pPr>
      <w:r>
        <w:rPr>
          <w:rFonts w:hint="eastAsia" w:ascii="仿宋" w:hAnsi="仿宋" w:eastAsia="仿宋" w:cs="仿宋"/>
          <w:color w:val="auto"/>
          <w:szCs w:val="32"/>
          <w:highlight w:val="none"/>
        </w:rPr>
        <w:t>以减少生产要素供给抑制、提高生产要素供给效率、降低生产要素供给成本为中心，营造竞争有序的现代市场体系，全面激活微观主体创新创业创造潜能。</w:t>
      </w:r>
    </w:p>
    <w:p w14:paraId="6622E4B1">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rPr>
        <w:t>加快产权制度改革。</w:t>
      </w:r>
      <w:r>
        <w:rPr>
          <w:rFonts w:hint="eastAsia" w:ascii="仿宋" w:hAnsi="仿宋" w:eastAsia="仿宋" w:cs="仿宋"/>
          <w:color w:val="auto"/>
          <w:szCs w:val="32"/>
          <w:highlight w:val="none"/>
        </w:rPr>
        <w:t>遵循“谁投资，谁拥有产权”的基本要求，依法划分物权、债权、股权和知识产权等各类财产所有权和经营权等产权归属，明确各类产权主体行使权利的财产范围及管理权限。加快构建自然资产产权制度，划定产权主体，创新产权实现形式。以激励创新为导向，完善知识产权归属制度。坚持依法保护各类产权，保障公有和非公有产权享有平等法律地位，有效保障所有市场主体的平等法律地位和发展权利。</w:t>
      </w:r>
    </w:p>
    <w:p w14:paraId="531692FE">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color w:val="auto"/>
          <w:szCs w:val="32"/>
          <w:highlight w:val="none"/>
        </w:rPr>
      </w:pPr>
      <w:r>
        <w:rPr>
          <w:rFonts w:hint="eastAsia" w:ascii="楷体" w:hAnsi="楷体" w:eastAsia="楷体" w:cs="楷体"/>
          <w:b/>
          <w:bCs/>
          <w:color w:val="auto"/>
          <w:szCs w:val="32"/>
          <w:highlight w:val="none"/>
        </w:rPr>
        <w:t>深化要素市场化配置改革。</w:t>
      </w:r>
      <w:r>
        <w:rPr>
          <w:rFonts w:hint="eastAsia" w:ascii="仿宋" w:hAnsi="仿宋" w:eastAsia="仿宋" w:cs="仿宋"/>
          <w:color w:val="auto"/>
          <w:szCs w:val="32"/>
          <w:highlight w:val="none"/>
        </w:rPr>
        <w:t>充分发挥市场配置资源的决定性作用，畅通土地、劳动力、资本、技术、数据等要素流动渠道，保障不同市场主体平等获取生产要素，推动要素配置依据市场规则、市场价格、市场竞争实现效益最大化和效率最优化。健全要素市场运行机制，完善政府调节与监管，做到放活与管好有机结合，提升监管和服务能力，引导各类要素协同向先进生产力集聚，分类完善要素市场化配置体制机制。</w:t>
      </w:r>
    </w:p>
    <w:p w14:paraId="78F8859D">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szCs w:val="32"/>
          <w:highlight w:val="none"/>
        </w:rPr>
        <w:t>建立公平开放市场。</w:t>
      </w:r>
      <w:r>
        <w:rPr>
          <w:rFonts w:hint="eastAsia" w:ascii="仿宋" w:hAnsi="仿宋" w:eastAsia="仿宋" w:cs="仿宋"/>
          <w:color w:val="auto"/>
          <w:szCs w:val="32"/>
          <w:highlight w:val="none"/>
        </w:rPr>
        <w:t>全面实施市场准入负面清单制度，实行统一的市场准入制度。改革市场监管体系，实行统一的市场监管，规范公共服务和行政执法行为，加快构建法治化营商环境。落实公平竞争审查制度，完善促进公平竞争和企业健康发展的政策和制度，清理和废除妨碍市场公平竞争的各项规定，加大对地方保护、垄断经营和不正当竞争行为的执法力度。</w:t>
      </w:r>
    </w:p>
    <w:p w14:paraId="6A2CA671">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Cs/>
          <w:color w:val="auto"/>
          <w:highlight w:val="none"/>
          <w:lang w:eastAsia="zh-CN"/>
        </w:rPr>
      </w:pPr>
      <w:r>
        <w:rPr>
          <w:rFonts w:hint="eastAsia" w:ascii="楷体" w:hAnsi="楷体" w:eastAsia="楷体" w:cs="楷体"/>
          <w:b/>
          <w:bCs/>
          <w:color w:val="auto"/>
          <w:szCs w:val="32"/>
          <w:highlight w:val="none"/>
        </w:rPr>
        <w:t>健全社会信用体系。</w:t>
      </w:r>
      <w:r>
        <w:rPr>
          <w:rFonts w:hint="eastAsia" w:ascii="仿宋" w:hAnsi="仿宋" w:eastAsia="仿宋" w:cs="仿宋"/>
          <w:color w:val="auto"/>
          <w:szCs w:val="32"/>
          <w:highlight w:val="none"/>
        </w:rPr>
        <w:t>健全信用信息管理制度，推进信用制度建设。强化信用信息共建共享，建立信用信息交换共享机制，逐步形成全覆盖的信用信息网络。规范信用服务市场，健全信用服务组织体系，拓展信用服务产品应用范围。强化企业信用依法公示和监督。健全守信激励和失信惩戒机制，加大失信被执行人公开执行力度，依法限制、禁止失信被执行人行为空间，严厉制裁拒不执行法院裁判的行为。</w:t>
      </w:r>
      <w:r>
        <w:rPr>
          <w:rFonts w:hint="eastAsia" w:ascii="仿宋" w:hAnsi="仿宋" w:eastAsia="仿宋" w:cs="仿宋"/>
          <w:color w:val="auto"/>
          <w:szCs w:val="32"/>
          <w:highlight w:val="none"/>
          <w:lang w:eastAsia="zh-CN"/>
        </w:rPr>
        <w:t>加快构建社会信用体系，建立自然人、企业法人和非企业法人“三大数据库”，开展诚信示范创建活动。</w:t>
      </w:r>
    </w:p>
    <w:p w14:paraId="20A7BC0D">
      <w:pPr>
        <w:pStyle w:val="4"/>
        <w:keepNext/>
        <w:keepLines/>
        <w:pageBreakBefore w:val="0"/>
        <w:widowControl w:val="0"/>
        <w:kinsoku/>
        <w:wordWrap/>
        <w:overflowPunct/>
        <w:topLinePunct w:val="0"/>
        <w:autoSpaceDE/>
        <w:autoSpaceDN/>
        <w:bidi w:val="0"/>
        <w:adjustRightInd/>
        <w:snapToGrid/>
        <w:spacing w:before="100" w:after="100" w:line="600" w:lineRule="exact"/>
        <w:jc w:val="center"/>
        <w:textAlignment w:val="auto"/>
        <w:rPr>
          <w:rFonts w:hint="eastAsia" w:ascii="黑体" w:hAnsi="黑体" w:eastAsia="黑体" w:cs="黑体"/>
          <w:b w:val="0"/>
          <w:bCs/>
          <w:color w:val="auto"/>
          <w:kern w:val="44"/>
          <w:sz w:val="32"/>
          <w:szCs w:val="32"/>
          <w:highlight w:val="none"/>
          <w:lang w:val="en-US" w:eastAsia="zh-CN" w:bidi="ar-SA"/>
        </w:rPr>
      </w:pPr>
      <w:bookmarkStart w:id="71" w:name="_Toc1229"/>
      <w:r>
        <w:rPr>
          <w:rFonts w:hint="eastAsia" w:ascii="黑体" w:hAnsi="黑体" w:eastAsia="黑体" w:cs="黑体"/>
          <w:b w:val="0"/>
          <w:bCs/>
          <w:color w:val="auto"/>
          <w:kern w:val="44"/>
          <w:sz w:val="32"/>
          <w:szCs w:val="32"/>
          <w:highlight w:val="none"/>
          <w:lang w:val="en-US" w:eastAsia="zh-CN" w:bidi="ar-SA"/>
        </w:rPr>
        <w:t>第四节 加快转变政府职能</w:t>
      </w:r>
      <w:bookmarkEnd w:id="71"/>
    </w:p>
    <w:p w14:paraId="688A3D8A">
      <w:pPr>
        <w:pageBreakBefore w:val="0"/>
        <w:widowControl w:val="0"/>
        <w:kinsoku/>
        <w:wordWrap/>
        <w:overflowPunct/>
        <w:topLinePunct w:val="0"/>
        <w:bidi w:val="0"/>
        <w:adjustRightInd/>
        <w:snapToGrid/>
        <w:spacing w:line="600" w:lineRule="exact"/>
        <w:ind w:firstLine="640" w:firstLineChars="200"/>
        <w:rPr>
          <w:rFonts w:hint="eastAsia" w:ascii="仿宋" w:hAnsi="仿宋" w:eastAsia="仿宋" w:cs="仿宋"/>
          <w:color w:val="auto"/>
          <w:highlight w:val="none"/>
        </w:rPr>
      </w:pPr>
      <w:r>
        <w:rPr>
          <w:rFonts w:hint="eastAsia" w:ascii="仿宋" w:hAnsi="仿宋" w:eastAsia="仿宋" w:cs="仿宋"/>
          <w:color w:val="auto"/>
          <w:szCs w:val="32"/>
          <w:highlight w:val="none"/>
          <w:lang w:val="en-US" w:eastAsia="zh-CN"/>
        </w:rPr>
        <w:t>加强政策引导和服务，持续优化营商环境，大力提升审批效率，扎实推进重点领域改革，让项目推进更顺畅、企业办事更方便、投资者更安心。</w:t>
      </w:r>
    </w:p>
    <w:p w14:paraId="65369ACE">
      <w:pPr>
        <w:keepNext w:val="0"/>
        <w:keepLines w:val="0"/>
        <w:pageBreakBefore w:val="0"/>
        <w:widowControl w:val="0"/>
        <w:kinsoku/>
        <w:wordWrap/>
        <w:overflowPunct/>
        <w:topLinePunct w:val="0"/>
        <w:autoSpaceDE/>
        <w:autoSpaceDN/>
        <w:bidi w:val="0"/>
        <w:adjustRightInd/>
        <w:snapToGrid/>
        <w:spacing w:line="608" w:lineRule="exact"/>
        <w:ind w:firstLine="643" w:firstLineChars="200"/>
        <w:jc w:val="both"/>
        <w:textAlignment w:val="auto"/>
        <w:rPr>
          <w:rFonts w:hint="eastAsia" w:ascii="仿宋" w:hAnsi="仿宋" w:eastAsia="仿宋" w:cs="仿宋"/>
          <w:color w:val="auto"/>
          <w:szCs w:val="32"/>
          <w:highlight w:val="none"/>
          <w:lang w:eastAsia="zh-CN"/>
        </w:rPr>
      </w:pPr>
      <w:r>
        <w:rPr>
          <w:rFonts w:hint="eastAsia" w:ascii="楷体" w:hAnsi="楷体" w:eastAsia="楷体" w:cs="楷体"/>
          <w:b/>
          <w:bCs/>
          <w:color w:val="auto"/>
          <w:szCs w:val="32"/>
          <w:highlight w:val="none"/>
          <w:lang w:eastAsia="zh-CN"/>
        </w:rPr>
        <w:t>持续优化营商环境</w:t>
      </w:r>
      <w:r>
        <w:rPr>
          <w:rFonts w:hint="eastAsia" w:ascii="楷体" w:hAnsi="楷体" w:eastAsia="楷体" w:cs="楷体"/>
          <w:b/>
          <w:bCs/>
          <w:color w:val="auto"/>
          <w:szCs w:val="32"/>
          <w:highlight w:val="none"/>
        </w:rPr>
        <w:t>。</w:t>
      </w:r>
      <w:r>
        <w:rPr>
          <w:rFonts w:hint="eastAsia" w:ascii="仿宋" w:hAnsi="仿宋" w:eastAsia="仿宋" w:cs="仿宋"/>
          <w:b w:val="0"/>
          <w:bCs w:val="0"/>
          <w:color w:val="auto"/>
          <w:szCs w:val="32"/>
          <w:highlight w:val="none"/>
          <w:lang w:eastAsia="zh-CN"/>
        </w:rPr>
        <w:t>持续开展优化营商环境提升行动，推动下放乡镇和园区的经济社会管理权限落实落地。</w:t>
      </w:r>
      <w:r>
        <w:rPr>
          <w:rFonts w:hint="eastAsia" w:ascii="仿宋" w:hAnsi="仿宋" w:eastAsia="仿宋" w:cs="仿宋"/>
          <w:color w:val="auto"/>
          <w:sz w:val="32"/>
          <w:szCs w:val="32"/>
          <w:highlight w:val="none"/>
        </w:rPr>
        <w:t>落实国、省</w:t>
      </w:r>
      <w:r>
        <w:rPr>
          <w:rFonts w:hint="eastAsia" w:ascii="仿宋" w:hAnsi="仿宋" w:eastAsia="仿宋" w:cs="仿宋"/>
          <w:color w:val="auto"/>
          <w:sz w:val="32"/>
          <w:szCs w:val="32"/>
          <w:highlight w:val="none"/>
          <w:lang w:eastAsia="zh-CN"/>
        </w:rPr>
        <w:t>、邵</w:t>
      </w:r>
      <w:r>
        <w:rPr>
          <w:rFonts w:hint="eastAsia" w:ascii="仿宋" w:hAnsi="仿宋" w:eastAsia="仿宋" w:cs="仿宋"/>
          <w:color w:val="auto"/>
          <w:sz w:val="32"/>
          <w:szCs w:val="32"/>
          <w:highlight w:val="none"/>
        </w:rPr>
        <w:t>关于支持湘南湘西承接产业转移示范区建设和优化经济发展环境各项政策措施，构建“1+7+N”的</w:t>
      </w:r>
      <w:r>
        <w:rPr>
          <w:rFonts w:hint="eastAsia" w:ascii="仿宋" w:hAnsi="仿宋" w:eastAsia="仿宋" w:cs="仿宋"/>
          <w:color w:val="auto"/>
          <w:sz w:val="32"/>
          <w:szCs w:val="32"/>
          <w:highlight w:val="none"/>
          <w:lang w:val="en-US" w:eastAsia="zh-CN"/>
        </w:rPr>
        <w:t>优化营商环境工作</w:t>
      </w:r>
      <w:r>
        <w:rPr>
          <w:rFonts w:hint="eastAsia" w:ascii="仿宋" w:hAnsi="仿宋" w:eastAsia="仿宋" w:cs="仿宋"/>
          <w:color w:val="auto"/>
          <w:sz w:val="32"/>
          <w:szCs w:val="32"/>
          <w:highlight w:val="none"/>
        </w:rPr>
        <w:t>体系，</w:t>
      </w:r>
      <w:r>
        <w:rPr>
          <w:rFonts w:hint="eastAsia" w:ascii="仿宋" w:hAnsi="仿宋" w:eastAsia="仿宋" w:cs="仿宋"/>
          <w:color w:val="auto"/>
          <w:sz w:val="32"/>
          <w:szCs w:val="32"/>
          <w:highlight w:val="none"/>
          <w:lang w:eastAsia="zh-CN"/>
        </w:rPr>
        <w:t>探索优化营商环境创新</w:t>
      </w:r>
      <w:r>
        <w:rPr>
          <w:rFonts w:hint="eastAsia" w:ascii="仿宋" w:hAnsi="仿宋" w:eastAsia="仿宋" w:cs="仿宋"/>
          <w:color w:val="auto"/>
          <w:sz w:val="32"/>
          <w:szCs w:val="32"/>
          <w:highlight w:val="none"/>
        </w:rPr>
        <w:t>。</w:t>
      </w:r>
      <w:r>
        <w:rPr>
          <w:rFonts w:hint="eastAsia" w:ascii="仿宋" w:hAnsi="仿宋" w:eastAsia="仿宋" w:cs="仿宋"/>
          <w:color w:val="auto"/>
          <w:szCs w:val="32"/>
          <w:highlight w:val="none"/>
        </w:rPr>
        <w:t>健全重大政策事前评估和事后评价制度，畅通参与政策制定的渠道，提高决策科学化、民主化、法治化水平。</w:t>
      </w:r>
      <w:r>
        <w:rPr>
          <w:rFonts w:hint="eastAsia" w:ascii="仿宋" w:hAnsi="仿宋" w:eastAsia="仿宋" w:cs="仿宋"/>
          <w:color w:val="auto"/>
          <w:sz w:val="32"/>
          <w:szCs w:val="32"/>
          <w:highlight w:val="none"/>
        </w:rPr>
        <w:t>优化民营经</w:t>
      </w:r>
      <w:r>
        <w:rPr>
          <w:rFonts w:hint="eastAsia" w:ascii="仿宋" w:hAnsi="仿宋" w:eastAsia="仿宋" w:cs="仿宋"/>
          <w:color w:val="auto"/>
          <w:spacing w:val="-6"/>
          <w:sz w:val="32"/>
          <w:szCs w:val="32"/>
          <w:highlight w:val="none"/>
        </w:rPr>
        <w:t>济发展环境，构建亲清政商关系，促进非公有制经济健康发展和非公有制经济人士健康成长，破除制约民营企业发展的各种壁垒</w:t>
      </w:r>
      <w:r>
        <w:rPr>
          <w:rFonts w:hint="eastAsia" w:ascii="仿宋" w:hAnsi="仿宋" w:eastAsia="仿宋" w:cs="仿宋"/>
          <w:color w:val="auto"/>
          <w:spacing w:val="-6"/>
          <w:sz w:val="32"/>
          <w:szCs w:val="32"/>
          <w:highlight w:val="none"/>
          <w:lang w:eastAsia="zh-CN"/>
        </w:rPr>
        <w:t>。优化质量发展环境，推动质量社会共治，培育先进质量文化，提升服务业质量，营造良好的市场环境，争取将武冈市纳入省发改委优化营商环境试点改革。</w:t>
      </w:r>
    </w:p>
    <w:p w14:paraId="06AAA0C1">
      <w:pPr>
        <w:keepNext w:val="0"/>
        <w:keepLines w:val="0"/>
        <w:pageBreakBefore w:val="0"/>
        <w:widowControl w:val="0"/>
        <w:kinsoku/>
        <w:wordWrap/>
        <w:overflowPunct/>
        <w:topLinePunct w:val="0"/>
        <w:autoSpaceDE/>
        <w:autoSpaceDN/>
        <w:bidi w:val="0"/>
        <w:adjustRightInd/>
        <w:snapToGrid/>
        <w:spacing w:line="608" w:lineRule="exact"/>
        <w:ind w:firstLine="643" w:firstLineChars="200"/>
        <w:jc w:val="both"/>
        <w:textAlignment w:val="auto"/>
        <w:rPr>
          <w:color w:val="auto"/>
          <w:szCs w:val="32"/>
          <w:highlight w:val="none"/>
        </w:rPr>
      </w:pPr>
      <w:r>
        <w:rPr>
          <w:rFonts w:hint="eastAsia" w:ascii="楷体" w:hAnsi="楷体" w:eastAsia="楷体" w:cs="楷体"/>
          <w:b/>
          <w:bCs/>
          <w:color w:val="auto"/>
          <w:szCs w:val="32"/>
          <w:highlight w:val="none"/>
          <w:lang w:eastAsia="zh-CN"/>
        </w:rPr>
        <w:t>全力</w:t>
      </w:r>
      <w:r>
        <w:rPr>
          <w:rFonts w:hint="eastAsia" w:ascii="楷体" w:hAnsi="楷体" w:eastAsia="楷体" w:cs="楷体"/>
          <w:b/>
          <w:bCs/>
          <w:color w:val="auto"/>
          <w:szCs w:val="32"/>
          <w:highlight w:val="none"/>
        </w:rPr>
        <w:t>提升审批效率。</w:t>
      </w:r>
      <w:r>
        <w:rPr>
          <w:rFonts w:hint="eastAsia" w:ascii="仿宋" w:hAnsi="仿宋" w:eastAsia="仿宋" w:cs="仿宋"/>
          <w:color w:val="auto"/>
          <w:szCs w:val="32"/>
          <w:highlight w:val="none"/>
        </w:rPr>
        <w:t>全面实行政府权责清单制度，最大限度缩减政府审批范围。持续深化“放管服”改革，落实“双随机、一公开”“互联网+监管”制度，推进“一件事一次办”改革</w:t>
      </w:r>
      <w:r>
        <w:rPr>
          <w:rFonts w:hint="eastAsia" w:ascii="仿宋" w:hAnsi="仿宋" w:eastAsia="仿宋" w:cs="仿宋"/>
          <w:color w:val="auto"/>
          <w:szCs w:val="32"/>
          <w:highlight w:val="none"/>
          <w:lang w:eastAsia="zh-CN"/>
        </w:rPr>
        <w:t>，深化“马上办网上办就近办一次办”改革</w:t>
      </w:r>
      <w:r>
        <w:rPr>
          <w:rFonts w:hint="eastAsia" w:ascii="仿宋" w:hAnsi="仿宋" w:eastAsia="仿宋" w:cs="仿宋"/>
          <w:color w:val="auto"/>
          <w:szCs w:val="32"/>
          <w:highlight w:val="none"/>
        </w:rPr>
        <w:t>。强化事中事后监管，优化审批流程，推进投资</w:t>
      </w:r>
      <w:r>
        <w:rPr>
          <w:rFonts w:hint="eastAsia" w:ascii="仿宋" w:hAnsi="仿宋" w:eastAsia="仿宋" w:cs="仿宋"/>
          <w:color w:val="auto"/>
          <w:szCs w:val="32"/>
          <w:highlight w:val="none"/>
          <w:lang w:eastAsia="zh-CN"/>
        </w:rPr>
        <w:t>项目在线审批并联审批，</w:t>
      </w:r>
      <w:r>
        <w:rPr>
          <w:rFonts w:hint="eastAsia" w:ascii="仿宋" w:hAnsi="仿宋" w:eastAsia="仿宋" w:cs="仿宋"/>
          <w:color w:val="auto"/>
          <w:szCs w:val="32"/>
          <w:highlight w:val="none"/>
        </w:rPr>
        <w:t>实行企业投资项目承诺制，加快投资项目落地。加快建设智慧政务服务平台，</w:t>
      </w:r>
      <w:r>
        <w:rPr>
          <w:rFonts w:hint="eastAsia" w:ascii="仿宋" w:hAnsi="仿宋" w:eastAsia="仿宋" w:cs="仿宋"/>
          <w:color w:val="auto"/>
          <w:szCs w:val="32"/>
          <w:highlight w:val="none"/>
          <w:lang w:eastAsia="zh-CN"/>
        </w:rPr>
        <w:t>推进市乡村三级“互联网</w:t>
      </w:r>
      <w:r>
        <w:rPr>
          <w:rFonts w:hint="eastAsia" w:ascii="仿宋" w:hAnsi="仿宋" w:eastAsia="仿宋" w:cs="仿宋"/>
          <w:color w:val="auto"/>
          <w:szCs w:val="32"/>
          <w:highlight w:val="none"/>
          <w:lang w:val="en-US" w:eastAsia="zh-CN"/>
        </w:rPr>
        <w:t>+政务服务</w:t>
      </w:r>
      <w:r>
        <w:rPr>
          <w:rFonts w:hint="eastAsia" w:ascii="仿宋" w:hAnsi="仿宋" w:eastAsia="仿宋" w:cs="仿宋"/>
          <w:color w:val="auto"/>
          <w:szCs w:val="32"/>
          <w:highlight w:val="none"/>
          <w:lang w:eastAsia="zh-CN"/>
        </w:rPr>
        <w:t>”平台建设和应用，尽快实现“跨域通办”“跨省通办”。加大政务服务窗口平台整合力度，建设政务服务实体大厅，全面实现“三集中三到位”。</w:t>
      </w:r>
      <w:r>
        <w:rPr>
          <w:rFonts w:hint="eastAsia" w:ascii="仿宋" w:hAnsi="仿宋" w:eastAsia="仿宋" w:cs="仿宋"/>
          <w:color w:val="auto"/>
          <w:szCs w:val="32"/>
          <w:highlight w:val="none"/>
        </w:rPr>
        <w:t>不断优化纳税服务、不动产登记交易便民服务等，推行“非接触式”办税缴费。探索推进区域评估，推进环评制度改革，推进“多测合一、多验合一”，实施工程建设项目全过程审批。</w:t>
      </w:r>
    </w:p>
    <w:p w14:paraId="3B50363B">
      <w:pPr>
        <w:keepNext/>
        <w:keepLines/>
        <w:pageBreakBefore w:val="0"/>
        <w:widowControl w:val="0"/>
        <w:kinsoku/>
        <w:wordWrap/>
        <w:overflowPunct/>
        <w:topLinePunct w:val="0"/>
        <w:autoSpaceDE/>
        <w:autoSpaceDN/>
        <w:bidi w:val="0"/>
        <w:adjustRightInd/>
        <w:snapToGrid/>
        <w:spacing w:before="0" w:after="0" w:line="608" w:lineRule="exact"/>
        <w:ind w:firstLine="643" w:firstLineChars="200"/>
        <w:jc w:val="left"/>
        <w:textAlignment w:val="auto"/>
        <w:outlineLvl w:val="9"/>
        <w:rPr>
          <w:rFonts w:hint="eastAsia" w:ascii="仿宋" w:hAnsi="仿宋" w:eastAsia="仿宋" w:cs="仿宋"/>
          <w:b w:val="0"/>
          <w:bCs/>
          <w:color w:val="auto"/>
          <w:sz w:val="32"/>
          <w:szCs w:val="32"/>
          <w:highlight w:val="none"/>
        </w:rPr>
      </w:pPr>
      <w:r>
        <w:rPr>
          <w:rStyle w:val="24"/>
          <w:rFonts w:hint="eastAsia" w:ascii="楷体" w:hAnsi="楷体" w:eastAsia="楷体" w:cs="楷体"/>
          <w:b/>
          <w:i w:val="0"/>
          <w:caps w:val="0"/>
          <w:color w:val="auto"/>
          <w:spacing w:val="0"/>
          <w:sz w:val="32"/>
          <w:szCs w:val="32"/>
          <w:highlight w:val="none"/>
        </w:rPr>
        <w:t>扎实推进重点领域改革。</w:t>
      </w:r>
      <w:r>
        <w:rPr>
          <w:rFonts w:hint="eastAsia" w:ascii="仿宋" w:hAnsi="仿宋" w:eastAsia="仿宋" w:cs="仿宋"/>
          <w:b w:val="0"/>
          <w:bCs/>
          <w:i w:val="0"/>
          <w:caps w:val="0"/>
          <w:color w:val="auto"/>
          <w:spacing w:val="0"/>
          <w:sz w:val="32"/>
          <w:szCs w:val="32"/>
          <w:highlight w:val="none"/>
        </w:rPr>
        <w:t>加快政府职能转变，推进乡镇行政体制改革，深化综合行政执法体制改革，建立健全行政执法监督机制。健全政府债务管理、金融风险管理制度体系。统筹推进司法、医药卫生、教育、文化、养老、民兵调整改革，</w:t>
      </w:r>
      <w:r>
        <w:rPr>
          <w:rFonts w:hint="eastAsia" w:ascii="仿宋" w:hAnsi="仿宋" w:eastAsia="仿宋" w:cs="仿宋"/>
          <w:b w:val="0"/>
          <w:bCs/>
          <w:color w:val="auto"/>
          <w:sz w:val="32"/>
          <w:szCs w:val="32"/>
          <w:highlight w:val="none"/>
          <w:lang w:val="zh-CN"/>
        </w:rPr>
        <w:t>深化事业单位分类改革，强化事业单位公益属性，加快推进政事分开、事企分开、管办分离。</w:t>
      </w:r>
      <w:r>
        <w:rPr>
          <w:rFonts w:hint="eastAsia" w:ascii="仿宋" w:hAnsi="仿宋" w:eastAsia="仿宋" w:cs="仿宋"/>
          <w:b w:val="0"/>
          <w:bCs/>
          <w:i w:val="0"/>
          <w:caps w:val="0"/>
          <w:color w:val="auto"/>
          <w:spacing w:val="0"/>
          <w:sz w:val="32"/>
          <w:szCs w:val="32"/>
          <w:highlight w:val="none"/>
        </w:rPr>
        <w:t>适时推出一批破解发展瓶颈的重大改革举措，努力形成一批改革经验</w:t>
      </w:r>
      <w:r>
        <w:rPr>
          <w:rFonts w:hint="eastAsia" w:ascii="仿宋" w:hAnsi="仿宋" w:eastAsia="仿宋" w:cs="仿宋"/>
          <w:b w:val="0"/>
          <w:bCs/>
          <w:i w:val="0"/>
          <w:caps w:val="0"/>
          <w:color w:val="auto"/>
          <w:spacing w:val="0"/>
          <w:sz w:val="32"/>
          <w:szCs w:val="32"/>
          <w:highlight w:val="none"/>
          <w:lang w:eastAsia="zh-CN"/>
        </w:rPr>
        <w:t>和</w:t>
      </w:r>
      <w:r>
        <w:rPr>
          <w:rFonts w:hint="eastAsia" w:ascii="仿宋" w:hAnsi="仿宋" w:eastAsia="仿宋" w:cs="仿宋"/>
          <w:b w:val="0"/>
          <w:bCs/>
          <w:i w:val="0"/>
          <w:caps w:val="0"/>
          <w:color w:val="auto"/>
          <w:spacing w:val="0"/>
          <w:sz w:val="32"/>
          <w:szCs w:val="32"/>
          <w:highlight w:val="none"/>
        </w:rPr>
        <w:t>改革亮点，为全市经济社会发展注入新的活力。</w:t>
      </w:r>
    </w:p>
    <w:p w14:paraId="72772F3A">
      <w:pPr>
        <w:pStyle w:val="4"/>
        <w:keepNext/>
        <w:keepLines/>
        <w:pageBreakBefore w:val="0"/>
        <w:widowControl w:val="0"/>
        <w:kinsoku/>
        <w:wordWrap/>
        <w:overflowPunct/>
        <w:topLinePunct w:val="0"/>
        <w:autoSpaceDE/>
        <w:autoSpaceDN/>
        <w:bidi w:val="0"/>
        <w:adjustRightInd/>
        <w:snapToGrid/>
        <w:spacing w:before="0" w:after="0" w:line="608" w:lineRule="exact"/>
        <w:jc w:val="center"/>
        <w:textAlignment w:val="auto"/>
        <w:rPr>
          <w:rFonts w:hint="eastAsia" w:ascii="黑体" w:hAnsi="黑体" w:eastAsia="黑体" w:cs="黑体"/>
          <w:b/>
          <w:bCs/>
          <w:color w:val="auto"/>
          <w:szCs w:val="32"/>
          <w:highlight w:val="none"/>
        </w:rPr>
      </w:pPr>
      <w:bookmarkStart w:id="72" w:name="_Toc14596"/>
      <w:r>
        <w:rPr>
          <w:rFonts w:hint="eastAsia" w:ascii="黑体" w:hAnsi="黑体" w:eastAsia="黑体" w:cs="黑体"/>
          <w:b w:val="0"/>
          <w:bCs/>
          <w:color w:val="auto"/>
          <w:kern w:val="44"/>
          <w:sz w:val="32"/>
          <w:szCs w:val="32"/>
          <w:highlight w:val="none"/>
          <w:lang w:val="en-US" w:eastAsia="zh-CN" w:bidi="ar-SA"/>
        </w:rPr>
        <w:t>第五节 打造对外开放高地</w:t>
      </w:r>
      <w:bookmarkEnd w:id="72"/>
    </w:p>
    <w:p w14:paraId="1DC69A5B">
      <w:pPr>
        <w:pageBreakBefore w:val="0"/>
        <w:widowControl w:val="0"/>
        <w:kinsoku/>
        <w:wordWrap/>
        <w:overflowPunct/>
        <w:topLinePunct w:val="0"/>
        <w:autoSpaceDE/>
        <w:autoSpaceDN/>
        <w:bidi w:val="0"/>
        <w:adjustRightInd/>
        <w:snapToGrid/>
        <w:spacing w:line="608" w:lineRule="exact"/>
        <w:ind w:firstLine="64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加快提升区域开放水平，紧紧抓住“一带一路”、中部崛起、粤港澳大湾区、湘南湘西承接产业转移示范区、湖南自贸区等战略机遇，统筹对内对外开放合作，打造高端平台、吸引高端要素、发展高端产业，加快打造湘西南对外开放高地。</w:t>
      </w:r>
    </w:p>
    <w:p w14:paraId="7795AF45">
      <w:pPr>
        <w:pageBreakBefore w:val="0"/>
        <w:widowControl w:val="0"/>
        <w:kinsoku/>
        <w:wordWrap/>
        <w:overflowPunct/>
        <w:topLinePunct w:val="0"/>
        <w:autoSpaceDE/>
        <w:autoSpaceDN/>
        <w:bidi w:val="0"/>
        <w:adjustRightInd/>
        <w:snapToGrid/>
        <w:spacing w:line="608"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rPr>
        <w:t>着力构建开放型新体制机制。</w:t>
      </w:r>
      <w:r>
        <w:rPr>
          <w:rFonts w:hint="eastAsia" w:ascii="仿宋" w:hAnsi="仿宋" w:eastAsia="仿宋" w:cs="仿宋"/>
          <w:color w:val="auto"/>
          <w:szCs w:val="32"/>
          <w:highlight w:val="none"/>
        </w:rPr>
        <w:t>健全外商投资准入前国民待遇加负面清单的管理制度，实行备案为主、</w:t>
      </w:r>
      <w:r>
        <w:rPr>
          <w:rFonts w:hint="eastAsia" w:ascii="仿宋" w:hAnsi="仿宋" w:eastAsia="仿宋" w:cs="仿宋"/>
          <w:color w:val="auto"/>
          <w:szCs w:val="32"/>
          <w:highlight w:val="none"/>
          <w:lang w:eastAsia="zh-CN"/>
        </w:rPr>
        <w:t>核准</w:t>
      </w:r>
      <w:r>
        <w:rPr>
          <w:rFonts w:hint="eastAsia" w:ascii="仿宋" w:hAnsi="仿宋" w:eastAsia="仿宋" w:cs="仿宋"/>
          <w:color w:val="auto"/>
          <w:szCs w:val="32"/>
          <w:highlight w:val="none"/>
        </w:rPr>
        <w:t>为辅的管理模式。推进贸易创新发展，大力发展贸易新业态，健全服务贸易促进机制，构建境外外贸公共服务体系，拓展对外贸易多元化，增强对外贸易综合竞争力。培育、引进高端进出口物流企业和进出口代理公司，畅通产品出口通道。灵活运用退税、贴息、金融支持等政策，为企业扩大进出口和发展境外业务提供全方位服务，提升外贸综合服务水平，形成外贸企业松绑减负长效机制。完善海外风险评估和安全预警机制，健全贸易摩擦应对机制。</w:t>
      </w:r>
    </w:p>
    <w:p w14:paraId="18361BF3">
      <w:pPr>
        <w:keepNext w:val="0"/>
        <w:keepLines w:val="0"/>
        <w:pageBreakBefore w:val="0"/>
        <w:widowControl w:val="0"/>
        <w:kinsoku/>
        <w:wordWrap/>
        <w:overflowPunct/>
        <w:topLinePunct w:val="0"/>
        <w:autoSpaceDE/>
        <w:autoSpaceDN/>
        <w:bidi w:val="0"/>
        <w:adjustRightInd/>
        <w:snapToGrid/>
        <w:spacing w:after="157" w:afterLines="50" w:line="600" w:lineRule="exact"/>
        <w:ind w:firstLine="561"/>
        <w:jc w:val="both"/>
        <w:textAlignment w:val="auto"/>
        <w:rPr>
          <w:rFonts w:hint="eastAsia" w:ascii="仿宋" w:hAnsi="仿宋" w:eastAsia="仿宋" w:cs="仿宋"/>
          <w:color w:val="auto"/>
          <w:highlight w:val="none"/>
          <w:lang w:eastAsia="zh-CN"/>
        </w:rPr>
      </w:pPr>
      <w:r>
        <w:rPr>
          <w:rFonts w:hint="eastAsia" w:ascii="楷体" w:hAnsi="楷体" w:eastAsia="楷体" w:cs="楷体"/>
          <w:b/>
          <w:bCs/>
          <w:color w:val="auto"/>
          <w:szCs w:val="32"/>
          <w:highlight w:val="none"/>
        </w:rPr>
        <w:t>实现高水平引进来走出去。</w:t>
      </w:r>
      <w:r>
        <w:rPr>
          <w:rFonts w:hint="eastAsia" w:ascii="仿宋" w:hAnsi="仿宋" w:eastAsia="仿宋" w:cs="仿宋"/>
          <w:color w:val="auto"/>
          <w:highlight w:val="none"/>
        </w:rPr>
        <w:t>依托武冈机场，建设临空经济区，打通航空物流和跨境</w:t>
      </w:r>
      <w:r>
        <w:rPr>
          <w:rFonts w:hint="eastAsia" w:ascii="仿宋" w:hAnsi="仿宋" w:eastAsia="仿宋" w:cs="仿宋"/>
          <w:color w:val="auto"/>
          <w:highlight w:val="none"/>
          <w:lang w:eastAsia="zh-CN"/>
        </w:rPr>
        <w:t>电商</w:t>
      </w:r>
      <w:r>
        <w:rPr>
          <w:rFonts w:hint="eastAsia" w:ascii="仿宋" w:hAnsi="仿宋" w:eastAsia="仿宋" w:cs="仿宋"/>
          <w:color w:val="auto"/>
          <w:highlight w:val="none"/>
        </w:rPr>
        <w:t>，加快</w:t>
      </w:r>
      <w:r>
        <w:rPr>
          <w:rFonts w:hint="eastAsia" w:ascii="仿宋" w:hAnsi="仿宋" w:eastAsia="仿宋" w:cs="仿宋"/>
          <w:color w:val="auto"/>
          <w:highlight w:val="none"/>
          <w:lang w:eastAsia="zh-CN"/>
        </w:rPr>
        <w:t>荷塘临空跨境商品展销中心</w:t>
      </w:r>
      <w:r>
        <w:rPr>
          <w:rFonts w:hint="eastAsia" w:ascii="仿宋" w:hAnsi="仿宋" w:eastAsia="仿宋" w:cs="仿宋"/>
          <w:color w:val="auto"/>
          <w:highlight w:val="none"/>
        </w:rPr>
        <w:t>建设，积极发挥保税加工、保税物流、外贸口岸功能。注重引老乡、回故乡、建家乡，</w:t>
      </w:r>
      <w:r>
        <w:rPr>
          <w:rFonts w:hint="eastAsia" w:ascii="仿宋" w:hAnsi="仿宋" w:eastAsia="仿宋" w:cs="仿宋"/>
          <w:color w:val="auto"/>
          <w:highlight w:val="none"/>
          <w:lang w:eastAsia="zh-CN"/>
        </w:rPr>
        <w:t>大力引进总部经济项目、“三类</w:t>
      </w:r>
      <w:r>
        <w:rPr>
          <w:rFonts w:hint="eastAsia" w:ascii="仿宋" w:hAnsi="仿宋" w:eastAsia="仿宋" w:cs="仿宋"/>
          <w:color w:val="auto"/>
          <w:highlight w:val="none"/>
          <w:lang w:val="en-US" w:eastAsia="zh-CN"/>
        </w:rPr>
        <w:t>500强</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企业、产业龙头企业，</w:t>
      </w:r>
      <w:r>
        <w:rPr>
          <w:rFonts w:hint="eastAsia" w:ascii="仿宋" w:hAnsi="仿宋" w:eastAsia="仿宋" w:cs="仿宋"/>
          <w:color w:val="auto"/>
          <w:highlight w:val="none"/>
        </w:rPr>
        <w:t>提升开放型经济发展新动能。大力开展对外贸易提升行动，鼓励企业自主创新，加大关键设备和核心技术引进，加强对引进技术设备的消化吸收与再创新，提升特色产业的核心竞争力。鼓励开展对外承包工程和劳务输出，积极拓展东盟、非洲等新兴市场，组织企业参加各类国际性展会，助推企业开拓海外市场。推动跨境电子商务发展，扩大电子商务在外贸中的应用，利用电商渠道，减少企业进出口成本，降低出口风险，推动武冈产品和品牌加快“走出去”。力争到2025年，全市实际利用外资9755万美元，年均增长15%以上。进出口</w:t>
      </w:r>
      <w:r>
        <w:rPr>
          <w:rFonts w:hint="eastAsia" w:ascii="仿宋" w:hAnsi="仿宋" w:eastAsia="仿宋" w:cs="仿宋"/>
          <w:color w:val="auto"/>
          <w:highlight w:val="none"/>
          <w:lang w:eastAsia="zh-CN"/>
        </w:rPr>
        <w:t>总额</w:t>
      </w:r>
      <w:r>
        <w:rPr>
          <w:rFonts w:hint="eastAsia" w:ascii="仿宋" w:hAnsi="仿宋" w:eastAsia="仿宋" w:cs="仿宋"/>
          <w:color w:val="auto"/>
          <w:highlight w:val="none"/>
        </w:rPr>
        <w:t>达到</w:t>
      </w:r>
      <w:r>
        <w:rPr>
          <w:rFonts w:hint="eastAsia" w:ascii="仿宋" w:hAnsi="仿宋" w:eastAsia="仿宋" w:cs="仿宋"/>
          <w:color w:val="auto"/>
          <w:highlight w:val="none"/>
          <w:lang w:val="en-US" w:eastAsia="zh-CN"/>
        </w:rPr>
        <w:t>4430</w:t>
      </w:r>
      <w:r>
        <w:rPr>
          <w:rFonts w:hint="eastAsia" w:ascii="仿宋" w:hAnsi="仿宋" w:eastAsia="仿宋" w:cs="仿宋"/>
          <w:color w:val="auto"/>
          <w:highlight w:val="none"/>
        </w:rPr>
        <w:t>万美元以上，年均增长</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5%。</w:t>
      </w:r>
    </w:p>
    <w:tbl>
      <w:tblPr>
        <w:tblStyle w:val="21"/>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12"/>
      </w:tblGrid>
      <w:tr w14:paraId="376A0A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5000" w:type="pct"/>
            <w:tcBorders>
              <w:tl2br w:val="nil"/>
              <w:tr2bl w:val="nil"/>
            </w:tcBorders>
            <w:shd w:val="clear" w:color="auto" w:fill="auto"/>
            <w:tcMar>
              <w:top w:w="12" w:type="dxa"/>
              <w:left w:w="12" w:type="dxa"/>
              <w:right w:w="12" w:type="dxa"/>
            </w:tcMar>
            <w:vAlign w:val="center"/>
          </w:tcPr>
          <w:p w14:paraId="63BDE21C">
            <w:pPr>
              <w:pageBreakBefore w:val="0"/>
              <w:wordWrap/>
              <w:topLinePunct w:val="0"/>
              <w:bidi w:val="0"/>
              <w:adjustRightInd/>
              <w:snapToGrid/>
              <w:spacing w:before="0" w:after="0" w:line="600" w:lineRule="exact"/>
              <w:jc w:val="center"/>
              <w:textAlignment w:val="center"/>
              <w:rPr>
                <w:rFonts w:ascii="Times New Roman" w:hAnsi="Times New Roman" w:eastAsia="宋体" w:cs="Times New Roman"/>
                <w:b/>
                <w:color w:val="auto"/>
                <w:sz w:val="32"/>
                <w:szCs w:val="32"/>
                <w:highlight w:val="none"/>
              </w:rPr>
            </w:pPr>
            <w:r>
              <w:rPr>
                <w:rFonts w:hint="eastAsia" w:ascii="宋体" w:hAnsi="宋体" w:eastAsia="宋体" w:cs="宋体"/>
                <w:b/>
                <w:bCs w:val="0"/>
                <w:color w:val="auto"/>
                <w:kern w:val="0"/>
                <w:sz w:val="28"/>
                <w:szCs w:val="28"/>
                <w:highlight w:val="none"/>
                <w:lang w:bidi="ar"/>
              </w:rPr>
              <w:t>专栏</w:t>
            </w:r>
            <w:r>
              <w:rPr>
                <w:rFonts w:hint="eastAsia" w:ascii="宋体" w:hAnsi="宋体" w:eastAsia="宋体" w:cs="宋体"/>
                <w:b/>
                <w:bCs w:val="0"/>
                <w:color w:val="auto"/>
                <w:kern w:val="0"/>
                <w:sz w:val="28"/>
                <w:szCs w:val="28"/>
                <w:highlight w:val="none"/>
                <w:lang w:val="en-US" w:eastAsia="zh-CN" w:bidi="ar"/>
              </w:rPr>
              <w:t>7</w:t>
            </w:r>
            <w:r>
              <w:rPr>
                <w:rFonts w:hint="eastAsia" w:ascii="宋体" w:hAnsi="宋体" w:eastAsia="宋体" w:cs="宋体"/>
                <w:b/>
                <w:bCs w:val="0"/>
                <w:color w:val="auto"/>
                <w:kern w:val="0"/>
                <w:sz w:val="28"/>
                <w:szCs w:val="28"/>
                <w:highlight w:val="none"/>
                <w:lang w:bidi="ar"/>
              </w:rPr>
              <w:t>：临空经济区建设行动</w:t>
            </w:r>
          </w:p>
        </w:tc>
      </w:tr>
      <w:tr w14:paraId="24356E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5000" w:type="pct"/>
            <w:tcBorders>
              <w:tl2br w:val="nil"/>
              <w:tr2bl w:val="nil"/>
            </w:tcBorders>
            <w:shd w:val="clear" w:color="auto" w:fill="auto"/>
            <w:tcMar>
              <w:top w:w="12" w:type="dxa"/>
              <w:left w:w="12" w:type="dxa"/>
              <w:right w:w="12" w:type="dxa"/>
            </w:tcMar>
            <w:vAlign w:val="center"/>
          </w:tcPr>
          <w:p w14:paraId="1DCE25E0">
            <w:pPr>
              <w:keepNext w:val="0"/>
              <w:keepLines w:val="0"/>
              <w:pageBreakBefore w:val="0"/>
              <w:widowControl w:val="0"/>
              <w:kinsoku/>
              <w:wordWrap/>
              <w:overflowPunct/>
              <w:topLinePunct w:val="0"/>
              <w:autoSpaceDE/>
              <w:autoSpaceDN/>
              <w:bidi w:val="0"/>
              <w:adjustRightInd/>
              <w:snapToGrid/>
              <w:spacing w:before="0" w:after="0" w:line="608" w:lineRule="exact"/>
              <w:ind w:firstLine="560" w:firstLineChars="200"/>
              <w:jc w:val="both"/>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托武冈机场，着力优化发展环境，不断深化开放合作和改革创新，强化与中心城区、工业园区以及公路、水运网络的连接，引导周围产业的聚集发展，构建以航空运输业为基础，临空制造业、航空食品、旅游休闲为支撑的产业体系，着力打造集临空工业区、临空物流园区、临空服务区为一体的辐射周边的临空经济区。</w:t>
            </w:r>
          </w:p>
          <w:p w14:paraId="41ED590B">
            <w:pPr>
              <w:pStyle w:val="9"/>
              <w:keepNext w:val="0"/>
              <w:keepLines w:val="0"/>
              <w:pageBreakBefore w:val="0"/>
              <w:widowControl w:val="0"/>
              <w:kinsoku/>
              <w:wordWrap/>
              <w:overflowPunct/>
              <w:topLinePunct w:val="0"/>
              <w:autoSpaceDE/>
              <w:autoSpaceDN/>
              <w:bidi w:val="0"/>
              <w:adjustRightInd/>
              <w:snapToGrid/>
              <w:spacing w:line="608" w:lineRule="exact"/>
              <w:ind w:firstLine="562" w:firstLineChars="200"/>
              <w:rPr>
                <w:rFonts w:hint="eastAsia" w:ascii="仿宋" w:hAnsi="仿宋" w:eastAsia="仿宋" w:cs="仿宋"/>
                <w:color w:val="auto"/>
                <w:sz w:val="28"/>
                <w:highlight w:val="none"/>
              </w:rPr>
            </w:pPr>
            <w:r>
              <w:rPr>
                <w:rFonts w:hint="eastAsia" w:ascii="仿宋" w:hAnsi="仿宋" w:cs="仿宋"/>
                <w:b/>
                <w:bCs/>
                <w:color w:val="auto"/>
                <w:sz w:val="28"/>
                <w:highlight w:val="none"/>
                <w:lang w:val="en-US" w:eastAsia="zh-CN"/>
              </w:rPr>
              <w:t>1.</w:t>
            </w:r>
            <w:r>
              <w:rPr>
                <w:rFonts w:hint="eastAsia" w:ascii="仿宋" w:hAnsi="仿宋" w:eastAsia="仿宋" w:cs="仿宋"/>
                <w:b/>
                <w:bCs/>
                <w:color w:val="auto"/>
                <w:sz w:val="28"/>
                <w:highlight w:val="none"/>
              </w:rPr>
              <w:t>航空运输业：</w:t>
            </w:r>
            <w:r>
              <w:rPr>
                <w:rFonts w:hint="eastAsia" w:ascii="仿宋" w:hAnsi="仿宋" w:eastAsia="仿宋" w:cs="仿宋"/>
                <w:color w:val="auto"/>
                <w:sz w:val="28"/>
                <w:highlight w:val="none"/>
              </w:rPr>
              <w:t>以构建和拓展区域性航空枢纽货运功能为主攻方向，重点发展航空快递、产业物流、口岸物流、保税物流等，规划建设航空物流园和跨境电商园，开通国际航线，打造湘中湘西南对外贸易空中通道、湘中湘西南客货流重要集散地。</w:t>
            </w:r>
          </w:p>
          <w:p w14:paraId="20035BFD">
            <w:pPr>
              <w:pStyle w:val="9"/>
              <w:keepNext w:val="0"/>
              <w:keepLines w:val="0"/>
              <w:pageBreakBefore w:val="0"/>
              <w:widowControl w:val="0"/>
              <w:kinsoku/>
              <w:wordWrap/>
              <w:overflowPunct/>
              <w:topLinePunct w:val="0"/>
              <w:autoSpaceDE/>
              <w:autoSpaceDN/>
              <w:bidi w:val="0"/>
              <w:adjustRightInd/>
              <w:snapToGrid/>
              <w:spacing w:line="608" w:lineRule="exact"/>
              <w:ind w:firstLine="562" w:firstLineChars="200"/>
              <w:rPr>
                <w:rFonts w:hint="eastAsia" w:ascii="仿宋" w:hAnsi="仿宋" w:eastAsia="仿宋" w:cs="仿宋"/>
                <w:color w:val="auto"/>
                <w:sz w:val="28"/>
                <w:highlight w:val="none"/>
              </w:rPr>
            </w:pPr>
            <w:r>
              <w:rPr>
                <w:rFonts w:hint="eastAsia" w:ascii="仿宋" w:hAnsi="仿宋" w:cs="仿宋"/>
                <w:b/>
                <w:bCs/>
                <w:color w:val="auto"/>
                <w:sz w:val="28"/>
                <w:highlight w:val="none"/>
                <w:lang w:val="en-US" w:eastAsia="zh-CN"/>
              </w:rPr>
              <w:t>2.</w:t>
            </w:r>
            <w:r>
              <w:rPr>
                <w:rFonts w:hint="eastAsia" w:ascii="仿宋" w:hAnsi="仿宋" w:eastAsia="仿宋" w:cs="仿宋"/>
                <w:b/>
                <w:bCs/>
                <w:color w:val="auto"/>
                <w:sz w:val="28"/>
                <w:highlight w:val="none"/>
              </w:rPr>
              <w:t>临空制造业：</w:t>
            </w:r>
            <w:r>
              <w:rPr>
                <w:rFonts w:hint="eastAsia" w:ascii="仿宋" w:hAnsi="仿宋" w:eastAsia="仿宋" w:cs="仿宋"/>
                <w:color w:val="auto"/>
                <w:sz w:val="28"/>
                <w:highlight w:val="none"/>
              </w:rPr>
              <w:t>发挥湘西南航空枢纽机场优势，把握周边通用航空机场建设契机，培育引进以创新为主的通用航空器研发和总装业务，大力发展各类飞行器复合材料及关键零部件，积极拓展国际合作和转包生产项目，配套发展专用设备、航空特种装备、航空模具加工等关联产业，打造区域知名的航空制造产业集群。</w:t>
            </w:r>
          </w:p>
          <w:p w14:paraId="72B99C2F">
            <w:pPr>
              <w:pStyle w:val="9"/>
              <w:keepNext w:val="0"/>
              <w:keepLines w:val="0"/>
              <w:pageBreakBefore w:val="0"/>
              <w:widowControl w:val="0"/>
              <w:kinsoku/>
              <w:wordWrap/>
              <w:overflowPunct/>
              <w:topLinePunct w:val="0"/>
              <w:autoSpaceDE/>
              <w:autoSpaceDN/>
              <w:bidi w:val="0"/>
              <w:adjustRightInd/>
              <w:snapToGrid/>
              <w:spacing w:line="608" w:lineRule="exact"/>
              <w:ind w:firstLine="562" w:firstLineChars="200"/>
              <w:rPr>
                <w:rFonts w:hint="eastAsia" w:ascii="仿宋" w:hAnsi="仿宋" w:eastAsia="仿宋" w:cs="仿宋"/>
                <w:color w:val="auto"/>
                <w:sz w:val="28"/>
                <w:highlight w:val="none"/>
              </w:rPr>
            </w:pPr>
            <w:r>
              <w:rPr>
                <w:rFonts w:hint="eastAsia" w:ascii="仿宋" w:hAnsi="仿宋" w:cs="仿宋"/>
                <w:b/>
                <w:bCs/>
                <w:color w:val="auto"/>
                <w:sz w:val="28"/>
                <w:highlight w:val="none"/>
                <w:lang w:val="en-US" w:eastAsia="zh-CN"/>
              </w:rPr>
              <w:t>3.</w:t>
            </w:r>
            <w:r>
              <w:rPr>
                <w:rFonts w:hint="eastAsia" w:ascii="仿宋" w:hAnsi="仿宋" w:eastAsia="仿宋" w:cs="仿宋"/>
                <w:b/>
                <w:bCs/>
                <w:color w:val="auto"/>
                <w:sz w:val="28"/>
                <w:highlight w:val="none"/>
              </w:rPr>
              <w:t>航空食品：</w:t>
            </w:r>
            <w:r>
              <w:rPr>
                <w:rFonts w:hint="eastAsia" w:ascii="仿宋" w:hAnsi="仿宋" w:eastAsia="仿宋" w:cs="仿宋"/>
                <w:color w:val="auto"/>
                <w:sz w:val="28"/>
                <w:highlight w:val="none"/>
              </w:rPr>
              <w:t>立足天然生态优势及食品加工基础，以无公害、绿色有机为方向，改进食品配餐生产技术、工艺和方法，创新食品配餐品种和结构，积极发展食品饮料、干果、半成品食品、地面食品、调味品、餐食原材料及航空休闲食品等产品，打造区域知名航空食品基地。</w:t>
            </w:r>
          </w:p>
          <w:p w14:paraId="0C2E0F0E">
            <w:pPr>
              <w:pStyle w:val="9"/>
              <w:keepNext w:val="0"/>
              <w:keepLines w:val="0"/>
              <w:pageBreakBefore w:val="0"/>
              <w:widowControl w:val="0"/>
              <w:kinsoku/>
              <w:wordWrap/>
              <w:overflowPunct/>
              <w:topLinePunct w:val="0"/>
              <w:autoSpaceDE/>
              <w:autoSpaceDN/>
              <w:bidi w:val="0"/>
              <w:adjustRightInd/>
              <w:snapToGrid/>
              <w:spacing w:line="608" w:lineRule="exact"/>
              <w:ind w:firstLine="562" w:firstLineChars="200"/>
              <w:rPr>
                <w:rFonts w:hint="eastAsia" w:ascii="Times New Roman" w:hAnsi="Times New Roman" w:eastAsia="宋体" w:cs="Times New Roman"/>
                <w:color w:val="auto"/>
                <w:highlight w:val="none"/>
              </w:rPr>
            </w:pPr>
            <w:r>
              <w:rPr>
                <w:rFonts w:hint="eastAsia" w:ascii="仿宋" w:hAnsi="仿宋" w:cs="仿宋"/>
                <w:b/>
                <w:bCs/>
                <w:color w:val="auto"/>
                <w:sz w:val="28"/>
                <w:highlight w:val="none"/>
                <w:lang w:val="en-US" w:eastAsia="zh-CN"/>
              </w:rPr>
              <w:t>4.</w:t>
            </w:r>
            <w:r>
              <w:rPr>
                <w:rFonts w:hint="eastAsia" w:ascii="仿宋" w:hAnsi="仿宋" w:eastAsia="仿宋" w:cs="仿宋"/>
                <w:b/>
                <w:bCs/>
                <w:color w:val="auto"/>
                <w:sz w:val="28"/>
                <w:highlight w:val="none"/>
              </w:rPr>
              <w:t>旅游休闲：</w:t>
            </w:r>
            <w:r>
              <w:rPr>
                <w:rFonts w:hint="eastAsia" w:ascii="仿宋" w:hAnsi="仿宋" w:eastAsia="仿宋" w:cs="仿宋"/>
                <w:color w:val="auto"/>
                <w:sz w:val="28"/>
                <w:highlight w:val="none"/>
              </w:rPr>
              <w:t>立足西南地区黄金旅游线重要节点优势，推进旅游业与航空运输业深度融合，鼓励旅行社、航空公司设计符合市场需求的“机+宿”“机+景”等航空旅游产品，搭建“航空+旅游+酒店”连锁服务平台，打造航空旅游休闲服务体系。</w:t>
            </w:r>
          </w:p>
        </w:tc>
      </w:tr>
    </w:tbl>
    <w:p w14:paraId="233715E8">
      <w:pPr>
        <w:keepNext w:val="0"/>
        <w:keepLines w:val="0"/>
        <w:pageBreakBefore w:val="0"/>
        <w:widowControl w:val="0"/>
        <w:kinsoku/>
        <w:wordWrap/>
        <w:overflowPunct/>
        <w:topLinePunct w:val="0"/>
        <w:autoSpaceDE/>
        <w:autoSpaceDN/>
        <w:bidi w:val="0"/>
        <w:adjustRightInd/>
        <w:snapToGrid/>
        <w:spacing w:after="157" w:afterLines="50" w:line="620" w:lineRule="atLeast"/>
        <w:ind w:firstLine="643" w:firstLineChars="200"/>
        <w:textAlignment w:val="auto"/>
        <w:rPr>
          <w:rFonts w:hint="eastAsia" w:ascii="仿宋" w:hAnsi="仿宋" w:eastAsia="仿宋" w:cs="仿宋"/>
          <w:color w:val="auto"/>
          <w:szCs w:val="32"/>
          <w:highlight w:val="none"/>
        </w:rPr>
      </w:pPr>
      <w:r>
        <w:rPr>
          <w:rFonts w:hint="eastAsia" w:ascii="楷体" w:hAnsi="楷体" w:eastAsia="楷体" w:cs="楷体"/>
          <w:b/>
          <w:bCs/>
          <w:color w:val="auto"/>
          <w:szCs w:val="32"/>
          <w:highlight w:val="none"/>
          <w:lang w:val="en-US" w:eastAsia="zh-CN"/>
        </w:rPr>
        <w:t>加强</w:t>
      </w:r>
      <w:r>
        <w:rPr>
          <w:rFonts w:hint="eastAsia" w:ascii="楷体" w:hAnsi="楷体" w:eastAsia="楷体" w:cs="楷体"/>
          <w:b/>
          <w:bCs/>
          <w:color w:val="auto"/>
          <w:szCs w:val="32"/>
          <w:highlight w:val="none"/>
        </w:rPr>
        <w:t>区域合作与国际交流。</w:t>
      </w:r>
      <w:r>
        <w:rPr>
          <w:rFonts w:hint="eastAsia" w:ascii="仿宋" w:hAnsi="仿宋" w:eastAsia="仿宋" w:cs="仿宋"/>
          <w:bCs/>
          <w:color w:val="auto"/>
          <w:szCs w:val="32"/>
          <w:highlight w:val="none"/>
        </w:rPr>
        <w:t>充分发挥武冈作为邵阳西部生态圈</w:t>
      </w:r>
      <w:r>
        <w:rPr>
          <w:rFonts w:hint="eastAsia" w:ascii="仿宋" w:hAnsi="仿宋" w:eastAsia="仿宋" w:cs="仿宋"/>
          <w:bCs/>
          <w:color w:val="auto"/>
          <w:szCs w:val="32"/>
          <w:highlight w:val="none"/>
          <w:lang w:eastAsia="zh-CN"/>
        </w:rPr>
        <w:t>中</w:t>
      </w:r>
      <w:r>
        <w:rPr>
          <w:rFonts w:hint="eastAsia" w:ascii="仿宋" w:hAnsi="仿宋" w:eastAsia="仿宋" w:cs="仿宋"/>
          <w:bCs/>
          <w:color w:val="auto"/>
          <w:szCs w:val="32"/>
          <w:highlight w:val="none"/>
        </w:rPr>
        <w:t>心城市作用，推动</w:t>
      </w:r>
      <w:r>
        <w:rPr>
          <w:rFonts w:hint="eastAsia" w:ascii="仿宋" w:hAnsi="仿宋" w:eastAsia="仿宋" w:cs="仿宋"/>
          <w:bCs/>
          <w:color w:val="auto"/>
          <w:szCs w:val="32"/>
          <w:highlight w:val="none"/>
          <w:lang w:eastAsia="zh-CN"/>
        </w:rPr>
        <w:t>与</w:t>
      </w:r>
      <w:r>
        <w:rPr>
          <w:rFonts w:hint="eastAsia" w:ascii="仿宋" w:hAnsi="仿宋" w:eastAsia="仿宋" w:cs="仿宋"/>
          <w:bCs/>
          <w:color w:val="auto"/>
          <w:szCs w:val="32"/>
          <w:highlight w:val="none"/>
        </w:rPr>
        <w:t>周边县市在经济社会发展、公共服务提供、基础设施建设等领域的合作，协同推进西部精品生态文化旅游路线建设，开创投资错位、产业互补和社会协同的合作发展新局面。</w:t>
      </w:r>
      <w:r>
        <w:rPr>
          <w:rFonts w:hint="eastAsia" w:ascii="仿宋" w:hAnsi="仿宋" w:eastAsia="仿宋" w:cs="仿宋"/>
          <w:color w:val="auto"/>
          <w:szCs w:val="32"/>
          <w:highlight w:val="none"/>
          <w:lang w:eastAsia="zh-CN"/>
        </w:rPr>
        <w:t>加强与</w:t>
      </w:r>
      <w:r>
        <w:rPr>
          <w:rFonts w:hint="eastAsia" w:ascii="仿宋" w:hAnsi="仿宋" w:eastAsia="仿宋" w:cs="仿宋"/>
          <w:color w:val="auto"/>
          <w:szCs w:val="32"/>
          <w:highlight w:val="none"/>
        </w:rPr>
        <w:t>长株潭城市群、长江中游城市群、珠三角和长三角以及京津冀等城市群对接合作，</w:t>
      </w:r>
      <w:r>
        <w:rPr>
          <w:rFonts w:hint="eastAsia" w:ascii="仿宋" w:hAnsi="仿宋" w:eastAsia="仿宋" w:cs="仿宋"/>
          <w:color w:val="auto"/>
          <w:szCs w:val="32"/>
          <w:highlight w:val="none"/>
          <w:lang w:eastAsia="zh-CN"/>
        </w:rPr>
        <w:t>加快湘南湘西承接产业转移示范区建设，借力省邵平台，促航空机场变航空优势，探索对非合作和东盟贸易交流的“武冈模式”，打通航空物流和跨境商务有效衔接渠道，积极开展国际贸易、物流服务、电商平台、制造加工、现代农业等领域合作，提升经济发展效益和水平。</w:t>
      </w:r>
      <w:r>
        <w:rPr>
          <w:rFonts w:hint="eastAsia" w:ascii="仿宋" w:hAnsi="仿宋" w:eastAsia="仿宋" w:cs="仿宋"/>
          <w:color w:val="auto"/>
          <w:spacing w:val="0"/>
          <w:sz w:val="32"/>
          <w:szCs w:val="32"/>
          <w:highlight w:val="none"/>
          <w:lang w:val="en-US" w:eastAsia="zh-CN"/>
        </w:rPr>
        <w:t>建成对接非洲、东盟、粤港澳、北部湾的物流集散中心，助推武冈品牌和产品更高水平“走出去”。</w:t>
      </w:r>
    </w:p>
    <w:tbl>
      <w:tblPr>
        <w:tblStyle w:val="21"/>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812"/>
      </w:tblGrid>
      <w:tr w14:paraId="7AEBEE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14:paraId="36B2937F">
            <w:pPr>
              <w:keepNext w:val="0"/>
              <w:keepLines w:val="0"/>
              <w:pageBreakBefore w:val="0"/>
              <w:widowControl w:val="0"/>
              <w:kinsoku/>
              <w:wordWrap/>
              <w:overflowPunct/>
              <w:topLinePunct w:val="0"/>
              <w:autoSpaceDE/>
              <w:autoSpaceDN/>
              <w:bidi w:val="0"/>
              <w:adjustRightInd/>
              <w:snapToGrid/>
              <w:spacing w:before="0" w:after="0" w:line="620" w:lineRule="atLeast"/>
              <w:jc w:val="center"/>
              <w:textAlignment w:val="center"/>
              <w:rPr>
                <w:rFonts w:ascii="Times New Roman" w:hAnsi="Times New Roman" w:eastAsia="宋体" w:cs="Times New Roman"/>
                <w:b/>
                <w:color w:val="auto"/>
                <w:sz w:val="32"/>
                <w:szCs w:val="32"/>
                <w:highlight w:val="none"/>
              </w:rPr>
            </w:pPr>
            <w:r>
              <w:rPr>
                <w:rFonts w:hint="eastAsia" w:ascii="宋体" w:hAnsi="宋体" w:eastAsia="宋体" w:cs="宋体"/>
                <w:b/>
                <w:color w:val="auto"/>
                <w:kern w:val="0"/>
                <w:sz w:val="28"/>
                <w:szCs w:val="28"/>
                <w:highlight w:val="none"/>
                <w:lang w:bidi="ar"/>
              </w:rPr>
              <w:t>专栏</w:t>
            </w:r>
            <w:r>
              <w:rPr>
                <w:rFonts w:hint="eastAsia" w:ascii="宋体" w:hAnsi="宋体" w:eastAsia="宋体" w:cs="宋体"/>
                <w:b/>
                <w:color w:val="auto"/>
                <w:kern w:val="0"/>
                <w:sz w:val="28"/>
                <w:szCs w:val="28"/>
                <w:highlight w:val="none"/>
                <w:lang w:val="en-US" w:eastAsia="zh-CN" w:bidi="ar"/>
              </w:rPr>
              <w:t>8</w:t>
            </w:r>
            <w:r>
              <w:rPr>
                <w:rFonts w:hint="eastAsia" w:ascii="宋体" w:hAnsi="宋体" w:eastAsia="宋体" w:cs="宋体"/>
                <w:b/>
                <w:color w:val="auto"/>
                <w:kern w:val="0"/>
                <w:sz w:val="28"/>
                <w:szCs w:val="28"/>
                <w:highlight w:val="none"/>
                <w:lang w:bidi="ar"/>
              </w:rPr>
              <w:t>：湘西南开放高地建设行动</w:t>
            </w:r>
          </w:p>
        </w:tc>
      </w:tr>
      <w:tr w14:paraId="67613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c>
          <w:tcPr>
            <w:tcW w:w="5000" w:type="pct"/>
            <w:tcBorders>
              <w:tl2br w:val="nil"/>
              <w:tr2bl w:val="nil"/>
            </w:tcBorders>
            <w:shd w:val="clear" w:color="auto" w:fill="auto"/>
            <w:tcMar>
              <w:top w:w="12" w:type="dxa"/>
              <w:left w:w="12" w:type="dxa"/>
              <w:right w:w="12" w:type="dxa"/>
            </w:tcMar>
            <w:vAlign w:val="center"/>
          </w:tcPr>
          <w:p w14:paraId="273743A0">
            <w:pPr>
              <w:keepNext w:val="0"/>
              <w:keepLines w:val="0"/>
              <w:pageBreakBefore w:val="0"/>
              <w:widowControl w:val="0"/>
              <w:kinsoku/>
              <w:wordWrap/>
              <w:overflowPunct/>
              <w:topLinePunct w:val="0"/>
              <w:autoSpaceDE/>
              <w:autoSpaceDN/>
              <w:bidi w:val="0"/>
              <w:adjustRightInd/>
              <w:snapToGrid/>
              <w:spacing w:before="0" w:after="0" w:line="620" w:lineRule="atLeast"/>
              <w:ind w:firstLine="562" w:firstLineChars="200"/>
              <w:jc w:val="both"/>
              <w:textAlignment w:val="center"/>
              <w:rPr>
                <w:rFonts w:hint="eastAsia" w:ascii="仿宋" w:hAnsi="仿宋" w:eastAsia="仿宋" w:cs="仿宋"/>
                <w:color w:val="auto"/>
                <w:sz w:val="28"/>
                <w:szCs w:val="28"/>
                <w:highlight w:val="none"/>
              </w:rPr>
            </w:pPr>
            <w:r>
              <w:rPr>
                <w:rFonts w:hint="eastAsia" w:ascii="仿宋" w:hAnsi="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物流体系建设工程：</w:t>
            </w:r>
            <w:r>
              <w:rPr>
                <w:rFonts w:hint="eastAsia" w:ascii="仿宋" w:hAnsi="仿宋" w:eastAsia="仿宋" w:cs="仿宋"/>
                <w:color w:val="auto"/>
                <w:sz w:val="28"/>
                <w:szCs w:val="28"/>
                <w:highlight w:val="none"/>
              </w:rPr>
              <w:t>依托机场、高速、国省干线，重点发展多式联运与集散型物流，积极争取申请开通武冈机场临时开放口岸功能，争取开通邵阳至大湾区的全货班机。</w:t>
            </w:r>
          </w:p>
          <w:p w14:paraId="504F5440">
            <w:pPr>
              <w:keepNext w:val="0"/>
              <w:keepLines w:val="0"/>
              <w:pageBreakBefore w:val="0"/>
              <w:widowControl w:val="0"/>
              <w:kinsoku/>
              <w:wordWrap/>
              <w:overflowPunct/>
              <w:topLinePunct w:val="0"/>
              <w:autoSpaceDE/>
              <w:autoSpaceDN/>
              <w:bidi w:val="0"/>
              <w:adjustRightInd/>
              <w:snapToGrid/>
              <w:spacing w:before="0" w:after="0" w:line="620" w:lineRule="atLeast"/>
              <w:ind w:firstLine="562" w:firstLineChars="200"/>
              <w:jc w:val="both"/>
              <w:textAlignment w:val="center"/>
              <w:rPr>
                <w:rFonts w:hint="eastAsia" w:ascii="仿宋" w:hAnsi="仿宋" w:eastAsia="仿宋" w:cs="仿宋"/>
                <w:b/>
                <w:bCs/>
                <w:color w:val="auto"/>
                <w:sz w:val="28"/>
                <w:szCs w:val="28"/>
                <w:highlight w:val="none"/>
              </w:rPr>
            </w:pPr>
            <w:r>
              <w:rPr>
                <w:rFonts w:hint="eastAsia" w:ascii="仿宋" w:hAnsi="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开放平台建设工程：</w:t>
            </w:r>
            <w:r>
              <w:rPr>
                <w:rFonts w:hint="eastAsia" w:ascii="仿宋" w:hAnsi="仿宋" w:eastAsia="仿宋" w:cs="仿宋"/>
                <w:color w:val="auto"/>
                <w:sz w:val="28"/>
                <w:szCs w:val="28"/>
                <w:highlight w:val="none"/>
              </w:rPr>
              <w:t>深化保税改革试点，加快建设进口商品保税展示交易中心、跨境电子商务供货基地、跨境电子商务物流基地、跨境电子商务“双创”基地等一批跨境电商平台。主动对接RCEP，加快构建与东盟十国以及日本、韩国、澳大利亚、新西兰等国家和地区的对接平台和机制，推动建立一批中外合作产业园、服务外包园。坚持国内国际互促双循环，加快构建开放型经济综合服务体系和公共服务平台。</w:t>
            </w:r>
          </w:p>
          <w:p w14:paraId="6E5C2ACC">
            <w:pPr>
              <w:keepNext w:val="0"/>
              <w:keepLines w:val="0"/>
              <w:pageBreakBefore w:val="0"/>
              <w:widowControl w:val="0"/>
              <w:kinsoku/>
              <w:wordWrap/>
              <w:overflowPunct/>
              <w:topLinePunct w:val="0"/>
              <w:autoSpaceDE/>
              <w:autoSpaceDN/>
              <w:bidi w:val="0"/>
              <w:adjustRightInd/>
              <w:snapToGrid/>
              <w:spacing w:before="0" w:after="0" w:line="620" w:lineRule="atLeast"/>
              <w:ind w:firstLine="562" w:firstLineChars="200"/>
              <w:jc w:val="both"/>
              <w:textAlignment w:val="center"/>
              <w:rPr>
                <w:rFonts w:ascii="Times New Roman" w:hAnsi="Times New Roman" w:eastAsia="宋体" w:cs="Times New Roman"/>
                <w:color w:val="auto"/>
                <w:sz w:val="21"/>
                <w:szCs w:val="21"/>
                <w:highlight w:val="none"/>
              </w:rPr>
            </w:pPr>
            <w:r>
              <w:rPr>
                <w:rFonts w:hint="eastAsia" w:ascii="仿宋" w:hAnsi="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跨区域合作试点工程：</w:t>
            </w:r>
            <w:r>
              <w:rPr>
                <w:rFonts w:hint="eastAsia" w:ascii="仿宋" w:hAnsi="仿宋" w:eastAsia="仿宋" w:cs="仿宋"/>
                <w:color w:val="auto"/>
                <w:sz w:val="28"/>
                <w:szCs w:val="28"/>
                <w:highlight w:val="none"/>
              </w:rPr>
              <w:t>积极争取将湘西南桂北经济协作示范区纳入省级改革试点，打造省西南出海口，紧密对直连东盟经济圈，加大对接国家“一带一路”倡议力度。</w:t>
            </w:r>
          </w:p>
        </w:tc>
      </w:tr>
    </w:tbl>
    <w:p w14:paraId="51A7FA7A">
      <w:pPr>
        <w:pStyle w:val="3"/>
        <w:keepNext/>
        <w:keepLines/>
        <w:pageBreakBefore w:val="0"/>
        <w:widowControl w:val="0"/>
        <w:kinsoku/>
        <w:wordWrap/>
        <w:overflowPunct/>
        <w:topLinePunct w:val="0"/>
        <w:autoSpaceDE/>
        <w:autoSpaceDN/>
        <w:bidi w:val="0"/>
        <w:adjustRightInd/>
        <w:snapToGrid/>
        <w:spacing w:before="0" w:after="0" w:line="620" w:lineRule="exact"/>
        <w:jc w:val="center"/>
        <w:textAlignment w:val="auto"/>
        <w:rPr>
          <w:bCs/>
          <w:color w:val="auto"/>
          <w:highlight w:val="none"/>
        </w:rPr>
      </w:pPr>
      <w:bookmarkStart w:id="73" w:name="_Toc23775"/>
      <w:r>
        <w:rPr>
          <w:rFonts w:hint="eastAsia" w:ascii="黑体" w:hAnsi="黑体" w:eastAsia="黑体" w:cs="黑体"/>
          <w:bCs/>
          <w:color w:val="auto"/>
          <w:szCs w:val="32"/>
          <w:highlight w:val="none"/>
        </w:rPr>
        <w:t>第六章  扩投资</w:t>
      </w:r>
      <w:r>
        <w:rPr>
          <w:rFonts w:hint="eastAsia" w:ascii="黑体" w:hAnsi="黑体" w:eastAsia="黑体" w:cs="黑体"/>
          <w:bCs/>
          <w:color w:val="auto"/>
          <w:szCs w:val="32"/>
          <w:highlight w:val="none"/>
          <w:lang w:eastAsia="zh-CN"/>
        </w:rPr>
        <w:t>扩内需</w:t>
      </w:r>
      <w:r>
        <w:rPr>
          <w:rFonts w:hint="eastAsia" w:ascii="黑体" w:hAnsi="黑体" w:eastAsia="黑体" w:cs="黑体"/>
          <w:bCs/>
          <w:color w:val="auto"/>
          <w:szCs w:val="32"/>
          <w:highlight w:val="none"/>
        </w:rPr>
        <w:t>，主动融入新发展格局</w:t>
      </w:r>
      <w:bookmarkEnd w:id="73"/>
    </w:p>
    <w:p w14:paraId="1C1C2776">
      <w:pPr>
        <w:pStyle w:val="9"/>
        <w:pageBreakBefore w:val="0"/>
        <w:widowControl w:val="0"/>
        <w:tabs>
          <w:tab w:val="left" w:pos="718"/>
        </w:tabs>
        <w:kinsoku/>
        <w:wordWrap/>
        <w:overflowPunct/>
        <w:topLinePunct w:val="0"/>
        <w:autoSpaceDE/>
        <w:autoSpaceDN/>
        <w:bidi w:val="0"/>
        <w:adjustRightInd/>
        <w:snapToGrid/>
        <w:spacing w:line="640" w:lineRule="exact"/>
        <w:ind w:firstLine="640" w:firstLineChars="200"/>
        <w:textAlignment w:val="auto"/>
        <w:rPr>
          <w:rFonts w:hint="eastAsia" w:ascii="仿宋" w:hAnsi="仿宋" w:eastAsia="仿宋" w:cs="仿宋"/>
          <w:bCs/>
          <w:color w:val="auto"/>
          <w:szCs w:val="32"/>
          <w:highlight w:val="none"/>
          <w:lang w:val="zh-CN"/>
        </w:rPr>
      </w:pPr>
      <w:r>
        <w:rPr>
          <w:rFonts w:hint="eastAsia" w:ascii="仿宋" w:hAnsi="仿宋" w:eastAsia="仿宋" w:cs="仿宋"/>
          <w:color w:val="auto"/>
          <w:sz w:val="32"/>
          <w:szCs w:val="32"/>
          <w:highlight w:val="none"/>
          <w:lang w:val="en-US" w:eastAsia="zh-CN"/>
        </w:rPr>
        <w:t>聚焦服务业重点领域和发展短板，培育新热点、促消费、稳增长，加强消费基础设施建设，完善服务网络，优化投资结构，保持投资合理增长，发挥投资对优化供给结构的关键作用。深度融入国内大循环和国内国际双循环，拓展新模式和发展新业态，加快推进服务业创新发展。</w:t>
      </w:r>
      <w:r>
        <w:rPr>
          <w:rFonts w:hint="eastAsia" w:ascii="仿宋" w:hAnsi="仿宋" w:eastAsia="仿宋" w:cs="仿宋"/>
          <w:color w:val="auto"/>
          <w:sz w:val="32"/>
          <w:szCs w:val="32"/>
          <w:highlight w:val="none"/>
          <w:lang w:eastAsia="zh-CN"/>
        </w:rPr>
        <w:t>实现</w:t>
      </w:r>
      <w:r>
        <w:rPr>
          <w:rFonts w:hint="eastAsia" w:ascii="仿宋" w:hAnsi="仿宋" w:eastAsia="仿宋" w:cs="仿宋"/>
          <w:color w:val="auto"/>
          <w:sz w:val="32"/>
          <w:szCs w:val="32"/>
          <w:highlight w:val="none"/>
          <w:lang w:val="en-US" w:eastAsia="zh-CN"/>
        </w:rPr>
        <w:t>社会消费品零售总额年均增长13%以上，2025年达到170亿元，培育年交易额过亿元以上的商贸企业5家，电子商务交易额年均增长20%以上，“十四五”末年交易额突破60亿元。</w:t>
      </w:r>
    </w:p>
    <w:p w14:paraId="5A06DDAD">
      <w:pPr>
        <w:pStyle w:val="4"/>
        <w:keepNext/>
        <w:keepLines/>
        <w:pageBreakBefore w:val="0"/>
        <w:widowControl w:val="0"/>
        <w:kinsoku/>
        <w:wordWrap/>
        <w:overflowPunct/>
        <w:topLinePunct w:val="0"/>
        <w:autoSpaceDE/>
        <w:autoSpaceDN/>
        <w:bidi w:val="0"/>
        <w:adjustRightInd/>
        <w:snapToGrid/>
        <w:spacing w:before="0" w:after="0" w:line="640" w:lineRule="exact"/>
        <w:jc w:val="center"/>
        <w:textAlignment w:val="auto"/>
        <w:rPr>
          <w:rFonts w:hint="eastAsia" w:ascii="黑体" w:hAnsi="黑体" w:eastAsia="黑体" w:cs="黑体"/>
          <w:b w:val="0"/>
          <w:bCs/>
          <w:color w:val="auto"/>
          <w:highlight w:val="none"/>
        </w:rPr>
      </w:pPr>
      <w:bookmarkStart w:id="74" w:name="_Toc7551"/>
      <w:bookmarkStart w:id="75" w:name="_Toc13783"/>
      <w:bookmarkStart w:id="76" w:name="_Toc26204"/>
      <w:bookmarkStart w:id="77" w:name="_Toc31974"/>
      <w:r>
        <w:rPr>
          <w:rFonts w:hint="eastAsia" w:ascii="黑体" w:hAnsi="黑体" w:eastAsia="黑体" w:cs="黑体"/>
          <w:b w:val="0"/>
          <w:bCs/>
          <w:color w:val="auto"/>
          <w:kern w:val="44"/>
          <w:sz w:val="32"/>
          <w:szCs w:val="32"/>
          <w:highlight w:val="none"/>
          <w:lang w:val="en-US" w:eastAsia="zh-CN" w:bidi="ar-SA"/>
        </w:rPr>
        <w:t>第一节  主动融入新发展格局</w:t>
      </w:r>
      <w:bookmarkEnd w:id="74"/>
    </w:p>
    <w:p w14:paraId="2F42AAD6">
      <w:pPr>
        <w:pageBreakBefore w:val="0"/>
        <w:widowControl w:val="0"/>
        <w:kinsoku/>
        <w:wordWrap/>
        <w:overflowPunct/>
        <w:topLinePunct w:val="0"/>
        <w:autoSpaceDE/>
        <w:autoSpaceDN/>
        <w:bidi w:val="0"/>
        <w:adjustRightInd/>
        <w:snapToGrid/>
        <w:spacing w:beforeLines="-2147483648" w:afterLines="-2147483648" w:line="640" w:lineRule="exact"/>
        <w:ind w:firstLine="640" w:firstLineChars="200"/>
        <w:textAlignment w:val="auto"/>
        <w:rPr>
          <w:rFonts w:hint="eastAsia" w:ascii="KaiTi_GB2312" w:hAnsi="KaiTi_GB2312" w:eastAsia="KaiTi_GB2312" w:cs="KaiTi_GB2312"/>
          <w:b/>
          <w:bCs/>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坚持供给侧结构性改革战略方向，加强需求侧管理，扭住扩大内需战略基点，扩大有效投资，推动消费升级，打造国内大循环和国内国际双循环“武冈节点”。</w:t>
      </w:r>
    </w:p>
    <w:p w14:paraId="1A051D72">
      <w:pPr>
        <w:keepNext w:val="0"/>
        <w:keepLines w:val="0"/>
        <w:pageBreakBefore w:val="0"/>
        <w:widowControl w:val="0"/>
        <w:kinsoku/>
        <w:wordWrap/>
        <w:overflowPunct/>
        <w:topLinePunct w:val="0"/>
        <w:autoSpaceDE/>
        <w:autoSpaceDN/>
        <w:bidi w:val="0"/>
        <w:adjustRightInd/>
        <w:snapToGrid/>
        <w:spacing w:beforeLines="-2147483648" w:after="100" w:afterLines="-2147483648" w:afterAutospacing="1" w:line="620" w:lineRule="exact"/>
        <w:ind w:firstLine="643" w:firstLineChars="200"/>
        <w:textAlignment w:val="auto"/>
        <w:rPr>
          <w:rFonts w:hint="eastAsia" w:ascii="仿宋" w:hAnsi="仿宋" w:eastAsia="仿宋" w:cs="仿宋"/>
          <w:color w:val="auto"/>
          <w:highlight w:val="none"/>
          <w:lang w:val="en-US"/>
        </w:rPr>
      </w:pPr>
      <w:r>
        <w:rPr>
          <w:rFonts w:hint="eastAsia" w:ascii="KaiTi_GB2312" w:hAnsi="KaiTi_GB2312" w:eastAsia="KaiTi_GB2312" w:cs="KaiTi_GB2312"/>
          <w:b/>
          <w:bCs/>
          <w:color w:val="auto"/>
          <w:sz w:val="32"/>
          <w:szCs w:val="32"/>
          <w:highlight w:val="none"/>
          <w:lang w:val="en-US" w:eastAsia="zh-CN"/>
        </w:rPr>
        <w:t>深度融入双循环。</w:t>
      </w:r>
      <w:r>
        <w:rPr>
          <w:rFonts w:hint="eastAsia" w:ascii="仿宋" w:hAnsi="仿宋" w:eastAsia="仿宋" w:cs="仿宋"/>
          <w:color w:val="auto"/>
          <w:sz w:val="32"/>
          <w:szCs w:val="32"/>
          <w:highlight w:val="none"/>
        </w:rPr>
        <w:t>依托强大国内市场，贯通生产、分配、流通、消费各环节，推动上下游、产供销有效衔接，实现一二三产业和各类资源要素均衡协调配置</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完善扩大内需的政策支撑体系，以高质量供给引领和创造新需求，形成更高水平的供需动态平衡。坚决落实国家、省开放战略，深度融入共建“一带一路”、“一带一部”</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充分利用财政、金融、税收、社保以及政府采购等各类惠企政策，帮助企业开拓国内外市场，增强循环畅通能力，提高供应链运转效能。依托临空经济区平台，加快发展国际中转、配送、采购、转口贸易和出口加工等业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重点对准非洲和东盟，从“0”到“1”、从小做到大，做大外贸进口和出口，鼓励支持漆雕氏、</w:t>
      </w:r>
      <w:r>
        <w:rPr>
          <w:rFonts w:hint="eastAsia" w:ascii="仿宋" w:hAnsi="仿宋" w:eastAsia="仿宋" w:cs="仿宋"/>
          <w:color w:val="auto"/>
          <w:sz w:val="32"/>
          <w:szCs w:val="32"/>
          <w:highlight w:val="none"/>
          <w:lang w:eastAsia="zh-CN"/>
        </w:rPr>
        <w:t>申靓建材</w:t>
      </w:r>
      <w:r>
        <w:rPr>
          <w:rFonts w:hint="eastAsia" w:ascii="仿宋" w:hAnsi="仿宋" w:eastAsia="仿宋" w:cs="仿宋"/>
          <w:color w:val="auto"/>
          <w:sz w:val="32"/>
          <w:szCs w:val="32"/>
          <w:highlight w:val="none"/>
        </w:rPr>
        <w:t>等企业积极拓展国际市场。支持出口企业拓展内销市场，制定支持外贸企业上线国内知名电商平台的优惠政策，引导外贸企业进驻政府采购网上商城，设置出口转内销企业专区，最大限度减收出口转内销技术服务收费，为外贸企业开拓国内市场纾危解困。</w:t>
      </w:r>
    </w:p>
    <w:p w14:paraId="39D11CCE">
      <w:pPr>
        <w:keepNext w:val="0"/>
        <w:keepLines w:val="0"/>
        <w:pageBreakBefore w:val="0"/>
        <w:widowControl w:val="0"/>
        <w:kinsoku/>
        <w:wordWrap/>
        <w:overflowPunct/>
        <w:topLinePunct w:val="0"/>
        <w:autoSpaceDE/>
        <w:autoSpaceDN/>
        <w:bidi w:val="0"/>
        <w:adjustRightInd/>
        <w:snapToGrid/>
        <w:spacing w:after="100" w:afterAutospacing="1" w:line="620" w:lineRule="exact"/>
        <w:ind w:firstLine="643" w:firstLineChars="200"/>
        <w:textAlignment w:val="auto"/>
        <w:rPr>
          <w:rFonts w:hint="eastAsia" w:ascii="仿宋" w:hAnsi="仿宋" w:eastAsia="仿宋" w:cs="仿宋"/>
          <w:color w:val="auto"/>
          <w:sz w:val="32"/>
          <w:szCs w:val="32"/>
          <w:highlight w:val="none"/>
          <w:lang w:val="en-US"/>
        </w:rPr>
      </w:pPr>
      <w:r>
        <w:rPr>
          <w:rFonts w:hint="eastAsia" w:ascii="KaiTi_GB2312" w:hAnsi="KaiTi_GB2312" w:eastAsia="KaiTi_GB2312" w:cs="KaiTi_GB2312"/>
          <w:b/>
          <w:bCs/>
          <w:color w:val="auto"/>
          <w:sz w:val="32"/>
          <w:szCs w:val="32"/>
          <w:highlight w:val="none"/>
          <w:lang w:val="en-US" w:eastAsia="zh-CN"/>
        </w:rPr>
        <w:t>畅通大循环“武冈节点”。</w:t>
      </w:r>
      <w:r>
        <w:rPr>
          <w:rFonts w:hint="eastAsia" w:ascii="仿宋" w:hAnsi="仿宋" w:eastAsia="仿宋" w:cs="仿宋"/>
          <w:color w:val="auto"/>
          <w:sz w:val="32"/>
          <w:szCs w:val="32"/>
          <w:highlight w:val="none"/>
          <w:lang w:val="en-US" w:eastAsia="zh-CN"/>
        </w:rPr>
        <w:t>依托强大国内外、省内外市场，解决好双循环的堵点、痛点和难点等重大问题，充分发挥湘西南中心区位优势，紧扣邵阳西部生态圈中心城市发展新进程，</w:t>
      </w:r>
      <w:r>
        <w:rPr>
          <w:rFonts w:hint="eastAsia" w:ascii="仿宋" w:hAnsi="仿宋" w:eastAsia="仿宋" w:cs="仿宋"/>
          <w:color w:val="auto"/>
          <w:sz w:val="32"/>
          <w:szCs w:val="32"/>
          <w:highlight w:val="none"/>
          <w:lang w:val="en-US"/>
        </w:rPr>
        <w:t>充分考虑资源禀赋、区域位置、环境条件、人才资源等发展要素，走大区域合理分工、优化武冈特色经济发展的路子，完善城市化和新型城镇化分区、农产品主产区、重点生态及文化旅游功能区等空间格局，建立重点物流企业调度服务机制，强化重点物流园区、物流企业的调度，促进生产生活要素有序流动</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lang w:val="en-US"/>
        </w:rPr>
        <w:t>使大循环“武冈节点”更加通畅高效。</w:t>
      </w:r>
    </w:p>
    <w:tbl>
      <w:tblPr>
        <w:tblStyle w:val="21"/>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004"/>
      </w:tblGrid>
      <w:tr w14:paraId="7C8E65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tcBorders>
              <w:tl2br w:val="nil"/>
              <w:tr2bl w:val="nil"/>
            </w:tcBorders>
            <w:shd w:val="clear" w:color="auto" w:fill="auto"/>
            <w:vAlign w:val="center"/>
          </w:tcPr>
          <w:p w14:paraId="758405E8">
            <w:pPr>
              <w:pageBreakBefore w:val="0"/>
              <w:wordWrap/>
              <w:bidi w:val="0"/>
              <w:adjustRightInd/>
              <w:snapToGrid/>
              <w:spacing w:before="0" w:after="0" w:line="579" w:lineRule="exact"/>
              <w:jc w:val="center"/>
              <w:rPr>
                <w:rFonts w:ascii="宋体" w:hAnsi="宋体" w:eastAsia="宋体" w:cs="宋体"/>
                <w:b/>
                <w:bCs/>
                <w:color w:val="auto"/>
                <w:sz w:val="32"/>
                <w:szCs w:val="32"/>
                <w:highlight w:val="none"/>
              </w:rPr>
            </w:pPr>
            <w:r>
              <w:rPr>
                <w:rFonts w:hint="eastAsia" w:ascii="宋体" w:hAnsi="宋体" w:eastAsia="宋体" w:cs="宋体"/>
                <w:b/>
                <w:bCs/>
                <w:color w:val="auto"/>
                <w:kern w:val="0"/>
                <w:sz w:val="28"/>
                <w:szCs w:val="28"/>
                <w:highlight w:val="none"/>
                <w:u w:val="none"/>
                <w:lang w:bidi="ar"/>
              </w:rPr>
              <w:t>专栏</w:t>
            </w:r>
            <w:r>
              <w:rPr>
                <w:rFonts w:hint="eastAsia" w:ascii="宋体" w:hAnsi="宋体" w:eastAsia="宋体" w:cs="宋体"/>
                <w:b/>
                <w:bCs/>
                <w:color w:val="auto"/>
                <w:kern w:val="0"/>
                <w:sz w:val="28"/>
                <w:szCs w:val="28"/>
                <w:highlight w:val="none"/>
                <w:u w:val="none"/>
                <w:lang w:val="en-US" w:eastAsia="zh-CN" w:bidi="ar"/>
              </w:rPr>
              <w:t>9</w:t>
            </w:r>
            <w:r>
              <w:rPr>
                <w:rFonts w:hint="eastAsia" w:ascii="宋体" w:hAnsi="宋体" w:eastAsia="宋体" w:cs="宋体"/>
                <w:b/>
                <w:bCs/>
                <w:color w:val="auto"/>
                <w:kern w:val="0"/>
                <w:sz w:val="28"/>
                <w:szCs w:val="28"/>
                <w:highlight w:val="none"/>
                <w:u w:val="none"/>
                <w:lang w:bidi="ar"/>
              </w:rPr>
              <w:t>：国内国际“双循环”六大行动</w:t>
            </w:r>
          </w:p>
        </w:tc>
      </w:tr>
      <w:tr w14:paraId="799417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tcBorders>
              <w:tl2br w:val="nil"/>
              <w:tr2bl w:val="nil"/>
            </w:tcBorders>
            <w:shd w:val="clear" w:color="auto" w:fill="auto"/>
            <w:vAlign w:val="center"/>
          </w:tcPr>
          <w:p w14:paraId="13B652AE">
            <w:pPr>
              <w:keepNext w:val="0"/>
              <w:keepLines w:val="0"/>
              <w:pageBreakBefore w:val="0"/>
              <w:widowControl/>
              <w:kinsoku/>
              <w:wordWrap/>
              <w:overflowPunct/>
              <w:topLinePunct w:val="0"/>
              <w:autoSpaceDE/>
              <w:autoSpaceDN/>
              <w:bidi w:val="0"/>
              <w:adjustRightInd/>
              <w:snapToGrid/>
              <w:spacing w:before="0" w:after="0" w:line="288" w:lineRule="auto"/>
              <w:ind w:firstLine="562" w:firstLineChars="200"/>
              <w:jc w:val="both"/>
              <w:textAlignment w:val="center"/>
              <w:rPr>
                <w:rFonts w:hint="eastAsia" w:ascii="仿宋" w:hAnsi="仿宋" w:eastAsia="仿宋" w:cs="仿宋"/>
                <w:b w:val="0"/>
                <w:bCs w:val="0"/>
                <w:color w:val="auto"/>
                <w:kern w:val="0"/>
                <w:sz w:val="28"/>
                <w:szCs w:val="28"/>
                <w:highlight w:val="none"/>
                <w:u w:val="none"/>
                <w:lang w:bidi="ar"/>
              </w:rPr>
            </w:pPr>
            <w:r>
              <w:rPr>
                <w:rFonts w:hint="eastAsia" w:ascii="仿宋" w:hAnsi="仿宋" w:eastAsia="仿宋" w:cs="仿宋"/>
                <w:b/>
                <w:bCs/>
                <w:color w:val="auto"/>
                <w:kern w:val="0"/>
                <w:sz w:val="28"/>
                <w:szCs w:val="28"/>
                <w:highlight w:val="none"/>
                <w:u w:val="none"/>
                <w:lang w:bidi="ar"/>
              </w:rPr>
              <w:t>“</w:t>
            </w:r>
            <w:r>
              <w:rPr>
                <w:rFonts w:hint="eastAsia" w:ascii="仿宋" w:hAnsi="仿宋" w:eastAsia="仿宋" w:cs="仿宋"/>
                <w:b/>
                <w:bCs/>
                <w:color w:val="auto"/>
                <w:kern w:val="0"/>
                <w:sz w:val="28"/>
                <w:szCs w:val="28"/>
                <w:highlight w:val="none"/>
                <w:u w:val="none"/>
                <w:lang w:val="en-US" w:eastAsia="zh-CN" w:bidi="ar"/>
              </w:rPr>
              <w:t>十</w:t>
            </w:r>
            <w:r>
              <w:rPr>
                <w:rFonts w:hint="eastAsia" w:ascii="仿宋" w:hAnsi="仿宋" w:eastAsia="仿宋" w:cs="仿宋"/>
                <w:b/>
                <w:bCs/>
                <w:color w:val="auto"/>
                <w:kern w:val="0"/>
                <w:sz w:val="28"/>
                <w:szCs w:val="28"/>
                <w:highlight w:val="none"/>
                <w:u w:val="none"/>
                <w:lang w:bidi="ar"/>
              </w:rPr>
              <w:t>场</w:t>
            </w:r>
            <w:r>
              <w:rPr>
                <w:rFonts w:hint="eastAsia" w:ascii="仿宋" w:hAnsi="仿宋" w:eastAsia="仿宋" w:cs="仿宋"/>
                <w:b/>
                <w:bCs/>
                <w:color w:val="auto"/>
                <w:kern w:val="0"/>
                <w:sz w:val="28"/>
                <w:szCs w:val="28"/>
                <w:highlight w:val="none"/>
                <w:u w:val="none"/>
                <w:lang w:val="en-US" w:eastAsia="zh-CN" w:bidi="ar"/>
              </w:rPr>
              <w:t>百</w:t>
            </w:r>
            <w:r>
              <w:rPr>
                <w:rFonts w:hint="eastAsia" w:ascii="仿宋" w:hAnsi="仿宋" w:eastAsia="仿宋" w:cs="仿宋"/>
                <w:b/>
                <w:bCs/>
                <w:color w:val="auto"/>
                <w:kern w:val="0"/>
                <w:sz w:val="28"/>
                <w:szCs w:val="28"/>
                <w:highlight w:val="none"/>
                <w:u w:val="none"/>
                <w:lang w:bidi="ar"/>
              </w:rPr>
              <w:t>店”工程：</w:t>
            </w:r>
            <w:r>
              <w:rPr>
                <w:rFonts w:hint="eastAsia" w:ascii="仿宋" w:hAnsi="仿宋" w:eastAsia="仿宋" w:cs="仿宋"/>
                <w:b w:val="0"/>
                <w:bCs w:val="0"/>
                <w:color w:val="auto"/>
                <w:kern w:val="0"/>
                <w:sz w:val="28"/>
                <w:szCs w:val="28"/>
                <w:highlight w:val="none"/>
                <w:u w:val="none"/>
                <w:lang w:bidi="ar"/>
              </w:rPr>
              <w:t>聚焦内循环，连接10家以上市场、布局100家以上分销网点，共拓强大国内市场，让全国各地优秀的市场商品更好地进入各地的社区店和农村。</w:t>
            </w:r>
          </w:p>
          <w:p w14:paraId="154D39B8">
            <w:pPr>
              <w:pageBreakBefore w:val="0"/>
              <w:widowControl/>
              <w:wordWrap/>
              <w:bidi w:val="0"/>
              <w:adjustRightInd/>
              <w:snapToGrid/>
              <w:spacing w:before="0" w:after="0" w:line="240" w:lineRule="auto"/>
              <w:ind w:firstLine="562" w:firstLineChars="200"/>
              <w:jc w:val="both"/>
              <w:textAlignment w:val="center"/>
              <w:rPr>
                <w:rFonts w:hint="eastAsia" w:ascii="仿宋" w:hAnsi="仿宋" w:eastAsia="仿宋" w:cs="仿宋"/>
                <w:b w:val="0"/>
                <w:bCs w:val="0"/>
                <w:color w:val="auto"/>
                <w:kern w:val="0"/>
                <w:sz w:val="28"/>
                <w:szCs w:val="28"/>
                <w:highlight w:val="none"/>
                <w:u w:val="none"/>
                <w:lang w:bidi="ar"/>
              </w:rPr>
            </w:pPr>
            <w:r>
              <w:rPr>
                <w:rFonts w:hint="eastAsia" w:ascii="仿宋" w:hAnsi="仿宋" w:eastAsia="仿宋" w:cs="仿宋"/>
                <w:b/>
                <w:bCs/>
                <w:color w:val="auto"/>
                <w:kern w:val="0"/>
                <w:sz w:val="28"/>
                <w:szCs w:val="28"/>
                <w:highlight w:val="none"/>
                <w:u w:val="none"/>
                <w:lang w:bidi="ar"/>
              </w:rPr>
              <w:t>“</w:t>
            </w:r>
            <w:r>
              <w:rPr>
                <w:rFonts w:hint="eastAsia" w:ascii="仿宋" w:hAnsi="仿宋" w:eastAsia="仿宋" w:cs="仿宋"/>
                <w:b/>
                <w:bCs/>
                <w:color w:val="auto"/>
                <w:kern w:val="0"/>
                <w:sz w:val="28"/>
                <w:szCs w:val="28"/>
                <w:highlight w:val="none"/>
                <w:u w:val="none"/>
                <w:lang w:val="en-US" w:eastAsia="zh-CN" w:bidi="ar"/>
              </w:rPr>
              <w:t>十</w:t>
            </w:r>
            <w:r>
              <w:rPr>
                <w:rFonts w:hint="eastAsia" w:ascii="仿宋" w:hAnsi="仿宋" w:eastAsia="仿宋" w:cs="仿宋"/>
                <w:b/>
                <w:bCs/>
                <w:color w:val="auto"/>
                <w:kern w:val="0"/>
                <w:sz w:val="28"/>
                <w:szCs w:val="28"/>
                <w:highlight w:val="none"/>
                <w:u w:val="none"/>
                <w:lang w:bidi="ar"/>
              </w:rPr>
              <w:t>城</w:t>
            </w:r>
            <w:r>
              <w:rPr>
                <w:rFonts w:hint="eastAsia" w:ascii="仿宋" w:hAnsi="仿宋" w:eastAsia="仿宋" w:cs="仿宋"/>
                <w:b/>
                <w:bCs/>
                <w:color w:val="auto"/>
                <w:kern w:val="0"/>
                <w:sz w:val="28"/>
                <w:szCs w:val="28"/>
                <w:highlight w:val="none"/>
                <w:u w:val="none"/>
                <w:lang w:val="en-US" w:eastAsia="zh-CN" w:bidi="ar"/>
              </w:rPr>
              <w:t>百</w:t>
            </w:r>
            <w:r>
              <w:rPr>
                <w:rFonts w:hint="eastAsia" w:ascii="仿宋" w:hAnsi="仿宋" w:eastAsia="仿宋" w:cs="仿宋"/>
                <w:b/>
                <w:bCs/>
                <w:color w:val="auto"/>
                <w:kern w:val="0"/>
                <w:sz w:val="28"/>
                <w:szCs w:val="28"/>
                <w:highlight w:val="none"/>
                <w:u w:val="none"/>
                <w:lang w:bidi="ar"/>
              </w:rPr>
              <w:t>链”工程：</w:t>
            </w:r>
            <w:r>
              <w:rPr>
                <w:rFonts w:hint="eastAsia" w:ascii="仿宋" w:hAnsi="仿宋" w:eastAsia="仿宋" w:cs="仿宋"/>
                <w:b w:val="0"/>
                <w:bCs w:val="0"/>
                <w:color w:val="auto"/>
                <w:kern w:val="0"/>
                <w:sz w:val="28"/>
                <w:szCs w:val="28"/>
                <w:highlight w:val="none"/>
                <w:u w:val="none"/>
                <w:lang w:bidi="ar"/>
              </w:rPr>
              <w:t>聚焦内循环，连接10个以上物流枢纽和节点城市、对接100家以上供应链企业，共建高效物流服务体系，以数字化手段整合与</w:t>
            </w:r>
            <w:r>
              <w:rPr>
                <w:rFonts w:hint="eastAsia" w:ascii="仿宋" w:hAnsi="仿宋" w:eastAsia="仿宋" w:cs="仿宋"/>
                <w:b w:val="0"/>
                <w:bCs w:val="0"/>
                <w:color w:val="auto"/>
                <w:kern w:val="0"/>
                <w:sz w:val="28"/>
                <w:szCs w:val="28"/>
                <w:highlight w:val="none"/>
                <w:u w:val="none"/>
                <w:lang w:val="en-US" w:eastAsia="zh-CN" w:bidi="ar"/>
              </w:rPr>
              <w:t>武冈</w:t>
            </w:r>
            <w:r>
              <w:rPr>
                <w:rFonts w:hint="eastAsia" w:ascii="仿宋" w:hAnsi="仿宋" w:eastAsia="仿宋" w:cs="仿宋"/>
                <w:b w:val="0"/>
                <w:bCs w:val="0"/>
                <w:color w:val="auto"/>
                <w:kern w:val="0"/>
                <w:sz w:val="28"/>
                <w:szCs w:val="28"/>
                <w:highlight w:val="none"/>
                <w:u w:val="none"/>
                <w:lang w:bidi="ar"/>
              </w:rPr>
              <w:t>关联的物流资源，让物流服务更加智能、高效。</w:t>
            </w:r>
          </w:p>
          <w:p w14:paraId="1DD63DA0">
            <w:pPr>
              <w:pageBreakBefore w:val="0"/>
              <w:widowControl/>
              <w:wordWrap/>
              <w:bidi w:val="0"/>
              <w:adjustRightInd/>
              <w:snapToGrid/>
              <w:spacing w:before="0" w:after="0" w:line="240" w:lineRule="auto"/>
              <w:ind w:firstLine="562" w:firstLineChars="200"/>
              <w:jc w:val="both"/>
              <w:textAlignment w:val="center"/>
              <w:rPr>
                <w:rFonts w:hint="eastAsia" w:ascii="仿宋" w:hAnsi="仿宋" w:eastAsia="仿宋" w:cs="仿宋"/>
                <w:b w:val="0"/>
                <w:bCs w:val="0"/>
                <w:color w:val="auto"/>
                <w:kern w:val="0"/>
                <w:sz w:val="28"/>
                <w:szCs w:val="28"/>
                <w:highlight w:val="none"/>
                <w:u w:val="none"/>
                <w:lang w:bidi="ar"/>
              </w:rPr>
            </w:pPr>
            <w:r>
              <w:rPr>
                <w:rFonts w:hint="eastAsia" w:ascii="仿宋" w:hAnsi="仿宋" w:eastAsia="仿宋" w:cs="仿宋"/>
                <w:b/>
                <w:bCs/>
                <w:color w:val="auto"/>
                <w:kern w:val="0"/>
                <w:sz w:val="28"/>
                <w:szCs w:val="28"/>
                <w:highlight w:val="none"/>
                <w:u w:val="none"/>
                <w:lang w:bidi="ar"/>
              </w:rPr>
              <w:t>“</w:t>
            </w:r>
            <w:r>
              <w:rPr>
                <w:rFonts w:hint="eastAsia" w:ascii="仿宋" w:hAnsi="仿宋" w:eastAsia="仿宋" w:cs="仿宋"/>
                <w:b/>
                <w:bCs/>
                <w:color w:val="auto"/>
                <w:kern w:val="0"/>
                <w:sz w:val="28"/>
                <w:szCs w:val="28"/>
                <w:highlight w:val="none"/>
                <w:u w:val="none"/>
                <w:lang w:val="en-US" w:eastAsia="zh-CN" w:bidi="ar"/>
              </w:rPr>
              <w:t>十</w:t>
            </w:r>
            <w:r>
              <w:rPr>
                <w:rFonts w:hint="eastAsia" w:ascii="仿宋" w:hAnsi="仿宋" w:eastAsia="仿宋" w:cs="仿宋"/>
                <w:b/>
                <w:bCs/>
                <w:color w:val="auto"/>
                <w:kern w:val="0"/>
                <w:sz w:val="28"/>
                <w:szCs w:val="28"/>
                <w:highlight w:val="none"/>
                <w:u w:val="none"/>
                <w:lang w:bidi="ar"/>
              </w:rPr>
              <w:t>村</w:t>
            </w:r>
            <w:r>
              <w:rPr>
                <w:rFonts w:hint="eastAsia" w:ascii="仿宋" w:hAnsi="仿宋" w:eastAsia="仿宋" w:cs="仿宋"/>
                <w:b/>
                <w:bCs/>
                <w:color w:val="auto"/>
                <w:kern w:val="0"/>
                <w:sz w:val="28"/>
                <w:szCs w:val="28"/>
                <w:highlight w:val="none"/>
                <w:u w:val="none"/>
                <w:lang w:val="en-US" w:eastAsia="zh-CN" w:bidi="ar"/>
              </w:rPr>
              <w:t>百</w:t>
            </w:r>
            <w:r>
              <w:rPr>
                <w:rFonts w:hint="eastAsia" w:ascii="仿宋" w:hAnsi="仿宋" w:eastAsia="仿宋" w:cs="仿宋"/>
                <w:b/>
                <w:bCs/>
                <w:color w:val="auto"/>
                <w:kern w:val="0"/>
                <w:sz w:val="28"/>
                <w:szCs w:val="28"/>
                <w:highlight w:val="none"/>
                <w:u w:val="none"/>
                <w:lang w:bidi="ar"/>
              </w:rPr>
              <w:t>品”工程：</w:t>
            </w:r>
            <w:r>
              <w:rPr>
                <w:rFonts w:hint="eastAsia" w:ascii="仿宋" w:hAnsi="仿宋" w:eastAsia="仿宋" w:cs="仿宋"/>
                <w:b w:val="0"/>
                <w:bCs w:val="0"/>
                <w:color w:val="auto"/>
                <w:kern w:val="0"/>
                <w:sz w:val="28"/>
                <w:szCs w:val="28"/>
                <w:highlight w:val="none"/>
                <w:u w:val="none"/>
                <w:lang w:bidi="ar"/>
              </w:rPr>
              <w:t>聚焦内循环，支持10个以上欠发达村，为长株潭地区和粤港澳大湾区提供100种以上农产品和工业制成品</w:t>
            </w:r>
            <w:r>
              <w:rPr>
                <w:rFonts w:hint="eastAsia" w:ascii="仿宋" w:hAnsi="仿宋" w:eastAsia="仿宋" w:cs="仿宋"/>
                <w:b w:val="0"/>
                <w:bCs w:val="0"/>
                <w:color w:val="auto"/>
                <w:kern w:val="0"/>
                <w:sz w:val="28"/>
                <w:szCs w:val="28"/>
                <w:highlight w:val="none"/>
                <w:u w:val="none"/>
                <w:lang w:eastAsia="zh-CN" w:bidi="ar"/>
              </w:rPr>
              <w:t>（</w:t>
            </w:r>
            <w:r>
              <w:rPr>
                <w:rFonts w:hint="eastAsia" w:ascii="仿宋" w:hAnsi="仿宋" w:eastAsia="仿宋" w:cs="仿宋"/>
                <w:b w:val="0"/>
                <w:bCs w:val="0"/>
                <w:color w:val="auto"/>
                <w:kern w:val="0"/>
                <w:sz w:val="28"/>
                <w:szCs w:val="28"/>
                <w:highlight w:val="none"/>
                <w:u w:val="none"/>
                <w:lang w:val="en-US" w:eastAsia="zh-CN" w:bidi="ar"/>
              </w:rPr>
              <w:t>代加工</w:t>
            </w:r>
            <w:r>
              <w:rPr>
                <w:rFonts w:hint="eastAsia" w:ascii="仿宋" w:hAnsi="仿宋" w:eastAsia="仿宋" w:cs="仿宋"/>
                <w:b w:val="0"/>
                <w:bCs w:val="0"/>
                <w:color w:val="auto"/>
                <w:kern w:val="0"/>
                <w:sz w:val="28"/>
                <w:szCs w:val="28"/>
                <w:highlight w:val="none"/>
                <w:u w:val="none"/>
                <w:lang w:eastAsia="zh-CN" w:bidi="ar"/>
              </w:rPr>
              <w:t>）</w:t>
            </w:r>
            <w:r>
              <w:rPr>
                <w:rFonts w:hint="eastAsia" w:ascii="仿宋" w:hAnsi="仿宋" w:eastAsia="仿宋" w:cs="仿宋"/>
                <w:b w:val="0"/>
                <w:bCs w:val="0"/>
                <w:color w:val="auto"/>
                <w:kern w:val="0"/>
                <w:sz w:val="28"/>
                <w:szCs w:val="28"/>
                <w:highlight w:val="none"/>
                <w:u w:val="none"/>
                <w:lang w:bidi="ar"/>
              </w:rPr>
              <w:t>，建立发达与欠发达地区区域联动机制，让欠发达地区更好地发展。</w:t>
            </w:r>
          </w:p>
          <w:p w14:paraId="1D2D4202">
            <w:pPr>
              <w:pageBreakBefore w:val="0"/>
              <w:widowControl/>
              <w:wordWrap/>
              <w:bidi w:val="0"/>
              <w:adjustRightInd/>
              <w:snapToGrid/>
              <w:spacing w:before="0" w:after="0" w:line="240" w:lineRule="auto"/>
              <w:ind w:firstLine="562" w:firstLineChars="200"/>
              <w:jc w:val="both"/>
              <w:textAlignment w:val="center"/>
              <w:rPr>
                <w:rFonts w:hint="eastAsia" w:ascii="仿宋" w:hAnsi="仿宋" w:eastAsia="仿宋" w:cs="仿宋"/>
                <w:b w:val="0"/>
                <w:bCs w:val="0"/>
                <w:color w:val="auto"/>
                <w:kern w:val="0"/>
                <w:sz w:val="28"/>
                <w:szCs w:val="28"/>
                <w:highlight w:val="none"/>
                <w:u w:val="none"/>
                <w:lang w:bidi="ar"/>
              </w:rPr>
            </w:pPr>
            <w:r>
              <w:rPr>
                <w:rFonts w:hint="eastAsia" w:ascii="仿宋" w:hAnsi="仿宋" w:eastAsia="仿宋" w:cs="仿宋"/>
                <w:b/>
                <w:bCs/>
                <w:color w:val="auto"/>
                <w:kern w:val="0"/>
                <w:sz w:val="28"/>
                <w:szCs w:val="28"/>
                <w:highlight w:val="none"/>
                <w:u w:val="none"/>
                <w:lang w:bidi="ar"/>
              </w:rPr>
              <w:t>“</w:t>
            </w:r>
            <w:r>
              <w:rPr>
                <w:rFonts w:hint="eastAsia" w:ascii="仿宋" w:hAnsi="仿宋" w:eastAsia="仿宋" w:cs="仿宋"/>
                <w:b/>
                <w:bCs/>
                <w:color w:val="auto"/>
                <w:kern w:val="0"/>
                <w:sz w:val="28"/>
                <w:szCs w:val="28"/>
                <w:highlight w:val="none"/>
                <w:u w:val="none"/>
                <w:lang w:val="en-US" w:eastAsia="zh-CN" w:bidi="ar"/>
              </w:rPr>
              <w:t>十</w:t>
            </w:r>
            <w:r>
              <w:rPr>
                <w:rFonts w:hint="eastAsia" w:ascii="仿宋" w:hAnsi="仿宋" w:eastAsia="仿宋" w:cs="仿宋"/>
                <w:b/>
                <w:bCs/>
                <w:color w:val="auto"/>
                <w:kern w:val="0"/>
                <w:sz w:val="28"/>
                <w:szCs w:val="28"/>
                <w:highlight w:val="none"/>
                <w:u w:val="none"/>
                <w:lang w:bidi="ar"/>
              </w:rPr>
              <w:t>仓</w:t>
            </w:r>
            <w:r>
              <w:rPr>
                <w:rFonts w:hint="eastAsia" w:ascii="仿宋" w:hAnsi="仿宋" w:eastAsia="仿宋" w:cs="仿宋"/>
                <w:b/>
                <w:bCs/>
                <w:color w:val="auto"/>
                <w:kern w:val="0"/>
                <w:sz w:val="28"/>
                <w:szCs w:val="28"/>
                <w:highlight w:val="none"/>
                <w:u w:val="none"/>
                <w:lang w:val="en-US" w:eastAsia="zh-CN" w:bidi="ar"/>
              </w:rPr>
              <w:t>百</w:t>
            </w:r>
            <w:r>
              <w:rPr>
                <w:rFonts w:hint="eastAsia" w:ascii="仿宋" w:hAnsi="仿宋" w:eastAsia="仿宋" w:cs="仿宋"/>
                <w:b/>
                <w:bCs/>
                <w:color w:val="auto"/>
                <w:kern w:val="0"/>
                <w:sz w:val="28"/>
                <w:szCs w:val="28"/>
                <w:highlight w:val="none"/>
                <w:u w:val="none"/>
                <w:lang w:bidi="ar"/>
              </w:rPr>
              <w:t>企”工程：</w:t>
            </w:r>
            <w:r>
              <w:rPr>
                <w:rFonts w:hint="eastAsia" w:ascii="仿宋" w:hAnsi="仿宋" w:eastAsia="仿宋" w:cs="仿宋"/>
                <w:b w:val="0"/>
                <w:bCs w:val="0"/>
                <w:color w:val="auto"/>
                <w:kern w:val="0"/>
                <w:sz w:val="28"/>
                <w:szCs w:val="28"/>
                <w:highlight w:val="none"/>
                <w:u w:val="none"/>
                <w:lang w:bidi="ar"/>
              </w:rPr>
              <w:t>聚焦外循环，布局10个以上海外仓、境外站、海外分市场等，服务100家以上中小微企业开展跨境贸易，织密联系东盟、非洲等地区的商贸网络，提高物流控货能力，降低风险和成本，增加金融等增值服务。</w:t>
            </w:r>
          </w:p>
          <w:p w14:paraId="661CA67B">
            <w:pPr>
              <w:pageBreakBefore w:val="0"/>
              <w:widowControl/>
              <w:wordWrap/>
              <w:bidi w:val="0"/>
              <w:adjustRightInd/>
              <w:snapToGrid/>
              <w:spacing w:before="0" w:after="0" w:line="240" w:lineRule="auto"/>
              <w:ind w:firstLine="562" w:firstLineChars="200"/>
              <w:jc w:val="both"/>
              <w:textAlignment w:val="center"/>
              <w:rPr>
                <w:rFonts w:hint="eastAsia" w:ascii="仿宋" w:hAnsi="仿宋" w:eastAsia="仿宋" w:cs="仿宋"/>
                <w:b w:val="0"/>
                <w:bCs w:val="0"/>
                <w:color w:val="auto"/>
                <w:kern w:val="0"/>
                <w:sz w:val="28"/>
                <w:szCs w:val="28"/>
                <w:highlight w:val="none"/>
                <w:u w:val="none"/>
                <w:lang w:bidi="ar"/>
              </w:rPr>
            </w:pPr>
            <w:r>
              <w:rPr>
                <w:rFonts w:hint="eastAsia" w:ascii="仿宋" w:hAnsi="仿宋" w:eastAsia="仿宋" w:cs="仿宋"/>
                <w:b/>
                <w:bCs/>
                <w:color w:val="auto"/>
                <w:kern w:val="0"/>
                <w:sz w:val="28"/>
                <w:szCs w:val="28"/>
                <w:highlight w:val="none"/>
                <w:u w:val="none"/>
                <w:lang w:bidi="ar"/>
              </w:rPr>
              <w:t>“</w:t>
            </w:r>
            <w:r>
              <w:rPr>
                <w:rFonts w:hint="eastAsia" w:ascii="仿宋" w:hAnsi="仿宋" w:eastAsia="仿宋" w:cs="仿宋"/>
                <w:b/>
                <w:bCs/>
                <w:color w:val="auto"/>
                <w:kern w:val="0"/>
                <w:sz w:val="28"/>
                <w:szCs w:val="28"/>
                <w:highlight w:val="none"/>
                <w:u w:val="none"/>
                <w:lang w:val="en-US" w:eastAsia="zh-CN" w:bidi="ar"/>
              </w:rPr>
              <w:t>十</w:t>
            </w:r>
            <w:r>
              <w:rPr>
                <w:rFonts w:hint="eastAsia" w:ascii="仿宋" w:hAnsi="仿宋" w:eastAsia="仿宋" w:cs="仿宋"/>
                <w:b/>
                <w:bCs/>
                <w:color w:val="auto"/>
                <w:kern w:val="0"/>
                <w:sz w:val="28"/>
                <w:szCs w:val="28"/>
                <w:highlight w:val="none"/>
                <w:u w:val="none"/>
                <w:lang w:bidi="ar"/>
              </w:rPr>
              <w:t>馆</w:t>
            </w:r>
            <w:r>
              <w:rPr>
                <w:rFonts w:hint="eastAsia" w:ascii="仿宋" w:hAnsi="仿宋" w:eastAsia="仿宋" w:cs="仿宋"/>
                <w:b/>
                <w:bCs/>
                <w:color w:val="auto"/>
                <w:kern w:val="0"/>
                <w:sz w:val="28"/>
                <w:szCs w:val="28"/>
                <w:highlight w:val="none"/>
                <w:u w:val="none"/>
                <w:lang w:val="en-US" w:eastAsia="zh-CN" w:bidi="ar"/>
              </w:rPr>
              <w:t>百</w:t>
            </w:r>
            <w:r>
              <w:rPr>
                <w:rFonts w:hint="eastAsia" w:ascii="仿宋" w:hAnsi="仿宋" w:eastAsia="仿宋" w:cs="仿宋"/>
                <w:b/>
                <w:bCs/>
                <w:color w:val="auto"/>
                <w:kern w:val="0"/>
                <w:sz w:val="28"/>
                <w:szCs w:val="28"/>
                <w:highlight w:val="none"/>
                <w:u w:val="none"/>
                <w:lang w:bidi="ar"/>
              </w:rPr>
              <w:t>货”工程：</w:t>
            </w:r>
            <w:r>
              <w:rPr>
                <w:rFonts w:hint="eastAsia" w:ascii="仿宋" w:hAnsi="仿宋" w:eastAsia="仿宋" w:cs="仿宋"/>
                <w:b w:val="0"/>
                <w:bCs w:val="0"/>
                <w:color w:val="auto"/>
                <w:kern w:val="0"/>
                <w:sz w:val="28"/>
                <w:szCs w:val="28"/>
                <w:highlight w:val="none"/>
                <w:u w:val="none"/>
                <w:lang w:bidi="ar"/>
              </w:rPr>
              <w:t>聚焦国内国际双循环，设立10个以上进口商品特色馆，布局100家以上进口商品分销网点，共享扩大进口发展机遇，建设“境内关外”新型进口市场。</w:t>
            </w:r>
          </w:p>
          <w:p w14:paraId="780D7AF3">
            <w:pPr>
              <w:pageBreakBefore w:val="0"/>
              <w:widowControl/>
              <w:wordWrap/>
              <w:bidi w:val="0"/>
              <w:adjustRightInd/>
              <w:snapToGrid/>
              <w:spacing w:before="0" w:after="0" w:line="240" w:lineRule="auto"/>
              <w:ind w:firstLine="562" w:firstLineChars="200"/>
              <w:jc w:val="both"/>
              <w:textAlignment w:val="center"/>
              <w:rPr>
                <w:rFonts w:ascii="宋体" w:hAnsi="宋体" w:eastAsia="宋体" w:cs="宋体"/>
                <w:b/>
                <w:bCs/>
                <w:color w:val="auto"/>
                <w:sz w:val="21"/>
                <w:szCs w:val="21"/>
                <w:highlight w:val="none"/>
              </w:rPr>
            </w:pPr>
            <w:r>
              <w:rPr>
                <w:rFonts w:hint="eastAsia" w:ascii="仿宋" w:hAnsi="仿宋" w:eastAsia="仿宋" w:cs="仿宋"/>
                <w:b/>
                <w:bCs/>
                <w:color w:val="auto"/>
                <w:kern w:val="0"/>
                <w:sz w:val="28"/>
                <w:szCs w:val="28"/>
                <w:highlight w:val="none"/>
                <w:u w:val="none"/>
                <w:lang w:bidi="ar"/>
              </w:rPr>
              <w:t>“</w:t>
            </w:r>
            <w:r>
              <w:rPr>
                <w:rFonts w:hint="eastAsia" w:ascii="仿宋" w:hAnsi="仿宋" w:eastAsia="仿宋" w:cs="仿宋"/>
                <w:b/>
                <w:bCs/>
                <w:color w:val="auto"/>
                <w:kern w:val="0"/>
                <w:sz w:val="28"/>
                <w:szCs w:val="28"/>
                <w:highlight w:val="none"/>
                <w:u w:val="none"/>
                <w:lang w:val="en-US" w:eastAsia="zh-CN" w:bidi="ar"/>
              </w:rPr>
              <w:t>十</w:t>
            </w:r>
            <w:r>
              <w:rPr>
                <w:rFonts w:hint="eastAsia" w:ascii="仿宋" w:hAnsi="仿宋" w:eastAsia="仿宋" w:cs="仿宋"/>
                <w:b/>
                <w:bCs/>
                <w:color w:val="auto"/>
                <w:kern w:val="0"/>
                <w:sz w:val="28"/>
                <w:szCs w:val="28"/>
                <w:highlight w:val="none"/>
                <w:u w:val="none"/>
                <w:lang w:bidi="ar"/>
              </w:rPr>
              <w:t>院</w:t>
            </w:r>
            <w:r>
              <w:rPr>
                <w:rFonts w:hint="eastAsia" w:ascii="仿宋" w:hAnsi="仿宋" w:eastAsia="仿宋" w:cs="仿宋"/>
                <w:b/>
                <w:bCs/>
                <w:color w:val="auto"/>
                <w:kern w:val="0"/>
                <w:sz w:val="28"/>
                <w:szCs w:val="28"/>
                <w:highlight w:val="none"/>
                <w:u w:val="none"/>
                <w:lang w:val="en-US" w:eastAsia="zh-CN" w:bidi="ar"/>
              </w:rPr>
              <w:t>百</w:t>
            </w:r>
            <w:r>
              <w:rPr>
                <w:rFonts w:hint="eastAsia" w:ascii="仿宋" w:hAnsi="仿宋" w:eastAsia="仿宋" w:cs="仿宋"/>
                <w:b/>
                <w:bCs/>
                <w:color w:val="auto"/>
                <w:kern w:val="0"/>
                <w:sz w:val="28"/>
                <w:szCs w:val="28"/>
                <w:highlight w:val="none"/>
                <w:u w:val="none"/>
                <w:lang w:bidi="ar"/>
              </w:rPr>
              <w:t>创”工程：</w:t>
            </w:r>
            <w:r>
              <w:rPr>
                <w:rFonts w:hint="eastAsia" w:ascii="仿宋" w:hAnsi="仿宋" w:eastAsia="仿宋" w:cs="仿宋"/>
                <w:b w:val="0"/>
                <w:bCs w:val="0"/>
                <w:color w:val="auto"/>
                <w:kern w:val="0"/>
                <w:sz w:val="28"/>
                <w:szCs w:val="28"/>
                <w:highlight w:val="none"/>
                <w:u w:val="none"/>
                <w:lang w:bidi="ar"/>
              </w:rPr>
              <w:t>聚焦国内国际双循环，与10所以上设计院校开展深度合作，集聚100名设计人才，共聚创业创新服务要素，推动市场提质创牌，累计研发100种以上创意设计产品，打造小商品创新策源地。</w:t>
            </w:r>
          </w:p>
        </w:tc>
      </w:tr>
    </w:tbl>
    <w:p w14:paraId="345DE400">
      <w:pPr>
        <w:pStyle w:val="4"/>
        <w:keepNext/>
        <w:keepLines/>
        <w:pageBreakBefore w:val="0"/>
        <w:widowControl w:val="0"/>
        <w:kinsoku/>
        <w:wordWrap/>
        <w:overflowPunct/>
        <w:topLinePunct w:val="0"/>
        <w:autoSpaceDE/>
        <w:autoSpaceDN/>
        <w:bidi w:val="0"/>
        <w:adjustRightInd/>
        <w:snapToGrid/>
        <w:spacing w:before="0" w:after="0" w:line="620" w:lineRule="exact"/>
        <w:jc w:val="center"/>
        <w:textAlignment w:val="auto"/>
        <w:rPr>
          <w:rFonts w:hint="eastAsia" w:ascii="黑体" w:hAnsi="黑体" w:eastAsia="黑体" w:cs="黑体"/>
          <w:b w:val="0"/>
          <w:bCs/>
          <w:color w:val="auto"/>
          <w:highlight w:val="none"/>
        </w:rPr>
      </w:pPr>
      <w:bookmarkStart w:id="78" w:name="_Toc19964"/>
      <w:r>
        <w:rPr>
          <w:rFonts w:hint="eastAsia" w:ascii="黑体" w:hAnsi="黑体" w:eastAsia="黑体" w:cs="黑体"/>
          <w:b w:val="0"/>
          <w:bCs/>
          <w:color w:val="auto"/>
          <w:kern w:val="44"/>
          <w:sz w:val="32"/>
          <w:szCs w:val="32"/>
          <w:highlight w:val="none"/>
          <w:lang w:val="en-US" w:eastAsia="zh-CN" w:bidi="ar-SA"/>
        </w:rPr>
        <w:t>第二节  加快推动消费升级</w:t>
      </w:r>
      <w:bookmarkEnd w:id="78"/>
    </w:p>
    <w:p w14:paraId="0A6A1F55">
      <w:pPr>
        <w:keepNext w:val="0"/>
        <w:keepLines w:val="0"/>
        <w:pageBreakBefore w:val="0"/>
        <w:widowControl w:val="0"/>
        <w:kinsoku/>
        <w:wordWrap/>
        <w:overflowPunct/>
        <w:topLinePunct w:val="0"/>
        <w:autoSpaceDE/>
        <w:autoSpaceDN/>
        <w:bidi w:val="0"/>
        <w:adjustRightInd/>
        <w:snapToGrid/>
        <w:spacing w:line="660" w:lineRule="exact"/>
        <w:ind w:firstLine="640" w:firstLineChars="200"/>
        <w:textAlignment w:val="auto"/>
        <w:rPr>
          <w:rFonts w:hint="eastAsia" w:ascii="仿宋" w:hAnsi="仿宋" w:eastAsia="仿宋" w:cs="仿宋"/>
          <w:i w:val="0"/>
          <w:caps w:val="0"/>
          <w:color w:val="auto"/>
          <w:spacing w:val="0"/>
          <w:sz w:val="32"/>
          <w:szCs w:val="32"/>
          <w:highlight w:val="none"/>
        </w:rPr>
      </w:pPr>
      <w:r>
        <w:rPr>
          <w:rFonts w:hint="eastAsia" w:ascii="仿宋" w:hAnsi="仿宋" w:eastAsia="仿宋" w:cs="仿宋"/>
          <w:i w:val="0"/>
          <w:caps w:val="0"/>
          <w:color w:val="auto"/>
          <w:spacing w:val="0"/>
          <w:sz w:val="32"/>
          <w:szCs w:val="32"/>
          <w:highlight w:val="none"/>
          <w:lang w:eastAsia="zh-CN"/>
        </w:rPr>
        <w:t>增强消费对经济发展的基础性作用，适应城乡居民个性化、多层次的消费需求，优化市场布局，顺应消费升级趋势，优化服务网络布局，培育新型消费，促进主流服务提质，适当增加公共消费。推动各类生活性服务业加快发展、提质提效，为经济社会发展提供新动力。</w:t>
      </w:r>
    </w:p>
    <w:p w14:paraId="2466A8F9">
      <w:pPr>
        <w:keepNext w:val="0"/>
        <w:keepLines w:val="0"/>
        <w:pageBreakBefore w:val="0"/>
        <w:widowControl w:val="0"/>
        <w:kinsoku/>
        <w:wordWrap/>
        <w:overflowPunct/>
        <w:topLinePunct w:val="0"/>
        <w:autoSpaceDE/>
        <w:autoSpaceDN/>
        <w:bidi w:val="0"/>
        <w:adjustRightInd/>
        <w:snapToGrid/>
        <w:spacing w:line="636" w:lineRule="exact"/>
        <w:ind w:firstLine="643" w:firstLineChars="200"/>
        <w:jc w:val="both"/>
        <w:textAlignment w:val="auto"/>
        <w:rPr>
          <w:rFonts w:hint="eastAsia"/>
          <w:color w:val="auto"/>
          <w:highlight w:val="none"/>
          <w:lang w:val="en-US" w:eastAsia="zh-CN"/>
        </w:rPr>
      </w:pPr>
      <w:r>
        <w:rPr>
          <w:rFonts w:hint="eastAsia" w:ascii="KaiTi_GB2312" w:hAnsi="KaiTi_GB2312" w:eastAsia="KaiTi_GB2312" w:cs="KaiTi_GB2312"/>
          <w:b/>
          <w:bCs/>
          <w:color w:val="auto"/>
          <w:sz w:val="32"/>
          <w:szCs w:val="32"/>
          <w:highlight w:val="none"/>
          <w:lang w:val="en-US" w:eastAsia="zh-CN"/>
        </w:rPr>
        <w:t>优化服务网络布局。</w:t>
      </w:r>
      <w:r>
        <w:rPr>
          <w:rFonts w:hint="eastAsia" w:ascii="仿宋" w:hAnsi="仿宋" w:eastAsia="仿宋" w:cs="仿宋"/>
          <w:b w:val="0"/>
          <w:bCs w:val="0"/>
          <w:color w:val="auto"/>
          <w:sz w:val="32"/>
          <w:szCs w:val="32"/>
          <w:highlight w:val="none"/>
          <w:lang w:val="en-US" w:eastAsia="zh-CN"/>
        </w:rPr>
        <w:t>壮大步步高、通程电器、百姓广场中心商圈等商贸服务体，</w:t>
      </w:r>
      <w:r>
        <w:rPr>
          <w:rFonts w:hint="eastAsia" w:ascii="仿宋" w:hAnsi="仿宋" w:eastAsia="仿宋" w:cs="仿宋"/>
          <w:color w:val="auto"/>
          <w:sz w:val="32"/>
          <w:szCs w:val="32"/>
          <w:highlight w:val="none"/>
          <w:lang w:val="en-US" w:eastAsia="zh-CN"/>
        </w:rPr>
        <w:t>大力发展连锁经营和统一配送，积极发展便利店、综合服务站、中小超市等社区商业。优化消费网络重要节点布局，培育1-2个消费中心商贸区，推动城乡商业网点建设，优化商业零售业企业规划布局，发展小店经济、夜经济。扩大农村消费，畅通城乡消费联通渠道，支持城市商业向农村延伸设置网点，推动汽车下乡，加快建设城乡一体的汽车销售和售后服务网络，推动农村地区家电更新换代，鼓励家电生产企业依托销售网点开展家电下乡。</w:t>
      </w:r>
    </w:p>
    <w:p w14:paraId="18AE88EF">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sz w:val="32"/>
          <w:szCs w:val="32"/>
          <w:highlight w:val="none"/>
          <w:lang w:val="en-US" w:eastAsia="zh-CN"/>
        </w:rPr>
      </w:pPr>
      <w:r>
        <w:rPr>
          <w:rFonts w:hint="eastAsia" w:ascii="KaiTi_GB2312" w:hAnsi="KaiTi_GB2312" w:eastAsia="KaiTi_GB2312" w:cs="KaiTi_GB2312"/>
          <w:b/>
          <w:bCs/>
          <w:color w:val="auto"/>
          <w:sz w:val="32"/>
          <w:szCs w:val="32"/>
          <w:highlight w:val="none"/>
          <w:lang w:val="zh-CN" w:eastAsia="zh-CN"/>
        </w:rPr>
        <w:t>培育新型消费模式。</w:t>
      </w:r>
      <w:r>
        <w:rPr>
          <w:rFonts w:hint="eastAsia" w:ascii="仿宋" w:hAnsi="仿宋" w:eastAsia="仿宋" w:cs="仿宋"/>
          <w:color w:val="auto"/>
          <w:sz w:val="32"/>
          <w:szCs w:val="32"/>
          <w:highlight w:val="none"/>
          <w:lang w:val="en-US" w:eastAsia="zh-CN"/>
        </w:rPr>
        <w:t>提档升级住房、汽车、家电、家居等实物消费，抓好湘桂黔汽贸城二期、家政服务中心建设。大力推进城乡农贸市场改造提升，推动传统市场从单一交易市场向现代化多功能市场转变，向“线上线下”两种交易模式转变，向专业化商场和品牌展示中心等新型业态转变，不断提高市场的辐射力和影响力。坚持“房子是用来住，不是用来炒的”定位，进一步规范房地产市场秩序，促进房地产业健康发展，加快老旧小区改造，完善保障性住房管理制度，培育和规范住房租赁市场，引导住房合理消费。</w:t>
      </w:r>
      <w:r>
        <w:rPr>
          <w:rFonts w:hint="eastAsia" w:ascii="仿宋" w:hAnsi="仿宋" w:eastAsia="仿宋" w:cs="仿宋"/>
          <w:color w:val="auto"/>
          <w:sz w:val="32"/>
          <w:szCs w:val="32"/>
          <w:highlight w:val="none"/>
          <w:lang w:val="zh-CN" w:eastAsia="zh-CN"/>
        </w:rPr>
        <w:t>加快推动线上线下消费有机融合，促进传统线下业态数字化改造和转型升级</w:t>
      </w:r>
      <w:r>
        <w:rPr>
          <w:rFonts w:hint="eastAsia" w:ascii="仿宋" w:hAnsi="仿宋" w:eastAsia="仿宋" w:cs="仿宋"/>
          <w:color w:val="auto"/>
          <w:sz w:val="32"/>
          <w:szCs w:val="32"/>
          <w:highlight w:val="none"/>
          <w:lang w:val="en-US" w:eastAsia="zh-CN"/>
        </w:rPr>
        <w:t>，建设电子商务产业园、农商互联农产品供应链，实施“互联网＋商贸流通”行动计划，打造“互联网+特色农产品”电子商务产业链，打通“农产品进城、工业品下乡”的有效渠道。</w:t>
      </w:r>
      <w:r>
        <w:rPr>
          <w:rFonts w:hint="eastAsia" w:ascii="仿宋" w:hAnsi="仿宋" w:eastAsia="仿宋" w:cs="仿宋"/>
          <w:color w:val="auto"/>
          <w:sz w:val="32"/>
          <w:szCs w:val="32"/>
          <w:highlight w:val="none"/>
          <w:lang w:val="zh-CN" w:eastAsia="zh-CN"/>
        </w:rPr>
        <w:t>大力发展“互联网+社会服务”消费模式，培育丰富在线医疗、在线文娱等线上消费。</w:t>
      </w:r>
      <w:r>
        <w:rPr>
          <w:rFonts w:hint="eastAsia" w:ascii="仿宋" w:hAnsi="仿宋" w:eastAsia="仿宋" w:cs="仿宋"/>
          <w:color w:val="auto"/>
          <w:sz w:val="32"/>
          <w:szCs w:val="32"/>
          <w:highlight w:val="none"/>
          <w:lang w:val="en-US" w:eastAsia="zh-CN"/>
        </w:rPr>
        <w:t>确保“十四五”期间实现电子商务成交额年均增长20%以上</w:t>
      </w:r>
      <w:r>
        <w:rPr>
          <w:rFonts w:hint="eastAsia" w:ascii="仿宋" w:hAnsi="仿宋" w:eastAsia="仿宋" w:cs="仿宋"/>
          <w:color w:val="auto"/>
          <w:sz w:val="32"/>
          <w:szCs w:val="32"/>
          <w:highlight w:val="none"/>
          <w:lang w:val="zh-CN" w:eastAsia="zh-CN"/>
        </w:rPr>
        <w:t>。</w:t>
      </w:r>
      <w:r>
        <w:rPr>
          <w:rFonts w:hint="eastAsia" w:ascii="仿宋" w:hAnsi="仿宋" w:eastAsia="仿宋" w:cs="仿宋"/>
          <w:color w:val="auto"/>
          <w:sz w:val="32"/>
          <w:szCs w:val="32"/>
          <w:highlight w:val="none"/>
          <w:lang w:val="en-US" w:eastAsia="zh-CN"/>
        </w:rPr>
        <w:t> </w:t>
      </w:r>
      <w:r>
        <w:rPr>
          <w:rFonts w:hint="eastAsia" w:ascii="仿宋" w:hAnsi="仿宋" w:eastAsia="仿宋" w:cs="仿宋"/>
          <w:color w:val="auto"/>
          <w:sz w:val="32"/>
          <w:szCs w:val="32"/>
          <w:highlight w:val="none"/>
          <w:lang w:val="zh-CN" w:eastAsia="zh-CN"/>
        </w:rPr>
        <w:t>探索发展智慧超市、智慧商店、智慧餐厅等新零售业态，</w:t>
      </w:r>
      <w:r>
        <w:rPr>
          <w:rFonts w:hint="eastAsia" w:ascii="仿宋" w:hAnsi="仿宋" w:eastAsia="仿宋" w:cs="仿宋"/>
          <w:color w:val="auto"/>
          <w:sz w:val="32"/>
          <w:szCs w:val="32"/>
          <w:highlight w:val="none"/>
          <w:lang w:val="en-US" w:eastAsia="zh-CN"/>
        </w:rPr>
        <w:t>积极培育体验消费、网络消费，打造时尚消费、品质消费和“夜经济”地标。</w:t>
      </w:r>
    </w:p>
    <w:p w14:paraId="59821497">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color w:val="auto"/>
          <w:highlight w:val="none"/>
          <w:lang w:val="zh-CN" w:eastAsia="zh-CN"/>
        </w:rPr>
      </w:pPr>
      <w:r>
        <w:rPr>
          <w:rFonts w:hint="eastAsia" w:ascii="KaiTi_GB2312" w:hAnsi="KaiTi_GB2312" w:eastAsia="KaiTi_GB2312" w:cs="KaiTi_GB2312"/>
          <w:b/>
          <w:bCs/>
          <w:color w:val="auto"/>
          <w:sz w:val="32"/>
          <w:szCs w:val="32"/>
          <w:highlight w:val="none"/>
          <w:lang w:val="en-US" w:eastAsia="zh-CN"/>
        </w:rPr>
        <w:t>加快新型服务</w:t>
      </w:r>
      <w:r>
        <w:rPr>
          <w:rFonts w:hint="eastAsia" w:ascii="KaiTi_GB2312" w:hAnsi="KaiTi_GB2312" w:eastAsia="KaiTi_GB2312" w:cs="KaiTi_GB2312"/>
          <w:b/>
          <w:bCs/>
          <w:color w:val="auto"/>
          <w:sz w:val="32"/>
          <w:szCs w:val="32"/>
          <w:highlight w:val="none"/>
          <w:lang w:val="zh-CN" w:eastAsia="zh-CN"/>
        </w:rPr>
        <w:t>扩容。</w:t>
      </w:r>
      <w:r>
        <w:rPr>
          <w:rFonts w:hint="eastAsia" w:ascii="仿宋" w:hAnsi="仿宋" w:eastAsia="仿宋" w:cs="仿宋"/>
          <w:color w:val="auto"/>
          <w:sz w:val="32"/>
          <w:szCs w:val="32"/>
          <w:highlight w:val="none"/>
          <w:lang w:val="zh-CN" w:eastAsia="zh-CN"/>
        </w:rPr>
        <w:t>完善消费政策，落实带薪休假制度，扩大节假日消费。加快释放文化、旅游、体育、养老、托幼、家政、教育培训等服务消费的潜力，丰富文化和旅游产品供给，提升旅游质量，推动文化事业和产业繁荣发展。</w:t>
      </w:r>
      <w:r>
        <w:rPr>
          <w:rFonts w:hint="eastAsia" w:ascii="仿宋" w:hAnsi="仿宋" w:eastAsia="仿宋" w:cs="仿宋"/>
          <w:color w:val="auto"/>
          <w:sz w:val="32"/>
          <w:szCs w:val="32"/>
          <w:highlight w:val="none"/>
          <w:lang w:val="en-US" w:eastAsia="zh-CN"/>
        </w:rPr>
        <w:t>优化医疗服务资源配置，加快发展专业规范的护理服务。支持新型消费扩容，惠及全民。大力发展健康体检咨询、体育健身等多样化健康服务。</w:t>
      </w:r>
      <w:r>
        <w:rPr>
          <w:rFonts w:hint="eastAsia" w:ascii="仿宋" w:hAnsi="仿宋" w:eastAsia="仿宋" w:cs="仿宋"/>
          <w:color w:val="auto"/>
          <w:sz w:val="32"/>
          <w:szCs w:val="32"/>
          <w:highlight w:val="none"/>
          <w:lang w:val="zh-CN" w:eastAsia="zh-CN"/>
        </w:rPr>
        <w:t>适当增加公共消费，促进餐饮</w:t>
      </w:r>
      <w:r>
        <w:rPr>
          <w:rFonts w:hint="eastAsia" w:ascii="仿宋" w:hAnsi="仿宋" w:eastAsia="仿宋" w:cs="仿宋"/>
          <w:color w:val="auto"/>
          <w:sz w:val="32"/>
          <w:szCs w:val="32"/>
          <w:highlight w:val="none"/>
          <w:lang w:val="en-US" w:eastAsia="zh-CN"/>
        </w:rPr>
        <w:t>住宿</w:t>
      </w:r>
      <w:r>
        <w:rPr>
          <w:rFonts w:hint="eastAsia" w:ascii="仿宋" w:hAnsi="仿宋" w:eastAsia="仿宋" w:cs="仿宋"/>
          <w:color w:val="auto"/>
          <w:sz w:val="32"/>
          <w:szCs w:val="32"/>
          <w:highlight w:val="none"/>
          <w:lang w:val="zh-CN" w:eastAsia="zh-CN"/>
        </w:rPr>
        <w:t>、文化体育、健康养老、旅游休闲、家</w:t>
      </w:r>
      <w:r>
        <w:rPr>
          <w:rFonts w:hint="eastAsia" w:ascii="仿宋" w:hAnsi="仿宋" w:eastAsia="仿宋" w:cs="仿宋"/>
          <w:color w:val="auto"/>
          <w:sz w:val="32"/>
          <w:szCs w:val="32"/>
          <w:highlight w:val="none"/>
          <w:lang w:val="en-US" w:eastAsia="zh-CN"/>
        </w:rPr>
        <w:t>政</w:t>
      </w:r>
      <w:r>
        <w:rPr>
          <w:rFonts w:hint="eastAsia" w:ascii="仿宋" w:hAnsi="仿宋" w:eastAsia="仿宋" w:cs="仿宋"/>
          <w:color w:val="auto"/>
          <w:sz w:val="32"/>
          <w:szCs w:val="32"/>
          <w:highlight w:val="none"/>
          <w:lang w:val="zh-CN" w:eastAsia="zh-CN"/>
        </w:rPr>
        <w:t>服务等生活性服务业消费提质扩容。营造消费新环境，加强市场监管，打击假冒伪劣产品，保护消费</w:t>
      </w:r>
      <w:r>
        <w:rPr>
          <w:rFonts w:hint="eastAsia" w:ascii="仿宋" w:hAnsi="仿宋" w:eastAsia="仿宋" w:cs="仿宋"/>
          <w:color w:val="auto"/>
          <w:sz w:val="32"/>
          <w:szCs w:val="32"/>
          <w:highlight w:val="none"/>
          <w:lang w:val="en-US" w:eastAsia="zh-CN"/>
        </w:rPr>
        <w:t>者合法</w:t>
      </w:r>
      <w:r>
        <w:rPr>
          <w:rFonts w:hint="eastAsia" w:ascii="仿宋" w:hAnsi="仿宋" w:eastAsia="仿宋" w:cs="仿宋"/>
          <w:color w:val="auto"/>
          <w:sz w:val="32"/>
          <w:szCs w:val="32"/>
          <w:highlight w:val="none"/>
          <w:lang w:val="zh-CN" w:eastAsia="zh-CN"/>
        </w:rPr>
        <w:t>权益。</w:t>
      </w:r>
    </w:p>
    <w:p w14:paraId="08E2CF01">
      <w:pPr>
        <w:pStyle w:val="4"/>
        <w:keepNext/>
        <w:keepLines/>
        <w:pageBreakBefore w:val="0"/>
        <w:widowControl w:val="0"/>
        <w:kinsoku/>
        <w:wordWrap/>
        <w:overflowPunct/>
        <w:topLinePunct w:val="0"/>
        <w:autoSpaceDE/>
        <w:autoSpaceDN/>
        <w:bidi w:val="0"/>
        <w:adjustRightInd/>
        <w:snapToGrid/>
        <w:spacing w:before="0" w:after="0" w:line="630" w:lineRule="exact"/>
        <w:jc w:val="center"/>
        <w:textAlignment w:val="auto"/>
        <w:rPr>
          <w:rFonts w:hint="eastAsia" w:ascii="黑体" w:hAnsi="黑体" w:eastAsia="黑体" w:cs="黑体"/>
          <w:b w:val="0"/>
          <w:bCs/>
          <w:color w:val="auto"/>
          <w:highlight w:val="none"/>
        </w:rPr>
      </w:pPr>
      <w:bookmarkStart w:id="79" w:name="_Toc16541"/>
      <w:r>
        <w:rPr>
          <w:rFonts w:hint="eastAsia" w:ascii="黑体" w:hAnsi="黑体" w:eastAsia="黑体" w:cs="黑体"/>
          <w:b w:val="0"/>
          <w:bCs/>
          <w:color w:val="auto"/>
          <w:kern w:val="44"/>
          <w:sz w:val="32"/>
          <w:szCs w:val="32"/>
          <w:highlight w:val="none"/>
          <w:lang w:val="en-US" w:eastAsia="zh-CN" w:bidi="ar-SA"/>
        </w:rPr>
        <w:t>第三节  努力扩大有效投资</w:t>
      </w:r>
      <w:bookmarkEnd w:id="79"/>
    </w:p>
    <w:p w14:paraId="3808902A">
      <w:pPr>
        <w:pageBreakBefore w:val="0"/>
        <w:widowControl w:val="0"/>
        <w:kinsoku/>
        <w:wordWrap/>
        <w:overflowPunct/>
        <w:topLinePunct w:val="0"/>
        <w:autoSpaceDE/>
        <w:autoSpaceDN/>
        <w:bidi w:val="0"/>
        <w:adjustRightInd/>
        <w:snapToGrid/>
        <w:spacing w:line="63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发挥投资对优化供给结构的作用，激发内生动力，促进转型升级，稳定经济运行。</w:t>
      </w:r>
      <w:r>
        <w:rPr>
          <w:rFonts w:hint="eastAsia" w:ascii="仿宋" w:hAnsi="仿宋" w:eastAsia="仿宋" w:cs="仿宋"/>
          <w:color w:val="auto"/>
          <w:sz w:val="32"/>
          <w:szCs w:val="32"/>
          <w:highlight w:val="none"/>
          <w:lang w:val="en-US" w:eastAsia="zh-CN"/>
        </w:rPr>
        <w:t>对接国家政策，激活民间投资，创新投资方式。</w:t>
      </w:r>
      <w:r>
        <w:rPr>
          <w:rFonts w:hint="eastAsia" w:ascii="仿宋" w:hAnsi="仿宋" w:eastAsia="仿宋" w:cs="仿宋"/>
          <w:color w:val="auto"/>
          <w:sz w:val="32"/>
          <w:szCs w:val="32"/>
          <w:highlight w:val="none"/>
        </w:rPr>
        <w:t>持之以恒上项目、扩投资、稳增长。</w:t>
      </w:r>
    </w:p>
    <w:p w14:paraId="40B33BB7">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sz w:val="32"/>
          <w:szCs w:val="32"/>
          <w:highlight w:val="none"/>
        </w:rPr>
      </w:pPr>
      <w:r>
        <w:rPr>
          <w:rFonts w:hint="eastAsia" w:ascii="KaiTi_GB2312" w:hAnsi="KaiTi_GB2312" w:eastAsia="KaiTi_GB2312" w:cs="KaiTi_GB2312"/>
          <w:b/>
          <w:bCs/>
          <w:color w:val="auto"/>
          <w:sz w:val="32"/>
          <w:szCs w:val="32"/>
          <w:highlight w:val="none"/>
          <w:lang w:val="en-US" w:eastAsia="zh-CN"/>
        </w:rPr>
        <w:t>对接国家政策。</w:t>
      </w:r>
      <w:r>
        <w:rPr>
          <w:rFonts w:hint="eastAsia" w:ascii="仿宋" w:hAnsi="仿宋" w:eastAsia="仿宋" w:cs="仿宋"/>
          <w:bCs/>
          <w:color w:val="auto"/>
          <w:szCs w:val="32"/>
          <w:highlight w:val="none"/>
          <w:lang w:val="en-US" w:eastAsia="zh-CN"/>
        </w:rPr>
        <w:t>围绕产业、“两新一重”、生态环保、乡村振兴、</w:t>
      </w:r>
      <w:r>
        <w:rPr>
          <w:rFonts w:hint="eastAsia" w:ascii="仿宋" w:hAnsi="仿宋" w:eastAsia="仿宋" w:cs="仿宋"/>
          <w:bCs/>
          <w:color w:val="auto"/>
          <w:szCs w:val="32"/>
          <w:highlight w:val="none"/>
          <w:lang w:eastAsia="zh-CN"/>
        </w:rPr>
        <w:t>社会民生、</w:t>
      </w:r>
      <w:r>
        <w:rPr>
          <w:rFonts w:hint="eastAsia" w:ascii="仿宋" w:hAnsi="仿宋" w:eastAsia="仿宋" w:cs="仿宋"/>
          <w:bCs/>
          <w:color w:val="auto"/>
          <w:szCs w:val="32"/>
          <w:highlight w:val="none"/>
          <w:lang w:val="en-US" w:eastAsia="zh-CN"/>
        </w:rPr>
        <w:t>公共安全与应急能力提升等领域，大力实施扩投资专项行动。</w:t>
      </w:r>
      <w:r>
        <w:rPr>
          <w:rFonts w:hint="eastAsia" w:ascii="仿宋" w:hAnsi="仿宋" w:eastAsia="仿宋" w:cs="仿宋"/>
          <w:bCs/>
          <w:color w:val="auto"/>
          <w:szCs w:val="32"/>
          <w:highlight w:val="none"/>
        </w:rPr>
        <w:t>推动一批重大项目建设，扩大有效投资。</w:t>
      </w:r>
      <w:r>
        <w:rPr>
          <w:rFonts w:hint="eastAsia" w:ascii="仿宋" w:hAnsi="仿宋" w:eastAsia="仿宋" w:cs="仿宋"/>
          <w:bCs/>
          <w:color w:val="auto"/>
          <w:szCs w:val="32"/>
          <w:highlight w:val="none"/>
          <w:lang w:val="en-US" w:eastAsia="zh-CN"/>
        </w:rPr>
        <w:t>重点布局医疗、卫生、教育、公共体育等方面重大项目、重点工程，提高民生领域的投资力度。</w:t>
      </w:r>
      <w:r>
        <w:rPr>
          <w:rFonts w:hint="eastAsia" w:ascii="仿宋" w:hAnsi="仿宋" w:eastAsia="仿宋" w:cs="仿宋"/>
          <w:color w:val="auto"/>
          <w:sz w:val="32"/>
          <w:szCs w:val="32"/>
          <w:highlight w:val="none"/>
        </w:rPr>
        <w:t>支持企业对接国家重大科技专项和重点研发计划，对接湖南创新型省份建设、制造强省、军民融合、人才发展等专项计划，形成一批</w:t>
      </w:r>
      <w:r>
        <w:rPr>
          <w:rFonts w:hint="eastAsia" w:ascii="仿宋" w:hAnsi="仿宋" w:eastAsia="仿宋" w:cs="仿宋"/>
          <w:color w:val="auto"/>
          <w:sz w:val="32"/>
          <w:szCs w:val="32"/>
          <w:highlight w:val="none"/>
          <w:lang w:eastAsia="zh-CN"/>
        </w:rPr>
        <w:t>具有</w:t>
      </w:r>
      <w:r>
        <w:rPr>
          <w:rFonts w:hint="eastAsia" w:ascii="仿宋" w:hAnsi="仿宋" w:eastAsia="仿宋" w:cs="仿宋"/>
          <w:color w:val="auto"/>
          <w:sz w:val="32"/>
          <w:szCs w:val="32"/>
          <w:highlight w:val="none"/>
        </w:rPr>
        <w:t>自主知识产权</w:t>
      </w:r>
      <w:r>
        <w:rPr>
          <w:rFonts w:hint="eastAsia" w:ascii="仿宋" w:hAnsi="仿宋" w:eastAsia="仿宋" w:cs="仿宋"/>
          <w:color w:val="auto"/>
          <w:sz w:val="32"/>
          <w:szCs w:val="32"/>
          <w:highlight w:val="none"/>
          <w:lang w:eastAsia="zh-CN"/>
        </w:rPr>
        <w:t>的</w:t>
      </w:r>
      <w:r>
        <w:rPr>
          <w:rFonts w:hint="eastAsia" w:ascii="仿宋" w:hAnsi="仿宋" w:eastAsia="仿宋" w:cs="仿宋"/>
          <w:color w:val="auto"/>
          <w:sz w:val="32"/>
          <w:szCs w:val="32"/>
          <w:highlight w:val="none"/>
        </w:rPr>
        <w:t>产品。加大先进制造业领域研发和创新平台支持力度</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设立高新技术产业发展基金，培育一批创新企业集群。</w:t>
      </w:r>
    </w:p>
    <w:p w14:paraId="7BD9A8B9">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bCs/>
          <w:color w:val="auto"/>
          <w:szCs w:val="32"/>
          <w:highlight w:val="none"/>
          <w:lang w:val="en-US" w:eastAsia="zh-CN"/>
        </w:rPr>
      </w:pPr>
      <w:r>
        <w:rPr>
          <w:rFonts w:hint="eastAsia" w:ascii="KaiTi_GB2312" w:hAnsi="KaiTi_GB2312" w:eastAsia="KaiTi_GB2312" w:cs="KaiTi_GB2312"/>
          <w:b/>
          <w:bCs/>
          <w:color w:val="auto"/>
          <w:sz w:val="32"/>
          <w:szCs w:val="32"/>
          <w:highlight w:val="none"/>
          <w:lang w:val="en-US" w:eastAsia="zh-CN"/>
        </w:rPr>
        <w:t>激活民间投资。</w:t>
      </w:r>
      <w:r>
        <w:rPr>
          <w:rFonts w:hint="eastAsia" w:ascii="仿宋" w:hAnsi="仿宋" w:eastAsia="仿宋" w:cs="仿宋"/>
          <w:b w:val="0"/>
          <w:bCs w:val="0"/>
          <w:color w:val="auto"/>
          <w:sz w:val="32"/>
          <w:szCs w:val="32"/>
          <w:highlight w:val="none"/>
          <w:lang w:val="en-US" w:eastAsia="zh-CN"/>
        </w:rPr>
        <w:t>深化投资审批制度改革，简化企业投资项目管理流程，</w:t>
      </w:r>
      <w:r>
        <w:rPr>
          <w:rFonts w:hint="eastAsia" w:ascii="仿宋" w:hAnsi="仿宋" w:eastAsia="仿宋" w:cs="仿宋"/>
          <w:color w:val="auto"/>
          <w:sz w:val="32"/>
          <w:szCs w:val="32"/>
          <w:highlight w:val="none"/>
        </w:rPr>
        <w:t>通过拨改投、拨改融等方式，带动社会资本投入。</w:t>
      </w:r>
      <w:r>
        <w:rPr>
          <w:rFonts w:hint="eastAsia" w:ascii="仿宋" w:hAnsi="仿宋" w:eastAsia="仿宋" w:cs="仿宋"/>
          <w:bCs/>
          <w:color w:val="auto"/>
          <w:szCs w:val="32"/>
          <w:highlight w:val="none"/>
        </w:rPr>
        <w:t>充分调动民间投资作为稳增长、调结构、促就业的重要支撑，</w:t>
      </w:r>
      <w:r>
        <w:rPr>
          <w:rFonts w:hint="eastAsia" w:ascii="仿宋" w:hAnsi="仿宋" w:eastAsia="仿宋" w:cs="仿宋"/>
          <w:bCs/>
          <w:color w:val="auto"/>
          <w:szCs w:val="32"/>
          <w:highlight w:val="none"/>
          <w:lang w:eastAsia="zh-CN"/>
        </w:rPr>
        <w:t>通过政银企合作、基础设施</w:t>
      </w:r>
      <w:r>
        <w:rPr>
          <w:rFonts w:hint="eastAsia" w:ascii="仿宋" w:hAnsi="仿宋" w:eastAsia="仿宋" w:cs="仿宋"/>
          <w:bCs/>
          <w:color w:val="auto"/>
          <w:szCs w:val="32"/>
          <w:highlight w:val="none"/>
          <w:lang w:val="en-US" w:eastAsia="zh-CN"/>
        </w:rPr>
        <w:t>REITs试点、PPP等形式</w:t>
      </w:r>
      <w:r>
        <w:rPr>
          <w:rFonts w:hint="eastAsia" w:ascii="仿宋" w:hAnsi="仿宋" w:eastAsia="仿宋" w:cs="仿宋"/>
          <w:bCs/>
          <w:color w:val="auto"/>
          <w:szCs w:val="32"/>
          <w:highlight w:val="none"/>
        </w:rPr>
        <w:t>，</w:t>
      </w:r>
      <w:r>
        <w:rPr>
          <w:rFonts w:hint="eastAsia" w:ascii="仿宋" w:hAnsi="仿宋" w:eastAsia="仿宋" w:cs="仿宋"/>
          <w:bCs/>
          <w:color w:val="auto"/>
          <w:szCs w:val="32"/>
          <w:highlight w:val="none"/>
          <w:lang w:eastAsia="zh-CN"/>
        </w:rPr>
        <w:t>大力引导和</w:t>
      </w:r>
      <w:r>
        <w:rPr>
          <w:rFonts w:hint="eastAsia" w:ascii="仿宋" w:hAnsi="仿宋" w:eastAsia="仿宋" w:cs="仿宋"/>
          <w:bCs/>
          <w:color w:val="auto"/>
          <w:szCs w:val="32"/>
          <w:highlight w:val="none"/>
        </w:rPr>
        <w:t>支持民间资本</w:t>
      </w:r>
      <w:r>
        <w:rPr>
          <w:rFonts w:hint="eastAsia" w:ascii="仿宋" w:hAnsi="仿宋" w:eastAsia="仿宋" w:cs="仿宋"/>
          <w:bCs/>
          <w:color w:val="auto"/>
          <w:szCs w:val="32"/>
          <w:highlight w:val="none"/>
          <w:lang w:eastAsia="zh-CN"/>
        </w:rPr>
        <w:t>参与</w:t>
      </w:r>
      <w:r>
        <w:rPr>
          <w:rFonts w:hint="eastAsia" w:ascii="仿宋" w:hAnsi="仿宋" w:eastAsia="仿宋" w:cs="仿宋"/>
          <w:bCs/>
          <w:color w:val="auto"/>
          <w:szCs w:val="32"/>
          <w:highlight w:val="none"/>
        </w:rPr>
        <w:t>城市供水、供气、污水和垃圾处理、公共交通、城市园林绿化等领域</w:t>
      </w:r>
      <w:r>
        <w:rPr>
          <w:rFonts w:hint="eastAsia" w:ascii="仿宋" w:hAnsi="仿宋" w:eastAsia="仿宋" w:cs="仿宋"/>
          <w:bCs/>
          <w:color w:val="auto"/>
          <w:szCs w:val="32"/>
          <w:highlight w:val="none"/>
          <w:lang w:eastAsia="zh-CN"/>
        </w:rPr>
        <w:t>建设运营</w:t>
      </w:r>
      <w:r>
        <w:rPr>
          <w:rFonts w:hint="eastAsia" w:ascii="仿宋" w:hAnsi="仿宋" w:eastAsia="仿宋" w:cs="仿宋"/>
          <w:bCs/>
          <w:color w:val="auto"/>
          <w:szCs w:val="32"/>
          <w:highlight w:val="none"/>
        </w:rPr>
        <w:t>。</w:t>
      </w:r>
      <w:r>
        <w:rPr>
          <w:rFonts w:hint="eastAsia" w:ascii="仿宋" w:hAnsi="仿宋" w:eastAsia="仿宋" w:cs="仿宋"/>
          <w:bCs/>
          <w:color w:val="auto"/>
          <w:szCs w:val="32"/>
          <w:highlight w:val="none"/>
          <w:lang w:val="en-US" w:eastAsia="zh-CN"/>
        </w:rPr>
        <w:t>支持民间资本创新创业，提供上市引领、孵化、辅导和赋能、担保服务、保险服务和金融体系配套服务，为民间资本投资提供有效护航。</w:t>
      </w:r>
    </w:p>
    <w:p w14:paraId="2DAA85B2">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highlight w:val="none"/>
        </w:rPr>
      </w:pPr>
      <w:r>
        <w:rPr>
          <w:rFonts w:hint="eastAsia" w:ascii="KaiTi_GB2312" w:hAnsi="KaiTi_GB2312" w:eastAsia="KaiTi_GB2312" w:cs="KaiTi_GB2312"/>
          <w:b/>
          <w:bCs/>
          <w:color w:val="auto"/>
          <w:sz w:val="32"/>
          <w:szCs w:val="32"/>
          <w:highlight w:val="none"/>
          <w:lang w:val="en-US" w:eastAsia="zh-CN"/>
        </w:rPr>
        <w:t>创新投资方式。</w:t>
      </w:r>
      <w:r>
        <w:rPr>
          <w:rFonts w:hint="eastAsia" w:ascii="仿宋" w:hAnsi="仿宋" w:eastAsia="仿宋" w:cs="仿宋"/>
          <w:color w:val="auto"/>
          <w:sz w:val="32"/>
          <w:szCs w:val="32"/>
          <w:highlight w:val="none"/>
        </w:rPr>
        <w:t>探索建立创业投资基金，综合运用科研资助、风险补偿、偿还性资助、创业投资、贷款贴息等方式,激励</w:t>
      </w:r>
      <w:r>
        <w:rPr>
          <w:rFonts w:hint="eastAsia" w:ascii="仿宋" w:hAnsi="仿宋" w:eastAsia="仿宋" w:cs="仿宋"/>
          <w:color w:val="auto"/>
          <w:spacing w:val="6"/>
          <w:sz w:val="32"/>
          <w:szCs w:val="32"/>
          <w:highlight w:val="none"/>
        </w:rPr>
        <w:t>民营企业加大科技投入</w:t>
      </w:r>
      <w:r>
        <w:rPr>
          <w:rFonts w:hint="eastAsia" w:ascii="仿宋" w:hAnsi="仿宋" w:eastAsia="仿宋" w:cs="仿宋"/>
          <w:color w:val="auto"/>
          <w:spacing w:val="6"/>
          <w:sz w:val="32"/>
          <w:szCs w:val="32"/>
          <w:highlight w:val="none"/>
          <w:lang w:eastAsia="zh-CN"/>
        </w:rPr>
        <w:t>，</w:t>
      </w:r>
      <w:r>
        <w:rPr>
          <w:rFonts w:hint="eastAsia" w:ascii="仿宋" w:hAnsi="仿宋" w:eastAsia="仿宋" w:cs="仿宋"/>
          <w:color w:val="auto"/>
          <w:spacing w:val="6"/>
          <w:sz w:val="32"/>
          <w:szCs w:val="32"/>
          <w:highlight w:val="none"/>
        </w:rPr>
        <w:t>推动创新创业发展。充实高新技术产业信贷风险补偿基金和贷款贴息专项资金规模，探索建立新兴优势产业链投资基金。</w:t>
      </w:r>
      <w:r>
        <w:rPr>
          <w:rFonts w:hint="eastAsia" w:ascii="仿宋" w:hAnsi="仿宋" w:eastAsia="仿宋" w:cs="仿宋"/>
          <w:color w:val="auto"/>
          <w:spacing w:val="6"/>
          <w:sz w:val="32"/>
          <w:szCs w:val="32"/>
          <w:highlight w:val="none"/>
          <w:lang w:eastAsia="zh-CN"/>
        </w:rPr>
        <w:t>优化政府投资，加强投资项目论证和监管，提高投资效益</w:t>
      </w:r>
      <w:r>
        <w:rPr>
          <w:rFonts w:hint="eastAsia" w:ascii="仿宋" w:hAnsi="仿宋" w:eastAsia="仿宋" w:cs="仿宋"/>
          <w:color w:val="auto"/>
          <w:spacing w:val="6"/>
          <w:sz w:val="32"/>
          <w:szCs w:val="32"/>
          <w:highlight w:val="none"/>
        </w:rPr>
        <w:t>。以政府性基金为重点，实施财政性资金全过程绩效管理，完善政府投资基金和专项资金使用报告制度，</w:t>
      </w:r>
      <w:r>
        <w:rPr>
          <w:rFonts w:hint="eastAsia" w:ascii="仿宋" w:hAnsi="仿宋" w:eastAsia="仿宋" w:cs="仿宋"/>
          <w:color w:val="auto"/>
          <w:sz w:val="32"/>
          <w:szCs w:val="32"/>
          <w:highlight w:val="none"/>
        </w:rPr>
        <w:t>建立健全政府投资基金动态调整机制。</w:t>
      </w:r>
      <w:r>
        <w:rPr>
          <w:rFonts w:hint="eastAsia" w:ascii="仿宋" w:hAnsi="仿宋" w:eastAsia="仿宋" w:cs="仿宋"/>
          <w:color w:val="auto"/>
          <w:sz w:val="32"/>
          <w:szCs w:val="32"/>
          <w:highlight w:val="none"/>
          <w:lang w:val="en-US" w:eastAsia="zh-CN"/>
        </w:rPr>
        <w:t>以社会基金为主体，投入武冈最具潜力、最具优势、最有市场的重大项目、重点工程，激活武冈各领域。充分利用众筹、众包等互联网模式推动投资入市。</w:t>
      </w:r>
    </w:p>
    <w:p w14:paraId="54653D1A">
      <w:pPr>
        <w:pStyle w:val="4"/>
        <w:keepNext/>
        <w:keepLines/>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黑体" w:hAnsi="黑体" w:eastAsia="黑体" w:cs="黑体"/>
          <w:b w:val="0"/>
          <w:bCs/>
          <w:color w:val="auto"/>
          <w:highlight w:val="none"/>
        </w:rPr>
      </w:pPr>
      <w:bookmarkStart w:id="80" w:name="_Toc2782"/>
      <w:r>
        <w:rPr>
          <w:rFonts w:hint="eastAsia" w:ascii="黑体" w:hAnsi="黑体" w:eastAsia="黑体" w:cs="黑体"/>
          <w:b w:val="0"/>
          <w:bCs/>
          <w:color w:val="auto"/>
          <w:kern w:val="44"/>
          <w:sz w:val="32"/>
          <w:szCs w:val="32"/>
          <w:highlight w:val="none"/>
          <w:lang w:val="en-US" w:eastAsia="zh-CN" w:bidi="ar-SA"/>
        </w:rPr>
        <w:t xml:space="preserve">第四节  </w:t>
      </w:r>
      <w:bookmarkEnd w:id="75"/>
      <w:bookmarkEnd w:id="76"/>
      <w:bookmarkEnd w:id="77"/>
      <w:r>
        <w:rPr>
          <w:rFonts w:hint="eastAsia" w:ascii="黑体" w:hAnsi="黑体" w:eastAsia="黑体" w:cs="黑体"/>
          <w:b w:val="0"/>
          <w:bCs/>
          <w:color w:val="auto"/>
          <w:kern w:val="44"/>
          <w:sz w:val="32"/>
          <w:szCs w:val="32"/>
          <w:highlight w:val="none"/>
          <w:lang w:val="en-US" w:eastAsia="zh-CN" w:bidi="ar-SA"/>
        </w:rPr>
        <w:t>升级传统基础设施</w:t>
      </w:r>
      <w:bookmarkEnd w:id="80"/>
    </w:p>
    <w:p w14:paraId="02FC5EF2">
      <w:pPr>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auto"/>
          <w:szCs w:val="32"/>
          <w:highlight w:val="none"/>
        </w:rPr>
      </w:pPr>
      <w:r>
        <w:rPr>
          <w:rFonts w:hint="eastAsia" w:ascii="仿宋" w:hAnsi="仿宋" w:eastAsia="仿宋" w:cs="仿宋"/>
          <w:color w:val="auto"/>
          <w:szCs w:val="32"/>
          <w:highlight w:val="none"/>
        </w:rPr>
        <w:t>坚持城乡统筹、建管并重的方针，按照设施网络化、管理智能化、运行一体化的要求，完善现代基础设施体系，大力推进以交通、能源、水利、物流为支撑的基础设施建设</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为人民群众生产生活高质量发展奠定坚实基础。</w:t>
      </w:r>
    </w:p>
    <w:p w14:paraId="4707B96D">
      <w:pPr>
        <w:pageBreakBefore w:val="0"/>
        <w:widowControl w:val="0"/>
        <w:kinsoku/>
        <w:wordWrap/>
        <w:overflowPunct/>
        <w:topLinePunct w:val="0"/>
        <w:autoSpaceDE/>
        <w:autoSpaceDN/>
        <w:bidi w:val="0"/>
        <w:adjustRightInd/>
        <w:snapToGrid/>
        <w:spacing w:line="600" w:lineRule="exact"/>
        <w:ind w:firstLine="667" w:firstLineChars="200"/>
        <w:jc w:val="both"/>
        <w:textAlignment w:val="auto"/>
        <w:rPr>
          <w:rFonts w:hint="eastAsia" w:ascii="仿宋" w:hAnsi="仿宋" w:eastAsia="仿宋" w:cs="仿宋"/>
          <w:color w:val="auto"/>
          <w:spacing w:val="6"/>
          <w:highlight w:val="none"/>
        </w:rPr>
      </w:pPr>
      <w:r>
        <w:rPr>
          <w:rFonts w:hint="eastAsia" w:ascii="KaiTi_GB2312" w:hAnsi="KaiTi_GB2312" w:eastAsia="KaiTi_GB2312" w:cs="KaiTi_GB2312"/>
          <w:b/>
          <w:bCs/>
          <w:color w:val="auto"/>
          <w:spacing w:val="6"/>
          <w:sz w:val="32"/>
          <w:szCs w:val="32"/>
          <w:highlight w:val="none"/>
          <w:lang w:val="en-US" w:eastAsia="zh-CN"/>
        </w:rPr>
        <w:t>完善交通网。</w:t>
      </w:r>
      <w:r>
        <w:rPr>
          <w:rFonts w:hint="eastAsia" w:ascii="仿宋" w:hAnsi="仿宋" w:eastAsia="仿宋" w:cs="仿宋"/>
          <w:color w:val="auto"/>
          <w:spacing w:val="6"/>
          <w:highlight w:val="none"/>
        </w:rPr>
        <w:t>围绕打造50万人口的中等城市</w:t>
      </w:r>
      <w:r>
        <w:rPr>
          <w:rFonts w:hint="eastAsia" w:ascii="仿宋" w:hAnsi="仿宋" w:eastAsia="仿宋" w:cs="仿宋"/>
          <w:color w:val="auto"/>
          <w:spacing w:val="6"/>
          <w:highlight w:val="none"/>
          <w:lang w:eastAsia="zh-CN"/>
        </w:rPr>
        <w:t>和区域交通枢纽，</w:t>
      </w:r>
      <w:r>
        <w:rPr>
          <w:rFonts w:hint="eastAsia" w:ascii="仿宋" w:hAnsi="仿宋" w:eastAsia="仿宋" w:cs="仿宋"/>
          <w:color w:val="auto"/>
          <w:spacing w:val="6"/>
          <w:highlight w:val="none"/>
        </w:rPr>
        <w:t>构建半小时西部生态圈</w:t>
      </w:r>
      <w:r>
        <w:rPr>
          <w:rFonts w:hint="eastAsia" w:ascii="仿宋" w:hAnsi="仿宋" w:eastAsia="仿宋" w:cs="仿宋"/>
          <w:color w:val="auto"/>
          <w:spacing w:val="6"/>
          <w:highlight w:val="none"/>
          <w:lang w:eastAsia="zh-CN"/>
        </w:rPr>
        <w:t>为</w:t>
      </w:r>
      <w:r>
        <w:rPr>
          <w:rFonts w:hint="eastAsia" w:ascii="仿宋" w:hAnsi="仿宋" w:eastAsia="仿宋" w:cs="仿宋"/>
          <w:color w:val="auto"/>
          <w:spacing w:val="6"/>
          <w:highlight w:val="none"/>
        </w:rPr>
        <w:t>目标，全力推进对外大通道；围绕乡村振兴、全域旅游</w:t>
      </w:r>
      <w:r>
        <w:rPr>
          <w:rFonts w:hint="eastAsia" w:ascii="仿宋" w:hAnsi="仿宋" w:eastAsia="仿宋" w:cs="仿宋"/>
          <w:color w:val="auto"/>
          <w:spacing w:val="6"/>
          <w:highlight w:val="none"/>
          <w:lang w:eastAsia="zh-CN"/>
        </w:rPr>
        <w:t>、交通基础设施建设</w:t>
      </w:r>
      <w:r>
        <w:rPr>
          <w:rFonts w:hint="eastAsia" w:ascii="仿宋" w:hAnsi="仿宋" w:eastAsia="仿宋" w:cs="仿宋"/>
          <w:color w:val="auto"/>
          <w:spacing w:val="6"/>
          <w:highlight w:val="none"/>
        </w:rPr>
        <w:t>，构建安全、畅通、高效、智慧、绿色的现代化综合交通体系</w:t>
      </w:r>
      <w:r>
        <w:rPr>
          <w:rFonts w:hint="eastAsia" w:ascii="仿宋" w:hAnsi="仿宋" w:eastAsia="仿宋" w:cs="仿宋"/>
          <w:color w:val="auto"/>
          <w:spacing w:val="6"/>
          <w:highlight w:val="none"/>
          <w:lang w:eastAsia="zh-CN"/>
        </w:rPr>
        <w:t>，实现城乡交通一体化</w:t>
      </w:r>
      <w:r>
        <w:rPr>
          <w:rFonts w:hint="eastAsia" w:ascii="仿宋" w:hAnsi="仿宋" w:eastAsia="仿宋" w:cs="仿宋"/>
          <w:color w:val="auto"/>
          <w:spacing w:val="6"/>
          <w:highlight w:val="none"/>
        </w:rPr>
        <w:t>。</w:t>
      </w:r>
    </w:p>
    <w:p w14:paraId="446BAE01">
      <w:pPr>
        <w:keepNext w:val="0"/>
        <w:keepLines w:val="0"/>
        <w:pageBreakBefore w:val="0"/>
        <w:widowControl w:val="0"/>
        <w:kinsoku/>
        <w:wordWrap/>
        <w:overflowPunct/>
        <w:topLinePunct w:val="0"/>
        <w:autoSpaceDE/>
        <w:autoSpaceDN/>
        <w:bidi w:val="0"/>
        <w:adjustRightInd/>
        <w:snapToGrid/>
        <w:spacing w:line="604" w:lineRule="exact"/>
        <w:ind w:firstLine="643" w:firstLineChars="200"/>
        <w:jc w:val="both"/>
        <w:textAlignment w:val="auto"/>
        <w:rPr>
          <w:rFonts w:hint="eastAsia" w:ascii="仿宋" w:hAnsi="仿宋" w:eastAsia="仿宋" w:cs="仿宋"/>
          <w:color w:val="auto"/>
          <w:kern w:val="0"/>
          <w:szCs w:val="32"/>
          <w:highlight w:val="none"/>
          <w:shd w:val="clear" w:color="auto" w:fill="FFFFFF"/>
        </w:rPr>
      </w:pPr>
      <w:r>
        <w:rPr>
          <w:rFonts w:hint="eastAsia" w:ascii="黑体" w:hAnsi="黑体" w:eastAsia="黑体" w:cs="黑体"/>
          <w:b/>
          <w:bCs/>
          <w:color w:val="auto"/>
          <w:sz w:val="32"/>
          <w:szCs w:val="32"/>
          <w:highlight w:val="none"/>
          <w:lang w:val="en-US" w:eastAsia="zh-CN"/>
        </w:rPr>
        <w:t>——</w:t>
      </w:r>
      <w:r>
        <w:rPr>
          <w:rFonts w:hint="eastAsia" w:ascii="仿宋" w:hAnsi="仿宋" w:eastAsia="仿宋" w:cs="仿宋"/>
          <w:b/>
          <w:bCs/>
          <w:color w:val="auto"/>
          <w:sz w:val="32"/>
          <w:szCs w:val="32"/>
          <w:highlight w:val="none"/>
          <w:lang w:val="en-US" w:eastAsia="zh-CN"/>
        </w:rPr>
        <w:t>综合交通基础设施。</w:t>
      </w:r>
      <w:r>
        <w:rPr>
          <w:rFonts w:hint="eastAsia" w:ascii="仿宋" w:hAnsi="仿宋" w:eastAsia="仿宋" w:cs="仿宋"/>
          <w:color w:val="auto"/>
          <w:szCs w:val="32"/>
          <w:highlight w:val="none"/>
        </w:rPr>
        <w:t>争取</w:t>
      </w:r>
      <w:r>
        <w:rPr>
          <w:rFonts w:hint="eastAsia" w:ascii="仿宋" w:hAnsi="仿宋" w:eastAsia="仿宋" w:cs="仿宋"/>
          <w:color w:val="auto"/>
          <w:highlight w:val="none"/>
        </w:rPr>
        <w:t>怀邵桂高铁、怀邵永铁路</w:t>
      </w:r>
      <w:r>
        <w:rPr>
          <w:rFonts w:hint="eastAsia" w:ascii="仿宋" w:hAnsi="仿宋" w:eastAsia="仿宋" w:cs="仿宋"/>
          <w:color w:val="auto"/>
          <w:highlight w:val="none"/>
          <w:lang w:eastAsia="zh-CN"/>
        </w:rPr>
        <w:t>、</w:t>
      </w:r>
      <w:r>
        <w:rPr>
          <w:rFonts w:hint="eastAsia" w:ascii="仿宋" w:hAnsi="仿宋" w:eastAsia="仿宋" w:cs="仿宋"/>
          <w:color w:val="auto"/>
          <w:kern w:val="0"/>
          <w:sz w:val="30"/>
          <w:szCs w:val="30"/>
          <w:highlight w:val="none"/>
        </w:rPr>
        <w:t>兴永郴赣铁路</w:t>
      </w:r>
      <w:r>
        <w:rPr>
          <w:rFonts w:hint="eastAsia" w:ascii="仿宋" w:hAnsi="仿宋" w:eastAsia="仿宋" w:cs="仿宋"/>
          <w:color w:val="auto"/>
          <w:highlight w:val="none"/>
        </w:rPr>
        <w:t>经武冈并设站，</w:t>
      </w:r>
      <w:r>
        <w:rPr>
          <w:rFonts w:hint="eastAsia" w:ascii="仿宋" w:hAnsi="仿宋" w:eastAsia="仿宋" w:cs="仿宋"/>
          <w:color w:val="auto"/>
          <w:highlight w:val="none"/>
          <w:lang w:eastAsia="zh-CN"/>
        </w:rPr>
        <w:t>做好</w:t>
      </w:r>
      <w:r>
        <w:rPr>
          <w:rFonts w:hint="eastAsia" w:ascii="仿宋" w:hAnsi="仿宋" w:eastAsia="仿宋" w:cs="仿宋"/>
          <w:color w:val="auto"/>
          <w:highlight w:val="none"/>
        </w:rPr>
        <w:t>邵阳</w:t>
      </w:r>
      <w:r>
        <w:rPr>
          <w:rFonts w:hint="eastAsia" w:ascii="仿宋" w:hAnsi="仿宋" w:eastAsia="仿宋" w:cs="仿宋"/>
          <w:color w:val="auto"/>
          <w:highlight w:val="none"/>
          <w:lang w:eastAsia="zh-CN"/>
        </w:rPr>
        <w:t>高铁南站</w:t>
      </w:r>
      <w:r>
        <w:rPr>
          <w:rFonts w:hint="eastAsia" w:ascii="仿宋" w:hAnsi="仿宋" w:eastAsia="仿宋" w:cs="仿宋"/>
          <w:color w:val="auto"/>
          <w:highlight w:val="none"/>
        </w:rPr>
        <w:t>至武冈</w:t>
      </w:r>
      <w:r>
        <w:rPr>
          <w:rFonts w:hint="eastAsia" w:ascii="仿宋" w:hAnsi="仿宋" w:eastAsia="仿宋" w:cs="仿宋"/>
          <w:color w:val="auto"/>
          <w:highlight w:val="none"/>
          <w:lang w:eastAsia="zh-CN"/>
        </w:rPr>
        <w:t>机场城市轻轨、</w:t>
      </w:r>
      <w:r>
        <w:rPr>
          <w:rFonts w:hint="eastAsia" w:ascii="仿宋" w:hAnsi="仿宋" w:eastAsia="仿宋" w:cs="仿宋"/>
          <w:color w:val="auto"/>
          <w:kern w:val="0"/>
          <w:szCs w:val="32"/>
          <w:highlight w:val="none"/>
          <w:shd w:val="clear" w:color="auto" w:fill="FFFFFF"/>
        </w:rPr>
        <w:t>高铁新城</w:t>
      </w:r>
      <w:r>
        <w:rPr>
          <w:rFonts w:hint="eastAsia" w:ascii="仿宋" w:hAnsi="仿宋" w:eastAsia="仿宋" w:cs="仿宋"/>
          <w:color w:val="auto"/>
          <w:highlight w:val="none"/>
          <w:lang w:eastAsia="zh-CN"/>
        </w:rPr>
        <w:t>前期工作</w:t>
      </w:r>
      <w:r>
        <w:rPr>
          <w:rFonts w:hint="eastAsia" w:ascii="仿宋" w:hAnsi="仿宋" w:eastAsia="仿宋" w:cs="仿宋"/>
          <w:color w:val="auto"/>
          <w:kern w:val="0"/>
          <w:szCs w:val="32"/>
          <w:highlight w:val="none"/>
          <w:shd w:val="clear" w:color="auto" w:fill="FFFFFF"/>
        </w:rPr>
        <w:t>。</w:t>
      </w:r>
      <w:r>
        <w:rPr>
          <w:rFonts w:hint="eastAsia" w:ascii="仿宋" w:hAnsi="仿宋" w:eastAsia="仿宋" w:cs="仿宋"/>
          <w:color w:val="auto"/>
          <w:kern w:val="0"/>
          <w:szCs w:val="32"/>
          <w:highlight w:val="none"/>
          <w:shd w:val="clear" w:color="auto" w:fill="FFFFFF"/>
          <w:lang w:eastAsia="zh-CN"/>
        </w:rPr>
        <w:t>加快高速公路建设，推进</w:t>
      </w:r>
      <w:r>
        <w:rPr>
          <w:rFonts w:hint="eastAsia" w:ascii="仿宋" w:hAnsi="仿宋" w:eastAsia="仿宋" w:cs="仿宋"/>
          <w:color w:val="auto"/>
          <w:kern w:val="0"/>
          <w:szCs w:val="32"/>
          <w:highlight w:val="none"/>
          <w:shd w:val="clear" w:color="auto" w:fill="FFFFFF"/>
        </w:rPr>
        <w:t>新化至新宁（武冈）高速公路、武冈机场连接线航站楼至洞新高速段</w:t>
      </w:r>
      <w:r>
        <w:rPr>
          <w:rFonts w:hint="eastAsia" w:ascii="仿宋" w:hAnsi="仿宋" w:eastAsia="仿宋" w:cs="仿宋"/>
          <w:color w:val="auto"/>
          <w:kern w:val="0"/>
          <w:szCs w:val="32"/>
          <w:highlight w:val="none"/>
          <w:shd w:val="clear" w:color="auto" w:fill="FFFFFF"/>
          <w:lang w:eastAsia="zh-CN"/>
        </w:rPr>
        <w:t>在“十四五”建成通车，</w:t>
      </w:r>
      <w:r>
        <w:rPr>
          <w:rFonts w:hint="eastAsia" w:ascii="仿宋" w:hAnsi="仿宋" w:eastAsia="仿宋" w:cs="仿宋"/>
          <w:color w:val="auto"/>
          <w:kern w:val="0"/>
          <w:szCs w:val="32"/>
          <w:highlight w:val="none"/>
          <w:shd w:val="clear" w:color="auto" w:fill="FFFFFF"/>
        </w:rPr>
        <w:t>争取沪昆高速公路邵阳段扩容</w:t>
      </w:r>
      <w:r>
        <w:rPr>
          <w:rFonts w:hint="eastAsia" w:ascii="仿宋" w:hAnsi="仿宋" w:eastAsia="仿宋" w:cs="仿宋"/>
          <w:color w:val="auto"/>
          <w:kern w:val="0"/>
          <w:szCs w:val="32"/>
          <w:highlight w:val="none"/>
          <w:shd w:val="clear" w:color="auto" w:fill="FFFFFF"/>
          <w:lang w:val="en-US" w:eastAsia="zh-CN"/>
        </w:rPr>
        <w:t>(</w:t>
      </w:r>
      <w:r>
        <w:rPr>
          <w:rFonts w:hint="eastAsia" w:ascii="仿宋" w:hAnsi="仿宋" w:eastAsia="仿宋" w:cs="仿宋"/>
          <w:color w:val="auto"/>
          <w:kern w:val="0"/>
          <w:szCs w:val="32"/>
          <w:highlight w:val="none"/>
          <w:shd w:val="clear" w:color="auto" w:fill="FFFFFF"/>
          <w:lang w:eastAsia="zh-CN"/>
        </w:rPr>
        <w:t>新建复线</w:t>
      </w:r>
      <w:r>
        <w:rPr>
          <w:rFonts w:hint="eastAsia" w:ascii="仿宋" w:hAnsi="仿宋" w:eastAsia="仿宋" w:cs="仿宋"/>
          <w:color w:val="auto"/>
          <w:kern w:val="0"/>
          <w:szCs w:val="32"/>
          <w:highlight w:val="none"/>
          <w:shd w:val="clear" w:color="auto" w:fill="FFFFFF"/>
          <w:lang w:val="en-US" w:eastAsia="zh-CN"/>
        </w:rPr>
        <w:t>)</w:t>
      </w:r>
      <w:r>
        <w:rPr>
          <w:rFonts w:hint="eastAsia" w:ascii="仿宋" w:hAnsi="仿宋" w:eastAsia="仿宋" w:cs="仿宋"/>
          <w:color w:val="auto"/>
          <w:kern w:val="0"/>
          <w:szCs w:val="32"/>
          <w:highlight w:val="none"/>
          <w:shd w:val="clear" w:color="auto" w:fill="FFFFFF"/>
        </w:rPr>
        <w:t>列入国家高速公路改建项目。扩建武冈机场航站楼</w:t>
      </w:r>
      <w:r>
        <w:rPr>
          <w:rFonts w:hint="eastAsia" w:ascii="仿宋" w:hAnsi="仿宋" w:eastAsia="仿宋" w:cs="仿宋"/>
          <w:color w:val="auto"/>
          <w:kern w:val="0"/>
          <w:szCs w:val="32"/>
          <w:highlight w:val="none"/>
          <w:shd w:val="clear" w:color="auto" w:fill="FFFFFF"/>
          <w:lang w:eastAsia="zh-CN"/>
        </w:rPr>
        <w:t>及跑道</w:t>
      </w:r>
      <w:r>
        <w:rPr>
          <w:rFonts w:hint="eastAsia" w:ascii="仿宋" w:hAnsi="仿宋" w:eastAsia="仿宋" w:cs="仿宋"/>
          <w:color w:val="auto"/>
          <w:kern w:val="0"/>
          <w:szCs w:val="32"/>
          <w:highlight w:val="none"/>
          <w:shd w:val="clear" w:color="auto" w:fill="FFFFFF"/>
        </w:rPr>
        <w:t>，</w:t>
      </w:r>
      <w:r>
        <w:rPr>
          <w:rFonts w:hint="eastAsia" w:ascii="仿宋" w:hAnsi="仿宋" w:eastAsia="仿宋" w:cs="仿宋"/>
          <w:color w:val="auto"/>
          <w:kern w:val="0"/>
          <w:szCs w:val="32"/>
          <w:highlight w:val="none"/>
          <w:shd w:val="clear" w:color="auto" w:fill="FFFFFF"/>
          <w:lang w:eastAsia="zh-CN"/>
        </w:rPr>
        <w:t>加大机场线路开发力度，</w:t>
      </w:r>
      <w:r>
        <w:rPr>
          <w:rFonts w:hint="eastAsia" w:ascii="仿宋" w:hAnsi="仿宋" w:eastAsia="仿宋" w:cs="仿宋"/>
          <w:color w:val="auto"/>
          <w:kern w:val="0"/>
          <w:szCs w:val="32"/>
          <w:highlight w:val="none"/>
          <w:shd w:val="clear" w:color="auto" w:fill="FFFFFF"/>
        </w:rPr>
        <w:t>建设武冈通用</w:t>
      </w:r>
      <w:r>
        <w:rPr>
          <w:rFonts w:hint="eastAsia" w:ascii="仿宋" w:hAnsi="仿宋" w:eastAsia="仿宋" w:cs="仿宋"/>
          <w:color w:val="auto"/>
          <w:kern w:val="0"/>
          <w:szCs w:val="32"/>
          <w:highlight w:val="none"/>
          <w:shd w:val="clear" w:color="auto" w:fill="FFFFFF"/>
          <w:lang w:eastAsia="zh-CN"/>
        </w:rPr>
        <w:t>航空机场</w:t>
      </w:r>
      <w:r>
        <w:rPr>
          <w:rFonts w:hint="eastAsia" w:ascii="仿宋" w:hAnsi="仿宋" w:eastAsia="仿宋" w:cs="仿宋"/>
          <w:color w:val="auto"/>
          <w:kern w:val="0"/>
          <w:szCs w:val="32"/>
          <w:highlight w:val="none"/>
          <w:shd w:val="clear" w:color="auto" w:fill="FFFFFF"/>
        </w:rPr>
        <w:t>，完善航空服务体系，发展航空经济。</w:t>
      </w:r>
    </w:p>
    <w:p w14:paraId="6405362A">
      <w:pPr>
        <w:keepNext w:val="0"/>
        <w:keepLines w:val="0"/>
        <w:pageBreakBefore w:val="0"/>
        <w:widowControl w:val="0"/>
        <w:kinsoku/>
        <w:wordWrap/>
        <w:overflowPunct/>
        <w:topLinePunct w:val="0"/>
        <w:autoSpaceDE/>
        <w:autoSpaceDN/>
        <w:bidi w:val="0"/>
        <w:adjustRightInd/>
        <w:snapToGrid/>
        <w:spacing w:line="604" w:lineRule="exact"/>
        <w:ind w:firstLine="645"/>
        <w:jc w:val="both"/>
        <w:textAlignment w:val="auto"/>
        <w:rPr>
          <w:rFonts w:hint="eastAsia" w:ascii="仿宋" w:hAnsi="仿宋" w:eastAsia="仿宋" w:cs="仿宋"/>
          <w:color w:val="auto"/>
          <w:szCs w:val="32"/>
          <w:highlight w:val="none"/>
        </w:rPr>
      </w:pPr>
      <w:r>
        <w:rPr>
          <w:rFonts w:hint="eastAsia" w:ascii="黑体" w:hAnsi="黑体" w:eastAsia="黑体" w:cs="黑体"/>
          <w:b/>
          <w:bCs/>
          <w:color w:val="auto"/>
          <w:sz w:val="32"/>
          <w:szCs w:val="32"/>
          <w:highlight w:val="none"/>
          <w:lang w:val="en-US" w:eastAsia="zh-CN"/>
        </w:rPr>
        <w:t>——</w:t>
      </w:r>
      <w:r>
        <w:rPr>
          <w:rFonts w:hint="eastAsia" w:ascii="仿宋" w:hAnsi="仿宋" w:eastAsia="仿宋" w:cs="仿宋"/>
          <w:b/>
          <w:bCs/>
          <w:color w:val="auto"/>
          <w:sz w:val="32"/>
          <w:szCs w:val="32"/>
          <w:highlight w:val="none"/>
          <w:lang w:val="en-US" w:eastAsia="zh-CN"/>
        </w:rPr>
        <w:t>国省干线公路。</w:t>
      </w:r>
      <w:r>
        <w:rPr>
          <w:rFonts w:hint="eastAsia" w:ascii="仿宋" w:hAnsi="仿宋" w:eastAsia="仿宋" w:cs="仿宋"/>
          <w:color w:val="auto"/>
          <w:szCs w:val="32"/>
          <w:highlight w:val="none"/>
          <w:lang w:eastAsia="zh-CN"/>
        </w:rPr>
        <w:t>继续推进</w:t>
      </w:r>
      <w:r>
        <w:rPr>
          <w:rFonts w:hint="eastAsia" w:ascii="仿宋" w:hAnsi="仿宋" w:eastAsia="仿宋" w:cs="仿宋"/>
          <w:color w:val="auto"/>
          <w:szCs w:val="32"/>
          <w:highlight w:val="none"/>
        </w:rPr>
        <w:t>G241、G356国道</w:t>
      </w:r>
      <w:r>
        <w:rPr>
          <w:rFonts w:hint="eastAsia" w:ascii="仿宋" w:hAnsi="仿宋" w:eastAsia="仿宋" w:cs="仿宋"/>
          <w:color w:val="auto"/>
          <w:szCs w:val="32"/>
          <w:highlight w:val="none"/>
          <w:lang w:eastAsia="zh-CN"/>
        </w:rPr>
        <w:t>过境线、</w:t>
      </w:r>
      <w:r>
        <w:rPr>
          <w:rFonts w:hint="eastAsia" w:ascii="仿宋" w:hAnsi="仿宋" w:eastAsia="仿宋" w:cs="仿宋"/>
          <w:color w:val="auto"/>
          <w:szCs w:val="32"/>
          <w:highlight w:val="none"/>
        </w:rPr>
        <w:t>省道S336武冈安乐至小水公路</w:t>
      </w:r>
      <w:r>
        <w:rPr>
          <w:rFonts w:hint="eastAsia" w:ascii="仿宋" w:hAnsi="仿宋" w:eastAsia="仿宋" w:cs="仿宋"/>
          <w:color w:val="auto"/>
          <w:szCs w:val="32"/>
          <w:highlight w:val="none"/>
          <w:lang w:eastAsia="zh-CN"/>
        </w:rPr>
        <w:t>等建设</w:t>
      </w:r>
      <w:r>
        <w:rPr>
          <w:rFonts w:hint="eastAsia" w:ascii="仿宋" w:hAnsi="仿宋" w:eastAsia="仿宋" w:cs="仿宋"/>
          <w:color w:val="auto"/>
          <w:szCs w:val="32"/>
          <w:highlight w:val="none"/>
        </w:rPr>
        <w:t>。加快推进S245武冈荆竹经晏田至大水江公路、S243武冈独石</w:t>
      </w:r>
      <w:r>
        <w:rPr>
          <w:rFonts w:hint="eastAsia" w:ascii="仿宋" w:hAnsi="仿宋" w:eastAsia="仿宋" w:cs="仿宋"/>
          <w:color w:val="auto"/>
          <w:szCs w:val="32"/>
          <w:highlight w:val="none"/>
          <w:lang w:eastAsia="zh-CN"/>
        </w:rPr>
        <w:t>至</w:t>
      </w:r>
      <w:r>
        <w:rPr>
          <w:rFonts w:hint="eastAsia" w:ascii="仿宋" w:hAnsi="仿宋" w:eastAsia="仿宋" w:cs="仿宋"/>
          <w:color w:val="auto"/>
          <w:szCs w:val="32"/>
          <w:highlight w:val="none"/>
        </w:rPr>
        <w:t>双牌公路、</w:t>
      </w:r>
      <w:r>
        <w:rPr>
          <w:rFonts w:hint="eastAsia" w:ascii="仿宋" w:hAnsi="仿宋" w:eastAsia="仿宋" w:cs="仿宋"/>
          <w:color w:val="auto"/>
          <w:szCs w:val="32"/>
          <w:highlight w:val="none"/>
          <w:lang w:eastAsia="zh-CN"/>
        </w:rPr>
        <w:t>武冈市域南部快速干道</w:t>
      </w:r>
      <w:r>
        <w:rPr>
          <w:rFonts w:hint="eastAsia" w:ascii="仿宋" w:hAnsi="仿宋" w:eastAsia="仿宋" w:cs="仿宋"/>
          <w:color w:val="auto"/>
          <w:szCs w:val="32"/>
          <w:highlight w:val="none"/>
        </w:rPr>
        <w:t>等项目前期工作</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提升我市路网主骨架。逐步提升重要旅游路、资源路技术等级，改善我市交通基础设施状况。</w:t>
      </w:r>
    </w:p>
    <w:p w14:paraId="1A1BB975">
      <w:pPr>
        <w:keepNext w:val="0"/>
        <w:keepLines w:val="0"/>
        <w:pageBreakBefore w:val="0"/>
        <w:widowControl w:val="0"/>
        <w:kinsoku/>
        <w:wordWrap/>
        <w:overflowPunct/>
        <w:topLinePunct w:val="0"/>
        <w:autoSpaceDE/>
        <w:autoSpaceDN/>
        <w:bidi w:val="0"/>
        <w:adjustRightInd/>
        <w:snapToGrid/>
        <w:spacing w:line="604" w:lineRule="exact"/>
        <w:ind w:firstLine="645"/>
        <w:jc w:val="both"/>
        <w:textAlignment w:val="auto"/>
        <w:rPr>
          <w:rFonts w:hint="eastAsia" w:ascii="仿宋" w:hAnsi="仿宋" w:eastAsia="仿宋" w:cs="仿宋"/>
          <w:color w:val="auto"/>
          <w:szCs w:val="32"/>
          <w:highlight w:val="none"/>
        </w:rPr>
      </w:pPr>
      <w:r>
        <w:rPr>
          <w:rFonts w:hint="eastAsia" w:ascii="黑体" w:hAnsi="黑体" w:eastAsia="黑体" w:cs="黑体"/>
          <w:b/>
          <w:bCs/>
          <w:color w:val="auto"/>
          <w:sz w:val="32"/>
          <w:szCs w:val="32"/>
          <w:highlight w:val="none"/>
          <w:lang w:val="en-US" w:eastAsia="zh-CN"/>
        </w:rPr>
        <w:t>——</w:t>
      </w:r>
      <w:r>
        <w:rPr>
          <w:rFonts w:hint="eastAsia" w:ascii="仿宋" w:hAnsi="仿宋" w:eastAsia="仿宋" w:cs="仿宋"/>
          <w:b/>
          <w:bCs/>
          <w:color w:val="auto"/>
          <w:sz w:val="32"/>
          <w:szCs w:val="32"/>
          <w:highlight w:val="none"/>
          <w:lang w:val="en-US" w:eastAsia="zh-CN"/>
        </w:rPr>
        <w:t>农村公路。</w:t>
      </w:r>
      <w:r>
        <w:rPr>
          <w:rFonts w:hint="eastAsia" w:ascii="仿宋" w:hAnsi="仿宋" w:eastAsia="仿宋" w:cs="仿宋"/>
          <w:color w:val="auto"/>
          <w:szCs w:val="32"/>
          <w:highlight w:val="none"/>
          <w:lang w:val="en-US" w:eastAsia="zh-CN"/>
        </w:rPr>
        <w:t>建设</w:t>
      </w:r>
      <w:r>
        <w:rPr>
          <w:rFonts w:hint="eastAsia" w:ascii="仿宋" w:hAnsi="仿宋" w:eastAsia="仿宋" w:cs="仿宋"/>
          <w:color w:val="auto"/>
          <w:szCs w:val="32"/>
          <w:highlight w:val="none"/>
        </w:rPr>
        <w:t>“四好农村路”</w:t>
      </w:r>
      <w:r>
        <w:rPr>
          <w:rFonts w:hint="eastAsia" w:ascii="仿宋" w:hAnsi="仿宋" w:eastAsia="仿宋" w:cs="仿宋"/>
          <w:color w:val="auto"/>
          <w:szCs w:val="32"/>
          <w:highlight w:val="none"/>
          <w:lang w:val="en-US" w:eastAsia="zh-CN"/>
        </w:rPr>
        <w:t>250公里</w:t>
      </w:r>
      <w:r>
        <w:rPr>
          <w:rFonts w:hint="eastAsia" w:ascii="仿宋" w:hAnsi="仿宋" w:eastAsia="仿宋" w:cs="仿宋"/>
          <w:color w:val="auto"/>
          <w:szCs w:val="32"/>
          <w:highlight w:val="none"/>
        </w:rPr>
        <w:t>，实施</w:t>
      </w:r>
      <w:r>
        <w:rPr>
          <w:rFonts w:hint="eastAsia" w:ascii="仿宋" w:hAnsi="仿宋" w:eastAsia="仿宋" w:cs="仿宋"/>
          <w:color w:val="auto"/>
          <w:szCs w:val="32"/>
          <w:highlight w:val="none"/>
          <w:lang w:val="en-US" w:eastAsia="zh-CN"/>
        </w:rPr>
        <w:t>150</w:t>
      </w:r>
      <w:r>
        <w:rPr>
          <w:rFonts w:hint="eastAsia" w:ascii="仿宋" w:hAnsi="仿宋" w:eastAsia="仿宋" w:cs="仿宋"/>
          <w:color w:val="auto"/>
          <w:szCs w:val="32"/>
          <w:highlight w:val="none"/>
        </w:rPr>
        <w:t>公里</w:t>
      </w:r>
      <w:r>
        <w:rPr>
          <w:rFonts w:hint="eastAsia" w:ascii="仿宋" w:hAnsi="仿宋" w:eastAsia="仿宋" w:cs="仿宋"/>
          <w:color w:val="auto"/>
          <w:szCs w:val="32"/>
          <w:highlight w:val="none"/>
          <w:lang w:eastAsia="zh-CN"/>
        </w:rPr>
        <w:t>村道提质改造，</w:t>
      </w:r>
      <w:r>
        <w:rPr>
          <w:rFonts w:hint="eastAsia" w:ascii="仿宋" w:hAnsi="仿宋" w:eastAsia="仿宋" w:cs="仿宋"/>
          <w:color w:val="auto"/>
          <w:szCs w:val="32"/>
          <w:highlight w:val="none"/>
          <w:lang w:val="en-US" w:eastAsia="zh-CN"/>
        </w:rPr>
        <w:t>100公里连通工程，</w:t>
      </w:r>
      <w:r>
        <w:rPr>
          <w:rFonts w:hint="eastAsia" w:ascii="仿宋" w:hAnsi="仿宋" w:eastAsia="仿宋" w:cs="仿宋"/>
          <w:color w:val="auto"/>
          <w:szCs w:val="32"/>
          <w:highlight w:val="none"/>
        </w:rPr>
        <w:t>助力美丽乡村建设。加大农村公路安全隐患清理整治</w:t>
      </w:r>
      <w:r>
        <w:rPr>
          <w:rFonts w:hint="eastAsia" w:ascii="仿宋" w:hAnsi="仿宋" w:eastAsia="仿宋" w:cs="仿宋"/>
          <w:color w:val="auto"/>
          <w:szCs w:val="32"/>
          <w:highlight w:val="none"/>
          <w:lang w:eastAsia="zh-CN"/>
        </w:rPr>
        <w:t>，建设农村公路</w:t>
      </w:r>
      <w:r>
        <w:rPr>
          <w:rFonts w:hint="eastAsia" w:ascii="仿宋" w:hAnsi="仿宋" w:eastAsia="仿宋" w:cs="仿宋"/>
          <w:color w:val="auto"/>
          <w:szCs w:val="32"/>
          <w:highlight w:val="none"/>
        </w:rPr>
        <w:t>安保工程，确保农村公路安全通畅。深入推进农村公路亮化工程，方便人民群众夜间出行，点亮村民的美好新生活，提升农村群众的获得感。进一步</w:t>
      </w:r>
      <w:r>
        <w:rPr>
          <w:rFonts w:hint="eastAsia" w:ascii="仿宋" w:hAnsi="仿宋" w:eastAsia="仿宋" w:cs="仿宋"/>
          <w:color w:val="auto"/>
          <w:szCs w:val="32"/>
          <w:highlight w:val="none"/>
          <w:lang w:eastAsia="zh-CN"/>
        </w:rPr>
        <w:t>做好</w:t>
      </w:r>
      <w:r>
        <w:rPr>
          <w:rFonts w:hint="eastAsia" w:ascii="仿宋" w:hAnsi="仿宋" w:eastAsia="仿宋" w:cs="仿宋"/>
          <w:color w:val="auto"/>
          <w:szCs w:val="32"/>
          <w:highlight w:val="none"/>
        </w:rPr>
        <w:t>“四好农村路”</w:t>
      </w:r>
      <w:r>
        <w:rPr>
          <w:rFonts w:hint="eastAsia" w:ascii="仿宋" w:hAnsi="仿宋" w:eastAsia="仿宋" w:cs="仿宋"/>
          <w:color w:val="auto"/>
          <w:szCs w:val="32"/>
          <w:highlight w:val="none"/>
          <w:lang w:eastAsia="zh-CN"/>
        </w:rPr>
        <w:t>省级示范</w:t>
      </w:r>
      <w:r>
        <w:rPr>
          <w:rFonts w:hint="eastAsia" w:ascii="仿宋" w:hAnsi="仿宋" w:eastAsia="仿宋" w:cs="仿宋"/>
          <w:color w:val="auto"/>
          <w:szCs w:val="32"/>
          <w:highlight w:val="none"/>
        </w:rPr>
        <w:t>县（市）</w:t>
      </w:r>
      <w:r>
        <w:rPr>
          <w:rFonts w:hint="eastAsia" w:ascii="仿宋" w:hAnsi="仿宋" w:eastAsia="仿宋" w:cs="仿宋"/>
          <w:color w:val="auto"/>
          <w:szCs w:val="32"/>
          <w:highlight w:val="none"/>
          <w:lang w:eastAsia="zh-CN"/>
        </w:rPr>
        <w:t>建设</w:t>
      </w:r>
      <w:r>
        <w:rPr>
          <w:rFonts w:hint="eastAsia" w:ascii="仿宋" w:hAnsi="仿宋" w:eastAsia="仿宋" w:cs="仿宋"/>
          <w:color w:val="auto"/>
          <w:szCs w:val="32"/>
          <w:highlight w:val="none"/>
        </w:rPr>
        <w:t>工作，争创国家级“四好农村路”示范县（市）。</w:t>
      </w:r>
    </w:p>
    <w:p w14:paraId="74707739">
      <w:pPr>
        <w:keepNext w:val="0"/>
        <w:keepLines w:val="0"/>
        <w:pageBreakBefore w:val="0"/>
        <w:widowControl w:val="0"/>
        <w:kinsoku/>
        <w:wordWrap/>
        <w:overflowPunct/>
        <w:topLinePunct w:val="0"/>
        <w:autoSpaceDE/>
        <w:autoSpaceDN/>
        <w:bidi w:val="0"/>
        <w:adjustRightInd/>
        <w:snapToGrid/>
        <w:spacing w:line="604" w:lineRule="exact"/>
        <w:ind w:firstLine="643" w:firstLineChars="200"/>
        <w:jc w:val="both"/>
        <w:textAlignment w:val="auto"/>
        <w:rPr>
          <w:rFonts w:hint="eastAsia" w:ascii="仿宋" w:hAnsi="仿宋" w:eastAsia="仿宋" w:cs="仿宋"/>
          <w:color w:val="auto"/>
          <w:szCs w:val="32"/>
          <w:highlight w:val="none"/>
          <w:lang w:eastAsia="zh-CN"/>
        </w:rPr>
      </w:pPr>
      <w:r>
        <w:rPr>
          <w:rFonts w:hint="eastAsia" w:ascii="黑体" w:hAnsi="黑体" w:eastAsia="黑体" w:cs="黑体"/>
          <w:b/>
          <w:color w:val="auto"/>
          <w:szCs w:val="32"/>
          <w:highlight w:val="none"/>
        </w:rPr>
        <w:t>—</w:t>
      </w:r>
      <w:r>
        <w:rPr>
          <w:rFonts w:hint="eastAsia" w:ascii="黑体" w:hAnsi="黑体" w:eastAsia="黑体" w:cs="黑体"/>
          <w:b/>
          <w:bCs/>
          <w:color w:val="auto"/>
          <w:sz w:val="32"/>
          <w:szCs w:val="32"/>
          <w:highlight w:val="none"/>
          <w:lang w:val="en-US" w:eastAsia="zh-CN"/>
        </w:rPr>
        <w:t>—</w:t>
      </w:r>
      <w:r>
        <w:rPr>
          <w:rFonts w:hint="eastAsia" w:ascii="仿宋" w:hAnsi="仿宋" w:eastAsia="仿宋" w:cs="仿宋"/>
          <w:b/>
          <w:bCs/>
          <w:color w:val="auto"/>
          <w:sz w:val="32"/>
          <w:szCs w:val="32"/>
          <w:highlight w:val="none"/>
          <w:lang w:val="en-US" w:eastAsia="zh-CN"/>
        </w:rPr>
        <w:t>客运交通枢纽。</w:t>
      </w:r>
      <w:r>
        <w:rPr>
          <w:rFonts w:hint="eastAsia" w:ascii="仿宋" w:hAnsi="仿宋" w:eastAsia="仿宋" w:cs="仿宋"/>
          <w:color w:val="auto"/>
          <w:szCs w:val="32"/>
          <w:highlight w:val="none"/>
        </w:rPr>
        <w:t>完善武冈客运枢纽建设。以武冈机场为依托，建设武冈机场综合客运枢纽</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搬迁东站，建设客运总站及公交</w:t>
      </w:r>
      <w:r>
        <w:rPr>
          <w:rFonts w:hint="eastAsia" w:ascii="仿宋" w:hAnsi="仿宋" w:eastAsia="仿宋" w:cs="仿宋"/>
          <w:color w:val="auto"/>
          <w:szCs w:val="32"/>
          <w:highlight w:val="none"/>
          <w:lang w:eastAsia="zh-CN"/>
        </w:rPr>
        <w:t>停保场，</w:t>
      </w:r>
      <w:r>
        <w:rPr>
          <w:rFonts w:hint="eastAsia" w:ascii="仿宋" w:hAnsi="仿宋" w:eastAsia="仿宋" w:cs="仿宋"/>
          <w:color w:val="auto"/>
          <w:szCs w:val="32"/>
          <w:highlight w:val="none"/>
        </w:rPr>
        <w:t>实现机场、铁路、公路、城市交通的衔接。以创建城乡客运一体化示范县（市）为契机，依托现有城区汽车客运站，打造城乡客运换乘节点；根据客运线网布局，推进</w:t>
      </w:r>
      <w:r>
        <w:rPr>
          <w:rFonts w:hint="eastAsia" w:ascii="仿宋" w:hAnsi="仿宋" w:eastAsia="仿宋" w:cs="仿宋"/>
          <w:color w:val="auto"/>
          <w:szCs w:val="32"/>
          <w:highlight w:val="none"/>
          <w:lang w:eastAsia="zh-CN"/>
        </w:rPr>
        <w:t>城市客运首末站、城乡公交首末站、农村客运招呼站</w:t>
      </w:r>
      <w:r>
        <w:rPr>
          <w:rFonts w:hint="eastAsia" w:ascii="仿宋" w:hAnsi="仿宋" w:eastAsia="仿宋" w:cs="仿宋"/>
          <w:color w:val="auto"/>
          <w:szCs w:val="32"/>
          <w:highlight w:val="none"/>
        </w:rPr>
        <w:t>建设</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优化城乡交通运输体系</w:t>
      </w:r>
      <w:r>
        <w:rPr>
          <w:rFonts w:hint="eastAsia" w:ascii="仿宋" w:hAnsi="仿宋" w:eastAsia="仿宋" w:cs="仿宋"/>
          <w:color w:val="auto"/>
          <w:szCs w:val="32"/>
          <w:highlight w:val="none"/>
          <w:lang w:eastAsia="zh-CN"/>
        </w:rPr>
        <w:t>。</w:t>
      </w:r>
    </w:p>
    <w:p w14:paraId="5E66EF9C">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rPr>
          <w:rFonts w:hint="eastAsia" w:ascii="仿宋" w:hAnsi="仿宋" w:eastAsia="仿宋" w:cs="仿宋"/>
          <w:color w:val="auto"/>
          <w:highlight w:val="none"/>
        </w:rPr>
      </w:pPr>
      <w:r>
        <w:rPr>
          <w:rFonts w:hint="eastAsia" w:ascii="黑体" w:hAnsi="黑体" w:eastAsia="黑体" w:cs="黑体"/>
          <w:b/>
          <w:bCs/>
          <w:color w:val="auto"/>
          <w:sz w:val="32"/>
          <w:szCs w:val="32"/>
          <w:highlight w:val="none"/>
          <w:lang w:val="en-US" w:eastAsia="zh-CN"/>
        </w:rPr>
        <w:t>——</w:t>
      </w:r>
      <w:r>
        <w:rPr>
          <w:rFonts w:hint="eastAsia" w:ascii="仿宋" w:hAnsi="仿宋" w:eastAsia="仿宋" w:cs="仿宋"/>
          <w:b/>
          <w:bCs/>
          <w:color w:val="auto"/>
          <w:sz w:val="32"/>
          <w:szCs w:val="32"/>
          <w:highlight w:val="none"/>
          <w:lang w:val="en-US" w:eastAsia="zh-CN"/>
        </w:rPr>
        <w:t>水运事业。</w:t>
      </w:r>
      <w:r>
        <w:rPr>
          <w:rFonts w:hint="eastAsia" w:ascii="仿宋" w:hAnsi="仿宋" w:eastAsia="仿宋" w:cs="仿宋"/>
          <w:color w:val="auto"/>
          <w:highlight w:val="none"/>
        </w:rPr>
        <w:t>注重港口规划与城乡规划的相互协调，为港口的发展留有充分的发展空间，发挥岸线资源的作用。规划城区港区为武冈港的核心港区，</w:t>
      </w:r>
      <w:r>
        <w:rPr>
          <w:rFonts w:hint="eastAsia" w:ascii="仿宋" w:hAnsi="仿宋" w:eastAsia="仿宋" w:cs="仿宋"/>
          <w:color w:val="auto"/>
          <w:highlight w:val="none"/>
          <w:lang w:eastAsia="zh-CN"/>
        </w:rPr>
        <w:t>为武冈市及周边地区的旅游客运提供运输服务</w:t>
      </w:r>
      <w:r>
        <w:rPr>
          <w:rFonts w:hint="eastAsia" w:ascii="仿宋" w:hAnsi="仿宋" w:eastAsia="仿宋" w:cs="仿宋"/>
          <w:color w:val="auto"/>
          <w:highlight w:val="none"/>
        </w:rPr>
        <w:t>。疏通赧水全线航道，全面实施武冈市区—双江口139.6km 航道整治工程，航道整治后达到Ⅶ级航道通航标准。统筹规划渡口、码头，实施渡改桥改造。</w:t>
      </w:r>
    </w:p>
    <w:p w14:paraId="11650162">
      <w:pPr>
        <w:keepNext w:val="0"/>
        <w:keepLines w:val="0"/>
        <w:pageBreakBefore w:val="0"/>
        <w:widowControl w:val="0"/>
        <w:tabs>
          <w:tab w:val="left" w:pos="630"/>
        </w:tabs>
        <w:kinsoku/>
        <w:wordWrap/>
        <w:overflowPunct/>
        <w:topLinePunct w:val="0"/>
        <w:autoSpaceDE/>
        <w:autoSpaceDN/>
        <w:bidi w:val="0"/>
        <w:adjustRightInd/>
        <w:snapToGrid/>
        <w:spacing w:after="157" w:afterLines="50" w:line="620" w:lineRule="exact"/>
        <w:ind w:firstLine="619" w:firstLineChars="200"/>
        <w:jc w:val="both"/>
        <w:textAlignment w:val="auto"/>
        <w:rPr>
          <w:rFonts w:hint="eastAsia"/>
          <w:color w:val="auto"/>
          <w:spacing w:val="-6"/>
          <w:highlight w:val="none"/>
        </w:rPr>
      </w:pPr>
      <w:r>
        <w:rPr>
          <w:rFonts w:hint="eastAsia" w:ascii="黑体" w:hAnsi="黑体" w:eastAsia="黑体" w:cs="黑体"/>
          <w:b/>
          <w:bCs/>
          <w:color w:val="auto"/>
          <w:spacing w:val="-6"/>
          <w:sz w:val="32"/>
          <w:szCs w:val="32"/>
          <w:highlight w:val="none"/>
          <w:lang w:val="en-US" w:eastAsia="zh-CN"/>
        </w:rPr>
        <w:t>——</w:t>
      </w:r>
      <w:r>
        <w:rPr>
          <w:rFonts w:hint="eastAsia" w:ascii="仿宋" w:hAnsi="仿宋" w:eastAsia="仿宋" w:cs="仿宋"/>
          <w:b/>
          <w:bCs/>
          <w:color w:val="auto"/>
          <w:spacing w:val="-6"/>
          <w:sz w:val="32"/>
          <w:szCs w:val="32"/>
          <w:highlight w:val="none"/>
          <w:lang w:val="en-US" w:eastAsia="zh-CN"/>
        </w:rPr>
        <w:t>实现“智慧绿色交通”。</w:t>
      </w:r>
      <w:r>
        <w:rPr>
          <w:rFonts w:hint="eastAsia" w:ascii="仿宋" w:hAnsi="仿宋" w:eastAsia="仿宋" w:cs="仿宋"/>
          <w:color w:val="auto"/>
          <w:spacing w:val="-6"/>
          <w:sz w:val="32"/>
          <w:szCs w:val="32"/>
          <w:highlight w:val="none"/>
        </w:rPr>
        <w:t>建设市交通信息</w:t>
      </w:r>
      <w:r>
        <w:rPr>
          <w:rFonts w:hint="eastAsia" w:ascii="仿宋" w:hAnsi="仿宋" w:eastAsia="仿宋" w:cs="仿宋"/>
          <w:color w:val="auto"/>
          <w:spacing w:val="-6"/>
          <w:sz w:val="32"/>
          <w:szCs w:val="32"/>
          <w:highlight w:val="none"/>
          <w:lang w:val="en-US" w:eastAsia="zh-CN"/>
        </w:rPr>
        <w:t>化指挥</w:t>
      </w:r>
      <w:r>
        <w:rPr>
          <w:rFonts w:hint="eastAsia" w:ascii="仿宋" w:hAnsi="仿宋" w:eastAsia="仿宋" w:cs="仿宋"/>
          <w:color w:val="auto"/>
          <w:spacing w:val="-6"/>
          <w:sz w:val="32"/>
          <w:szCs w:val="32"/>
          <w:highlight w:val="none"/>
        </w:rPr>
        <w:t>中心，</w:t>
      </w:r>
      <w:r>
        <w:rPr>
          <w:rFonts w:hint="eastAsia" w:ascii="仿宋" w:hAnsi="仿宋" w:eastAsia="仿宋" w:cs="仿宋"/>
          <w:color w:val="auto"/>
          <w:spacing w:val="-6"/>
          <w:sz w:val="32"/>
          <w:szCs w:val="32"/>
          <w:highlight w:val="none"/>
          <w:lang w:val="en-US" w:eastAsia="zh-CN"/>
        </w:rPr>
        <w:t>构建综合交通大数据中心体系，</w:t>
      </w:r>
      <w:r>
        <w:rPr>
          <w:rFonts w:hint="eastAsia" w:ascii="仿宋" w:hAnsi="仿宋" w:eastAsia="仿宋" w:cs="仿宋"/>
          <w:color w:val="auto"/>
          <w:spacing w:val="-6"/>
          <w:sz w:val="32"/>
          <w:szCs w:val="32"/>
          <w:highlight w:val="none"/>
        </w:rPr>
        <w:t>加强运输信息联通性，增强行业管理能力，</w:t>
      </w:r>
      <w:r>
        <w:rPr>
          <w:rFonts w:hint="eastAsia" w:ascii="仿宋" w:hAnsi="仿宋" w:eastAsia="仿宋" w:cs="仿宋"/>
          <w:color w:val="auto"/>
          <w:spacing w:val="-6"/>
          <w:sz w:val="32"/>
          <w:szCs w:val="32"/>
          <w:highlight w:val="none"/>
          <w:lang w:val="en-US" w:eastAsia="zh-CN"/>
        </w:rPr>
        <w:t>深化交通公共服务和电子政务服务。在全市范围内新增新能源电动汽车充电桩，减少大气污染，实现绿色出行</w:t>
      </w:r>
      <w:r>
        <w:rPr>
          <w:rFonts w:hint="eastAsia" w:ascii="仿宋" w:hAnsi="仿宋" w:eastAsia="仿宋" w:cs="仿宋"/>
          <w:bCs/>
          <w:color w:val="auto"/>
          <w:spacing w:val="-6"/>
          <w:szCs w:val="32"/>
          <w:highlight w:val="none"/>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517E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040D01CB">
            <w:pPr>
              <w:pStyle w:val="10"/>
              <w:pageBreakBefore w:val="0"/>
              <w:widowControl w:val="0"/>
              <w:kinsoku/>
              <w:wordWrap/>
              <w:overflowPunct/>
              <w:bidi w:val="0"/>
              <w:jc w:val="center"/>
              <w:rPr>
                <w:rFonts w:hint="eastAsia" w:ascii="仿宋" w:hAnsi="仿宋" w:eastAsia="仿宋" w:cs="仿宋"/>
                <w:bCs/>
                <w:color w:val="auto"/>
                <w:szCs w:val="32"/>
                <w:highlight w:val="none"/>
                <w:vertAlign w:val="baseline"/>
                <w:lang w:val="en-US" w:eastAsia="zh-CN"/>
              </w:rPr>
            </w:pPr>
            <w:r>
              <w:rPr>
                <w:rFonts w:hint="eastAsia" w:ascii="宋体" w:hAnsi="宋体" w:eastAsia="宋体" w:cs="宋体"/>
                <w:b/>
                <w:bCs/>
                <w:color w:val="auto"/>
                <w:kern w:val="0"/>
                <w:sz w:val="28"/>
                <w:szCs w:val="28"/>
                <w:highlight w:val="none"/>
              </w:rPr>
              <w:t>专栏</w:t>
            </w:r>
            <w:r>
              <w:rPr>
                <w:rFonts w:hint="eastAsia" w:eastAsia="宋体" w:cs="宋体"/>
                <w:b/>
                <w:bCs/>
                <w:color w:val="auto"/>
                <w:kern w:val="0"/>
                <w:sz w:val="28"/>
                <w:szCs w:val="28"/>
                <w:highlight w:val="none"/>
                <w:lang w:val="en-US" w:eastAsia="zh-CN"/>
              </w:rPr>
              <w:t>10</w:t>
            </w:r>
            <w:r>
              <w:rPr>
                <w:rFonts w:hint="eastAsia" w:ascii="宋体" w:hAnsi="宋体" w:eastAsia="宋体" w:cs="宋体"/>
                <w:b/>
                <w:bCs/>
                <w:color w:val="auto"/>
                <w:kern w:val="0"/>
                <w:sz w:val="28"/>
                <w:szCs w:val="28"/>
                <w:highlight w:val="none"/>
              </w:rPr>
              <w:t>：交通建设重点工程</w:t>
            </w:r>
          </w:p>
        </w:tc>
      </w:tr>
      <w:tr w14:paraId="6CC2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0FC72E22">
            <w:pPr>
              <w:pStyle w:val="10"/>
              <w:keepNext w:val="0"/>
              <w:keepLines w:val="0"/>
              <w:pageBreakBefore w:val="0"/>
              <w:widowControl w:val="0"/>
              <w:kinsoku/>
              <w:wordWrap/>
              <w:overflowPunct/>
              <w:topLinePunct w:val="0"/>
              <w:autoSpaceDE/>
              <w:autoSpaceDN/>
              <w:bidi w:val="0"/>
              <w:adjustRightInd w:val="0"/>
              <w:snapToGrid w:val="0"/>
              <w:spacing w:line="540" w:lineRule="exact"/>
              <w:ind w:firstLine="562" w:firstLineChars="200"/>
              <w:jc w:val="both"/>
              <w:textAlignment w:val="auto"/>
              <w:rPr>
                <w:rFonts w:hint="eastAsia" w:ascii="仿宋" w:hAnsi="仿宋" w:eastAsia="仿宋" w:cs="仿宋"/>
                <w:b w:val="0"/>
                <w:bCs w:val="0"/>
                <w:color w:val="auto"/>
                <w:kern w:val="0"/>
                <w:sz w:val="28"/>
                <w:szCs w:val="28"/>
                <w:highlight w:val="none"/>
              </w:rPr>
            </w:pPr>
            <w:r>
              <w:rPr>
                <w:rFonts w:hint="eastAsia" w:ascii="仿宋" w:hAnsi="仿宋" w:eastAsia="仿宋" w:cs="仿宋"/>
                <w:b/>
                <w:bCs/>
                <w:color w:val="auto"/>
                <w:kern w:val="0"/>
                <w:sz w:val="28"/>
                <w:szCs w:val="28"/>
                <w:highlight w:val="none"/>
              </w:rPr>
              <w:t>1.铁路：</w:t>
            </w:r>
            <w:r>
              <w:rPr>
                <w:rFonts w:hint="eastAsia" w:ascii="仿宋" w:hAnsi="仿宋" w:eastAsia="仿宋" w:cs="仿宋"/>
                <w:color w:val="auto"/>
                <w:highlight w:val="none"/>
              </w:rPr>
              <w:t>怀</w:t>
            </w:r>
            <w:r>
              <w:rPr>
                <w:rFonts w:hint="eastAsia" w:ascii="仿宋" w:hAnsi="仿宋" w:eastAsia="仿宋" w:cs="仿宋"/>
                <w:color w:val="auto"/>
                <w:highlight w:val="none"/>
                <w:lang w:eastAsia="zh-CN"/>
              </w:rPr>
              <w:t>邵</w:t>
            </w:r>
            <w:r>
              <w:rPr>
                <w:rFonts w:hint="eastAsia" w:ascii="仿宋" w:hAnsi="仿宋" w:eastAsia="仿宋" w:cs="仿宋"/>
                <w:color w:val="auto"/>
                <w:highlight w:val="none"/>
              </w:rPr>
              <w:t>桂高铁、怀邵永铁路</w:t>
            </w:r>
            <w:r>
              <w:rPr>
                <w:rFonts w:hint="eastAsia" w:ascii="仿宋" w:hAnsi="仿宋" w:eastAsia="仿宋" w:cs="仿宋"/>
                <w:color w:val="auto"/>
                <w:highlight w:val="none"/>
                <w:lang w:eastAsia="zh-CN"/>
              </w:rPr>
              <w:t>、</w:t>
            </w:r>
            <w:r>
              <w:rPr>
                <w:rFonts w:hint="eastAsia" w:ascii="仿宋" w:hAnsi="仿宋" w:eastAsia="仿宋" w:cs="仿宋"/>
                <w:b w:val="0"/>
                <w:bCs w:val="0"/>
                <w:color w:val="auto"/>
                <w:kern w:val="0"/>
                <w:sz w:val="28"/>
                <w:szCs w:val="28"/>
                <w:highlight w:val="none"/>
              </w:rPr>
              <w:t>贵州兴义至永州至郴</w:t>
            </w:r>
            <w:r>
              <w:rPr>
                <w:rFonts w:hint="eastAsia" w:ascii="仿宋" w:hAnsi="仿宋" w:eastAsia="仿宋" w:cs="仿宋"/>
                <w:b w:val="0"/>
                <w:bCs w:val="0"/>
                <w:color w:val="auto"/>
                <w:kern w:val="0"/>
                <w:sz w:val="28"/>
                <w:szCs w:val="28"/>
                <w:highlight w:val="none"/>
                <w:lang w:eastAsia="zh-CN"/>
              </w:rPr>
              <w:t>州</w:t>
            </w:r>
            <w:r>
              <w:rPr>
                <w:rFonts w:hint="eastAsia" w:ascii="仿宋" w:hAnsi="仿宋" w:eastAsia="仿宋" w:cs="仿宋"/>
                <w:b w:val="0"/>
                <w:bCs w:val="0"/>
                <w:color w:val="auto"/>
                <w:kern w:val="0"/>
                <w:sz w:val="28"/>
                <w:szCs w:val="28"/>
                <w:highlight w:val="none"/>
              </w:rPr>
              <w:t>至赣州铁路、邵阳高铁南站至武冈机场</w:t>
            </w:r>
            <w:r>
              <w:rPr>
                <w:rFonts w:hint="eastAsia" w:ascii="仿宋" w:hAnsi="仿宋" w:eastAsia="仿宋" w:cs="仿宋"/>
                <w:b w:val="0"/>
                <w:bCs w:val="0"/>
                <w:color w:val="auto"/>
                <w:kern w:val="0"/>
                <w:sz w:val="28"/>
                <w:szCs w:val="28"/>
                <w:highlight w:val="none"/>
                <w:lang w:eastAsia="zh-CN"/>
              </w:rPr>
              <w:t>城市</w:t>
            </w:r>
            <w:r>
              <w:rPr>
                <w:rFonts w:hint="eastAsia" w:ascii="仿宋" w:hAnsi="仿宋" w:eastAsia="仿宋" w:cs="仿宋"/>
                <w:b w:val="0"/>
                <w:bCs w:val="0"/>
                <w:color w:val="auto"/>
                <w:kern w:val="0"/>
                <w:sz w:val="28"/>
                <w:szCs w:val="28"/>
                <w:highlight w:val="none"/>
              </w:rPr>
              <w:t>轻轨</w:t>
            </w:r>
            <w:r>
              <w:rPr>
                <w:rFonts w:hint="eastAsia" w:ascii="仿宋" w:hAnsi="仿宋" w:eastAsia="仿宋" w:cs="仿宋"/>
                <w:b w:val="0"/>
                <w:bCs w:val="0"/>
                <w:color w:val="auto"/>
                <w:kern w:val="0"/>
                <w:sz w:val="28"/>
                <w:szCs w:val="28"/>
                <w:highlight w:val="none"/>
                <w:lang w:eastAsia="zh-CN"/>
              </w:rPr>
              <w:t>、</w:t>
            </w:r>
            <w:r>
              <w:rPr>
                <w:rFonts w:hint="eastAsia" w:ascii="仿宋" w:hAnsi="仿宋" w:eastAsia="仿宋" w:cs="仿宋"/>
                <w:b w:val="0"/>
                <w:bCs w:val="0"/>
                <w:color w:val="auto"/>
                <w:kern w:val="0"/>
                <w:sz w:val="28"/>
                <w:szCs w:val="28"/>
                <w:highlight w:val="none"/>
              </w:rPr>
              <w:t>高铁新城。</w:t>
            </w:r>
          </w:p>
          <w:p w14:paraId="7E0B580A">
            <w:pPr>
              <w:pStyle w:val="10"/>
              <w:keepNext w:val="0"/>
              <w:keepLines w:val="0"/>
              <w:pageBreakBefore w:val="0"/>
              <w:widowControl w:val="0"/>
              <w:kinsoku/>
              <w:wordWrap/>
              <w:overflowPunct/>
              <w:topLinePunct w:val="0"/>
              <w:autoSpaceDE/>
              <w:autoSpaceDN/>
              <w:bidi w:val="0"/>
              <w:adjustRightInd w:val="0"/>
              <w:snapToGrid w:val="0"/>
              <w:spacing w:line="540" w:lineRule="exact"/>
              <w:ind w:firstLine="562" w:firstLineChars="200"/>
              <w:jc w:val="both"/>
              <w:textAlignment w:val="auto"/>
              <w:rPr>
                <w:rFonts w:hint="eastAsia" w:ascii="仿宋" w:hAnsi="仿宋" w:eastAsia="仿宋" w:cs="仿宋"/>
                <w:b w:val="0"/>
                <w:bCs w:val="0"/>
                <w:color w:val="auto"/>
                <w:kern w:val="0"/>
                <w:sz w:val="28"/>
                <w:szCs w:val="28"/>
                <w:highlight w:val="none"/>
              </w:rPr>
            </w:pPr>
            <w:r>
              <w:rPr>
                <w:rFonts w:hint="eastAsia" w:ascii="仿宋" w:hAnsi="仿宋" w:eastAsia="仿宋" w:cs="仿宋"/>
                <w:b/>
                <w:bCs/>
                <w:color w:val="auto"/>
                <w:kern w:val="0"/>
                <w:sz w:val="28"/>
                <w:szCs w:val="28"/>
                <w:highlight w:val="none"/>
              </w:rPr>
              <w:t>2.高速公路：</w:t>
            </w:r>
            <w:r>
              <w:rPr>
                <w:rFonts w:hint="eastAsia" w:ascii="仿宋" w:hAnsi="仿宋" w:eastAsia="仿宋" w:cs="仿宋"/>
                <w:b w:val="0"/>
                <w:bCs w:val="0"/>
                <w:color w:val="auto"/>
                <w:kern w:val="0"/>
                <w:sz w:val="28"/>
                <w:szCs w:val="28"/>
                <w:highlight w:val="none"/>
              </w:rPr>
              <w:t>沪昆高速公路邵阳段扩容（新建复线）、新化至</w:t>
            </w:r>
            <w:r>
              <w:rPr>
                <w:rFonts w:hint="eastAsia" w:ascii="仿宋" w:hAnsi="仿宋" w:eastAsia="仿宋" w:cs="仿宋"/>
                <w:b w:val="0"/>
                <w:bCs w:val="0"/>
                <w:color w:val="auto"/>
                <w:kern w:val="0"/>
                <w:sz w:val="28"/>
                <w:szCs w:val="28"/>
                <w:highlight w:val="none"/>
                <w:lang w:eastAsia="zh-CN"/>
              </w:rPr>
              <w:t>新宁</w:t>
            </w:r>
            <w:r>
              <w:rPr>
                <w:rFonts w:hint="eastAsia" w:ascii="仿宋" w:hAnsi="仿宋" w:eastAsia="仿宋" w:cs="仿宋"/>
                <w:b w:val="0"/>
                <w:bCs w:val="0"/>
                <w:color w:val="auto"/>
                <w:kern w:val="0"/>
                <w:sz w:val="28"/>
                <w:szCs w:val="28"/>
                <w:highlight w:val="none"/>
              </w:rPr>
              <w:t>（武冈）高速公路、武冈机场连接线航站楼至洞新高速段。</w:t>
            </w:r>
          </w:p>
          <w:p w14:paraId="7389BC96">
            <w:pPr>
              <w:pStyle w:val="10"/>
              <w:keepNext w:val="0"/>
              <w:keepLines w:val="0"/>
              <w:pageBreakBefore w:val="0"/>
              <w:widowControl w:val="0"/>
              <w:kinsoku/>
              <w:wordWrap/>
              <w:overflowPunct/>
              <w:topLinePunct w:val="0"/>
              <w:autoSpaceDE/>
              <w:autoSpaceDN/>
              <w:bidi w:val="0"/>
              <w:adjustRightInd w:val="0"/>
              <w:snapToGrid w:val="0"/>
              <w:spacing w:line="540" w:lineRule="exact"/>
              <w:ind w:firstLine="562" w:firstLineChars="200"/>
              <w:jc w:val="both"/>
              <w:textAlignment w:val="auto"/>
              <w:rPr>
                <w:rFonts w:hint="eastAsia" w:ascii="仿宋" w:hAnsi="仿宋" w:eastAsia="仿宋" w:cs="仿宋"/>
                <w:b w:val="0"/>
                <w:bCs w:val="0"/>
                <w:color w:val="auto"/>
                <w:kern w:val="0"/>
                <w:sz w:val="28"/>
                <w:szCs w:val="28"/>
                <w:highlight w:val="none"/>
                <w:lang w:eastAsia="zh-CN"/>
              </w:rPr>
            </w:pPr>
            <w:r>
              <w:rPr>
                <w:rFonts w:hint="eastAsia" w:ascii="仿宋" w:hAnsi="仿宋" w:eastAsia="仿宋" w:cs="仿宋"/>
                <w:b/>
                <w:bCs/>
                <w:color w:val="auto"/>
                <w:kern w:val="0"/>
                <w:sz w:val="28"/>
                <w:szCs w:val="28"/>
                <w:highlight w:val="none"/>
              </w:rPr>
              <w:t>3.航空：</w:t>
            </w:r>
            <w:r>
              <w:rPr>
                <w:rFonts w:hint="eastAsia" w:ascii="仿宋" w:hAnsi="仿宋" w:eastAsia="仿宋" w:cs="仿宋"/>
                <w:b w:val="0"/>
                <w:bCs w:val="0"/>
                <w:color w:val="auto"/>
                <w:kern w:val="0"/>
                <w:sz w:val="28"/>
                <w:szCs w:val="28"/>
                <w:highlight w:val="none"/>
                <w:lang w:eastAsia="zh-CN"/>
              </w:rPr>
              <w:t>武冈</w:t>
            </w:r>
            <w:r>
              <w:rPr>
                <w:rFonts w:hint="eastAsia" w:ascii="仿宋" w:hAnsi="仿宋" w:eastAsia="仿宋" w:cs="仿宋"/>
                <w:b w:val="0"/>
                <w:bCs w:val="0"/>
                <w:color w:val="auto"/>
                <w:kern w:val="0"/>
                <w:sz w:val="28"/>
                <w:szCs w:val="28"/>
                <w:highlight w:val="none"/>
              </w:rPr>
              <w:t>通用</w:t>
            </w:r>
            <w:r>
              <w:rPr>
                <w:rFonts w:hint="eastAsia" w:ascii="仿宋" w:hAnsi="仿宋" w:eastAsia="仿宋" w:cs="仿宋"/>
                <w:b w:val="0"/>
                <w:bCs w:val="0"/>
                <w:color w:val="auto"/>
                <w:kern w:val="0"/>
                <w:sz w:val="28"/>
                <w:szCs w:val="28"/>
                <w:highlight w:val="none"/>
                <w:lang w:eastAsia="zh-CN"/>
              </w:rPr>
              <w:t>航空</w:t>
            </w:r>
            <w:r>
              <w:rPr>
                <w:rFonts w:hint="eastAsia" w:ascii="仿宋" w:hAnsi="仿宋" w:eastAsia="仿宋" w:cs="仿宋"/>
                <w:b w:val="0"/>
                <w:bCs w:val="0"/>
                <w:color w:val="auto"/>
                <w:kern w:val="0"/>
                <w:sz w:val="28"/>
                <w:szCs w:val="28"/>
                <w:highlight w:val="none"/>
              </w:rPr>
              <w:t>机场</w:t>
            </w:r>
            <w:r>
              <w:rPr>
                <w:rFonts w:hint="eastAsia" w:ascii="仿宋" w:hAnsi="仿宋" w:eastAsia="仿宋" w:cs="仿宋"/>
                <w:b w:val="0"/>
                <w:bCs w:val="0"/>
                <w:color w:val="auto"/>
                <w:kern w:val="0"/>
                <w:sz w:val="28"/>
                <w:szCs w:val="28"/>
                <w:highlight w:val="none"/>
                <w:lang w:eastAsia="zh-CN"/>
              </w:rPr>
              <w:t>、武冈机场航站楼及跑道扩建工程。</w:t>
            </w:r>
          </w:p>
          <w:p w14:paraId="315561BA">
            <w:pPr>
              <w:pStyle w:val="10"/>
              <w:keepNext w:val="0"/>
              <w:keepLines w:val="0"/>
              <w:pageBreakBefore w:val="0"/>
              <w:widowControl w:val="0"/>
              <w:kinsoku/>
              <w:wordWrap/>
              <w:overflowPunct/>
              <w:topLinePunct w:val="0"/>
              <w:autoSpaceDE/>
              <w:autoSpaceDN/>
              <w:bidi w:val="0"/>
              <w:adjustRightInd w:val="0"/>
              <w:snapToGrid w:val="0"/>
              <w:spacing w:line="540" w:lineRule="exact"/>
              <w:ind w:firstLine="562" w:firstLineChars="200"/>
              <w:jc w:val="both"/>
              <w:textAlignment w:val="auto"/>
              <w:rPr>
                <w:rFonts w:hint="eastAsia" w:ascii="仿宋" w:hAnsi="仿宋" w:eastAsia="仿宋" w:cs="仿宋"/>
                <w:b w:val="0"/>
                <w:bCs w:val="0"/>
                <w:color w:val="auto"/>
                <w:kern w:val="0"/>
                <w:sz w:val="28"/>
                <w:szCs w:val="28"/>
                <w:highlight w:val="none"/>
              </w:rPr>
            </w:pPr>
            <w:r>
              <w:rPr>
                <w:rFonts w:hint="eastAsia" w:ascii="仿宋" w:hAnsi="仿宋" w:eastAsia="仿宋" w:cs="仿宋"/>
                <w:b/>
                <w:bCs/>
                <w:color w:val="auto"/>
                <w:kern w:val="0"/>
                <w:sz w:val="28"/>
                <w:szCs w:val="28"/>
                <w:highlight w:val="none"/>
              </w:rPr>
              <w:t>4.航运：</w:t>
            </w:r>
            <w:r>
              <w:rPr>
                <w:rFonts w:hint="eastAsia" w:ascii="仿宋" w:hAnsi="仿宋" w:eastAsia="仿宋" w:cs="仿宋"/>
                <w:b w:val="0"/>
                <w:bCs w:val="0"/>
                <w:color w:val="auto"/>
                <w:kern w:val="0"/>
                <w:sz w:val="28"/>
                <w:szCs w:val="28"/>
                <w:highlight w:val="none"/>
              </w:rPr>
              <w:t>城区港口建设、赧水武冈城区航运建设、航道养护。</w:t>
            </w:r>
          </w:p>
          <w:p w14:paraId="714B408D">
            <w:pPr>
              <w:pStyle w:val="10"/>
              <w:keepNext w:val="0"/>
              <w:keepLines w:val="0"/>
              <w:pageBreakBefore w:val="0"/>
              <w:widowControl w:val="0"/>
              <w:kinsoku/>
              <w:wordWrap/>
              <w:overflowPunct/>
              <w:topLinePunct w:val="0"/>
              <w:autoSpaceDE/>
              <w:autoSpaceDN/>
              <w:bidi w:val="0"/>
              <w:adjustRightInd w:val="0"/>
              <w:snapToGrid w:val="0"/>
              <w:spacing w:line="540" w:lineRule="exact"/>
              <w:ind w:firstLine="562" w:firstLineChars="200"/>
              <w:jc w:val="both"/>
              <w:textAlignment w:val="auto"/>
              <w:rPr>
                <w:rFonts w:hint="eastAsia" w:ascii="仿宋" w:hAnsi="仿宋" w:eastAsia="仿宋" w:cs="仿宋"/>
                <w:b w:val="0"/>
                <w:bCs w:val="0"/>
                <w:color w:val="auto"/>
                <w:kern w:val="0"/>
                <w:sz w:val="28"/>
                <w:szCs w:val="28"/>
                <w:highlight w:val="none"/>
                <w:lang w:eastAsia="zh-CN"/>
              </w:rPr>
            </w:pPr>
            <w:r>
              <w:rPr>
                <w:rFonts w:hint="eastAsia" w:ascii="仿宋" w:hAnsi="仿宋" w:eastAsia="仿宋" w:cs="仿宋"/>
                <w:b/>
                <w:bCs/>
                <w:color w:val="auto"/>
                <w:kern w:val="0"/>
                <w:sz w:val="28"/>
                <w:szCs w:val="28"/>
                <w:highlight w:val="none"/>
              </w:rPr>
              <w:t>5.公路客运：</w:t>
            </w:r>
            <w:r>
              <w:rPr>
                <w:rFonts w:hint="eastAsia" w:ascii="仿宋" w:hAnsi="仿宋" w:eastAsia="仿宋" w:cs="仿宋"/>
                <w:b w:val="0"/>
                <w:bCs w:val="0"/>
                <w:color w:val="auto"/>
                <w:sz w:val="28"/>
                <w:szCs w:val="28"/>
                <w:highlight w:val="none"/>
                <w:lang w:eastAsia="zh-CN"/>
              </w:rPr>
              <w:t>公交停保场、武冈机场综合客运枢纽、客运总站（东站搬迁）、乡镇客运站所建设。</w:t>
            </w:r>
          </w:p>
          <w:p w14:paraId="1209327C">
            <w:pPr>
              <w:pStyle w:val="10"/>
              <w:keepNext w:val="0"/>
              <w:keepLines w:val="0"/>
              <w:pageBreakBefore w:val="0"/>
              <w:widowControl w:val="0"/>
              <w:kinsoku/>
              <w:wordWrap/>
              <w:overflowPunct/>
              <w:topLinePunct w:val="0"/>
              <w:autoSpaceDE/>
              <w:autoSpaceDN/>
              <w:bidi w:val="0"/>
              <w:adjustRightInd w:val="0"/>
              <w:snapToGrid w:val="0"/>
              <w:spacing w:line="540" w:lineRule="exact"/>
              <w:ind w:firstLine="562" w:firstLineChars="200"/>
              <w:jc w:val="both"/>
              <w:textAlignment w:val="auto"/>
              <w:rPr>
                <w:rFonts w:hint="eastAsia" w:ascii="仿宋" w:hAnsi="仿宋" w:eastAsia="仿宋" w:cs="仿宋"/>
                <w:b w:val="0"/>
                <w:bCs w:val="0"/>
                <w:color w:val="auto"/>
                <w:kern w:val="0"/>
                <w:sz w:val="28"/>
                <w:szCs w:val="28"/>
                <w:highlight w:val="none"/>
                <w:lang w:eastAsia="zh-CN"/>
              </w:rPr>
            </w:pPr>
            <w:r>
              <w:rPr>
                <w:rFonts w:hint="eastAsia" w:ascii="仿宋" w:hAnsi="仿宋" w:eastAsia="仿宋" w:cs="仿宋"/>
                <w:b/>
                <w:bCs/>
                <w:color w:val="auto"/>
                <w:kern w:val="0"/>
                <w:sz w:val="28"/>
                <w:szCs w:val="28"/>
                <w:highlight w:val="none"/>
              </w:rPr>
              <w:t>6.国省干道：</w:t>
            </w:r>
            <w:r>
              <w:rPr>
                <w:rFonts w:hint="eastAsia" w:ascii="仿宋" w:hAnsi="仿宋" w:eastAsia="仿宋" w:cs="仿宋"/>
                <w:b w:val="0"/>
                <w:bCs w:val="0"/>
                <w:color w:val="auto"/>
                <w:kern w:val="0"/>
                <w:sz w:val="28"/>
                <w:szCs w:val="28"/>
                <w:highlight w:val="none"/>
                <w:lang w:eastAsia="zh-CN"/>
              </w:rPr>
              <w:t>市域南部快速干道，国省干线公路</w:t>
            </w:r>
            <w:r>
              <w:rPr>
                <w:rFonts w:hint="default" w:ascii="仿宋" w:hAnsi="仿宋" w:eastAsia="仿宋" w:cs="仿宋"/>
                <w:b w:val="0"/>
                <w:bCs w:val="0"/>
                <w:color w:val="auto"/>
                <w:kern w:val="0"/>
                <w:sz w:val="28"/>
                <w:szCs w:val="28"/>
                <w:highlight w:val="none"/>
                <w:lang w:val="en-US" w:eastAsia="zh-CN"/>
              </w:rPr>
              <w:t>79</w:t>
            </w:r>
            <w:r>
              <w:rPr>
                <w:rFonts w:hint="eastAsia" w:ascii="仿宋" w:hAnsi="仿宋" w:eastAsia="仿宋" w:cs="仿宋"/>
                <w:b w:val="0"/>
                <w:bCs w:val="0"/>
                <w:color w:val="auto"/>
                <w:kern w:val="0"/>
                <w:sz w:val="28"/>
                <w:szCs w:val="28"/>
                <w:highlight w:val="none"/>
                <w:lang w:eastAsia="zh-CN"/>
              </w:rPr>
              <w:t>公里。</w:t>
            </w:r>
          </w:p>
          <w:p w14:paraId="44A58A9E">
            <w:pPr>
              <w:pStyle w:val="10"/>
              <w:keepNext w:val="0"/>
              <w:keepLines w:val="0"/>
              <w:pageBreakBefore w:val="0"/>
              <w:widowControl w:val="0"/>
              <w:kinsoku/>
              <w:wordWrap/>
              <w:overflowPunct/>
              <w:topLinePunct w:val="0"/>
              <w:autoSpaceDE/>
              <w:autoSpaceDN/>
              <w:bidi w:val="0"/>
              <w:adjustRightInd w:val="0"/>
              <w:snapToGrid w:val="0"/>
              <w:spacing w:line="540" w:lineRule="exact"/>
              <w:ind w:firstLine="562" w:firstLineChars="200"/>
              <w:jc w:val="both"/>
              <w:textAlignment w:val="auto"/>
              <w:rPr>
                <w:rFonts w:hint="eastAsia" w:ascii="仿宋" w:hAnsi="仿宋" w:eastAsia="仿宋" w:cs="仿宋"/>
                <w:b w:val="0"/>
                <w:bCs w:val="0"/>
                <w:color w:val="auto"/>
                <w:kern w:val="0"/>
                <w:sz w:val="28"/>
                <w:szCs w:val="28"/>
                <w:highlight w:val="none"/>
                <w:lang w:eastAsia="zh-CN"/>
              </w:rPr>
            </w:pPr>
            <w:r>
              <w:rPr>
                <w:rFonts w:hint="eastAsia" w:ascii="仿宋" w:hAnsi="仿宋" w:eastAsia="仿宋" w:cs="仿宋"/>
                <w:b/>
                <w:bCs/>
                <w:color w:val="auto"/>
                <w:kern w:val="0"/>
                <w:sz w:val="28"/>
                <w:szCs w:val="28"/>
                <w:highlight w:val="none"/>
              </w:rPr>
              <w:t>7.县乡村道：</w:t>
            </w:r>
            <w:r>
              <w:rPr>
                <w:rFonts w:hint="eastAsia" w:ascii="仿宋" w:hAnsi="仿宋" w:eastAsia="仿宋" w:cs="仿宋"/>
                <w:b w:val="0"/>
                <w:bCs w:val="0"/>
                <w:color w:val="auto"/>
                <w:kern w:val="0"/>
                <w:sz w:val="28"/>
                <w:szCs w:val="28"/>
                <w:highlight w:val="none"/>
              </w:rPr>
              <w:t>农村特色产业及资源路产业路296公里，四好农村公路</w:t>
            </w:r>
            <w:r>
              <w:rPr>
                <w:rFonts w:hint="eastAsia" w:ascii="仿宋" w:hAnsi="仿宋" w:eastAsia="仿宋" w:cs="仿宋"/>
                <w:b w:val="0"/>
                <w:bCs w:val="0"/>
                <w:color w:val="auto"/>
                <w:kern w:val="0"/>
                <w:sz w:val="28"/>
                <w:szCs w:val="28"/>
                <w:highlight w:val="none"/>
                <w:lang w:val="en-US" w:eastAsia="zh-CN"/>
              </w:rPr>
              <w:t>2</w:t>
            </w:r>
            <w:r>
              <w:rPr>
                <w:rFonts w:hint="eastAsia" w:ascii="仿宋" w:hAnsi="仿宋" w:eastAsia="仿宋" w:cs="仿宋"/>
                <w:b w:val="0"/>
                <w:bCs w:val="0"/>
                <w:color w:val="auto"/>
                <w:kern w:val="0"/>
                <w:sz w:val="28"/>
                <w:szCs w:val="28"/>
                <w:highlight w:val="none"/>
              </w:rPr>
              <w:t>50公里、村道提质改造</w:t>
            </w:r>
            <w:r>
              <w:rPr>
                <w:rFonts w:hint="eastAsia" w:ascii="仿宋" w:hAnsi="仿宋" w:eastAsia="仿宋" w:cs="仿宋"/>
                <w:b w:val="0"/>
                <w:bCs w:val="0"/>
                <w:color w:val="auto"/>
                <w:kern w:val="0"/>
                <w:sz w:val="28"/>
                <w:szCs w:val="28"/>
                <w:highlight w:val="none"/>
                <w:lang w:val="en-US" w:eastAsia="zh-CN"/>
              </w:rPr>
              <w:t>150</w:t>
            </w:r>
            <w:r>
              <w:rPr>
                <w:rFonts w:hint="eastAsia" w:ascii="仿宋" w:hAnsi="仿宋" w:eastAsia="仿宋" w:cs="仿宋"/>
                <w:b w:val="0"/>
                <w:bCs w:val="0"/>
                <w:color w:val="auto"/>
                <w:kern w:val="0"/>
                <w:sz w:val="28"/>
                <w:szCs w:val="28"/>
                <w:highlight w:val="none"/>
              </w:rPr>
              <w:t>公里</w:t>
            </w:r>
            <w:r>
              <w:rPr>
                <w:rFonts w:hint="eastAsia" w:ascii="仿宋" w:hAnsi="仿宋" w:eastAsia="仿宋" w:cs="仿宋"/>
                <w:b w:val="0"/>
                <w:bCs w:val="0"/>
                <w:color w:val="auto"/>
                <w:kern w:val="0"/>
                <w:sz w:val="28"/>
                <w:szCs w:val="28"/>
                <w:highlight w:val="none"/>
                <w:lang w:eastAsia="zh-CN"/>
              </w:rPr>
              <w:t>、</w:t>
            </w:r>
            <w:r>
              <w:rPr>
                <w:rFonts w:hint="eastAsia" w:ascii="仿宋" w:hAnsi="仿宋" w:eastAsia="仿宋" w:cs="仿宋"/>
                <w:color w:val="auto"/>
                <w:sz w:val="28"/>
                <w:szCs w:val="28"/>
                <w:highlight w:val="none"/>
                <w:lang w:val="en-US" w:eastAsia="zh-CN"/>
              </w:rPr>
              <w:t>100公里连通工程。</w:t>
            </w:r>
          </w:p>
          <w:p w14:paraId="32D6B66D">
            <w:pPr>
              <w:pStyle w:val="10"/>
              <w:keepNext w:val="0"/>
              <w:keepLines w:val="0"/>
              <w:pageBreakBefore w:val="0"/>
              <w:widowControl w:val="0"/>
              <w:kinsoku/>
              <w:wordWrap/>
              <w:overflowPunct/>
              <w:topLinePunct w:val="0"/>
              <w:autoSpaceDE/>
              <w:autoSpaceDN/>
              <w:bidi w:val="0"/>
              <w:adjustRightInd w:val="0"/>
              <w:snapToGrid w:val="0"/>
              <w:spacing w:line="540" w:lineRule="exact"/>
              <w:ind w:firstLine="562" w:firstLineChars="200"/>
              <w:textAlignment w:val="auto"/>
              <w:rPr>
                <w:rFonts w:hint="eastAsia" w:ascii="仿宋" w:hAnsi="仿宋" w:eastAsia="仿宋" w:cs="仿宋"/>
                <w:bCs/>
                <w:color w:val="auto"/>
                <w:sz w:val="28"/>
                <w:szCs w:val="28"/>
                <w:highlight w:val="none"/>
                <w:vertAlign w:val="baseline"/>
                <w:lang w:val="en-US" w:eastAsia="zh-CN"/>
              </w:rPr>
            </w:pPr>
            <w:r>
              <w:rPr>
                <w:rFonts w:hint="eastAsia" w:ascii="仿宋" w:hAnsi="仿宋" w:eastAsia="仿宋" w:cs="仿宋"/>
                <w:b/>
                <w:bCs/>
                <w:color w:val="auto"/>
                <w:kern w:val="0"/>
                <w:sz w:val="28"/>
                <w:szCs w:val="28"/>
                <w:highlight w:val="none"/>
              </w:rPr>
              <w:t>8.桥梁</w:t>
            </w:r>
            <w:r>
              <w:rPr>
                <w:rFonts w:hint="eastAsia" w:ascii="仿宋" w:hAnsi="仿宋" w:eastAsia="仿宋" w:cs="仿宋"/>
                <w:b/>
                <w:bCs/>
                <w:color w:val="auto"/>
                <w:kern w:val="0"/>
                <w:sz w:val="28"/>
                <w:szCs w:val="28"/>
                <w:highlight w:val="none"/>
                <w:lang w:eastAsia="zh-CN"/>
              </w:rPr>
              <w:t>：</w:t>
            </w:r>
            <w:r>
              <w:rPr>
                <w:rFonts w:hint="eastAsia" w:ascii="仿宋" w:hAnsi="仿宋" w:eastAsia="仿宋" w:cs="仿宋"/>
                <w:b w:val="0"/>
                <w:bCs w:val="0"/>
                <w:color w:val="auto"/>
                <w:kern w:val="0"/>
                <w:sz w:val="28"/>
                <w:szCs w:val="28"/>
                <w:highlight w:val="none"/>
              </w:rPr>
              <w:t>包括渡改桥</w:t>
            </w:r>
            <w:r>
              <w:rPr>
                <w:rFonts w:hint="eastAsia" w:ascii="仿宋" w:hAnsi="仿宋" w:eastAsia="仿宋" w:cs="仿宋"/>
                <w:b w:val="0"/>
                <w:bCs w:val="0"/>
                <w:color w:val="auto"/>
                <w:kern w:val="0"/>
                <w:sz w:val="28"/>
                <w:szCs w:val="28"/>
                <w:highlight w:val="none"/>
                <w:lang w:val="en-US" w:eastAsia="zh-CN"/>
              </w:rPr>
              <w:t>3</w:t>
            </w:r>
            <w:r>
              <w:rPr>
                <w:rFonts w:hint="eastAsia" w:ascii="仿宋" w:hAnsi="仿宋" w:eastAsia="仿宋" w:cs="仿宋"/>
                <w:b w:val="0"/>
                <w:bCs w:val="0"/>
                <w:color w:val="auto"/>
                <w:kern w:val="0"/>
                <w:sz w:val="28"/>
                <w:szCs w:val="28"/>
                <w:highlight w:val="none"/>
                <w:lang w:eastAsia="zh-CN"/>
              </w:rPr>
              <w:t>座</w:t>
            </w:r>
            <w:r>
              <w:rPr>
                <w:rFonts w:hint="eastAsia" w:ascii="仿宋" w:hAnsi="仿宋" w:eastAsia="仿宋" w:cs="仿宋"/>
                <w:b w:val="0"/>
                <w:bCs w:val="0"/>
                <w:color w:val="auto"/>
                <w:kern w:val="0"/>
                <w:sz w:val="28"/>
                <w:szCs w:val="28"/>
                <w:highlight w:val="none"/>
              </w:rPr>
              <w:t>，窄桥拓改</w:t>
            </w:r>
            <w:r>
              <w:rPr>
                <w:rFonts w:hint="eastAsia" w:ascii="仿宋" w:hAnsi="仿宋" w:eastAsia="仿宋" w:cs="仿宋"/>
                <w:b w:val="0"/>
                <w:bCs w:val="0"/>
                <w:color w:val="auto"/>
                <w:kern w:val="0"/>
                <w:sz w:val="28"/>
                <w:szCs w:val="28"/>
                <w:highlight w:val="none"/>
                <w:lang w:val="en-US" w:eastAsia="zh-CN"/>
              </w:rPr>
              <w:t>15</w:t>
            </w:r>
            <w:r>
              <w:rPr>
                <w:rFonts w:hint="eastAsia" w:ascii="仿宋" w:hAnsi="仿宋" w:eastAsia="仿宋" w:cs="仿宋"/>
                <w:b w:val="0"/>
                <w:bCs w:val="0"/>
                <w:color w:val="auto"/>
                <w:kern w:val="0"/>
                <w:sz w:val="28"/>
                <w:szCs w:val="28"/>
                <w:highlight w:val="none"/>
              </w:rPr>
              <w:t>座，危桥改造</w:t>
            </w:r>
            <w:r>
              <w:rPr>
                <w:rFonts w:hint="eastAsia" w:ascii="仿宋" w:hAnsi="仿宋" w:eastAsia="仿宋" w:cs="仿宋"/>
                <w:b w:val="0"/>
                <w:bCs w:val="0"/>
                <w:color w:val="auto"/>
                <w:kern w:val="0"/>
                <w:sz w:val="28"/>
                <w:szCs w:val="28"/>
                <w:highlight w:val="none"/>
                <w:lang w:val="en-US" w:eastAsia="zh-CN"/>
              </w:rPr>
              <w:t>15</w:t>
            </w:r>
            <w:r>
              <w:rPr>
                <w:rFonts w:hint="eastAsia" w:ascii="仿宋" w:hAnsi="仿宋" w:eastAsia="仿宋" w:cs="仿宋"/>
                <w:b w:val="0"/>
                <w:bCs w:val="0"/>
                <w:color w:val="auto"/>
                <w:kern w:val="0"/>
                <w:sz w:val="28"/>
                <w:szCs w:val="28"/>
                <w:highlight w:val="none"/>
              </w:rPr>
              <w:t>座。</w:t>
            </w:r>
          </w:p>
        </w:tc>
      </w:tr>
    </w:tbl>
    <w:p w14:paraId="5BD7A89C">
      <w:pPr>
        <w:keepNext w:val="0"/>
        <w:keepLines w:val="0"/>
        <w:pageBreakBefore w:val="0"/>
        <w:widowControl w:val="0"/>
        <w:kinsoku/>
        <w:wordWrap/>
        <w:overflowPunct/>
        <w:topLinePunct w:val="0"/>
        <w:autoSpaceDE/>
        <w:autoSpaceDN/>
        <w:bidi w:val="0"/>
        <w:adjustRightInd/>
        <w:snapToGrid/>
        <w:spacing w:after="157" w:afterLines="50" w:line="580" w:lineRule="exact"/>
        <w:ind w:firstLine="643" w:firstLineChars="200"/>
        <w:jc w:val="both"/>
        <w:textAlignment w:val="auto"/>
        <w:rPr>
          <w:rFonts w:hint="eastAsia" w:ascii="仿宋" w:hAnsi="仿宋" w:eastAsia="仿宋" w:cs="仿宋"/>
          <w:color w:val="auto"/>
          <w:highlight w:val="none"/>
        </w:rPr>
      </w:pPr>
      <w:r>
        <w:rPr>
          <w:rFonts w:hint="eastAsia" w:ascii="KaiTi_GB2312" w:hAnsi="KaiTi_GB2312" w:eastAsia="KaiTi_GB2312" w:cs="KaiTi_GB2312"/>
          <w:b/>
          <w:bCs/>
          <w:color w:val="auto"/>
          <w:sz w:val="32"/>
          <w:szCs w:val="32"/>
          <w:highlight w:val="none"/>
          <w:lang w:val="en-US" w:eastAsia="zh-CN"/>
        </w:rPr>
        <w:t>健全能源网。</w:t>
      </w:r>
      <w:r>
        <w:rPr>
          <w:rFonts w:hint="eastAsia" w:ascii="仿宋" w:hAnsi="仿宋" w:eastAsia="仿宋" w:cs="仿宋"/>
          <w:b/>
          <w:bCs/>
          <w:color w:val="auto"/>
          <w:sz w:val="32"/>
          <w:szCs w:val="32"/>
          <w:highlight w:val="none"/>
          <w:lang w:val="en-US" w:eastAsia="zh-CN"/>
        </w:rPr>
        <w:t>加强电网建设。</w:t>
      </w:r>
      <w:r>
        <w:rPr>
          <w:rFonts w:hint="eastAsia" w:ascii="仿宋" w:hAnsi="仿宋" w:eastAsia="仿宋" w:cs="仿宋"/>
          <w:color w:val="auto"/>
          <w:highlight w:val="none"/>
        </w:rPr>
        <w:t>以提供更安全更可靠的电力保障为目标，加快建设安全智能主电网，稳步推进老旧线路隐患治理，实施城乡电网提质改造工程，着力抓好220kV头堂变电站、110kV城北变</w:t>
      </w:r>
      <w:r>
        <w:rPr>
          <w:rFonts w:hint="eastAsia" w:ascii="仿宋" w:hAnsi="仿宋" w:eastAsia="仿宋" w:cs="仿宋"/>
          <w:color w:val="auto"/>
          <w:highlight w:val="none"/>
          <w:lang w:eastAsia="zh-CN"/>
        </w:rPr>
        <w:t>电站</w:t>
      </w:r>
      <w:r>
        <w:rPr>
          <w:rFonts w:hint="eastAsia" w:ascii="仿宋" w:hAnsi="仿宋" w:eastAsia="仿宋" w:cs="仿宋"/>
          <w:color w:val="auto"/>
          <w:highlight w:val="none"/>
        </w:rPr>
        <w:t>、110kV荆竹变</w:t>
      </w:r>
      <w:r>
        <w:rPr>
          <w:rFonts w:hint="eastAsia" w:ascii="仿宋" w:hAnsi="仿宋" w:eastAsia="仿宋" w:cs="仿宋"/>
          <w:color w:val="auto"/>
          <w:highlight w:val="none"/>
          <w:lang w:eastAsia="zh-CN"/>
        </w:rPr>
        <w:t>电站</w:t>
      </w:r>
      <w:r>
        <w:rPr>
          <w:rFonts w:hint="eastAsia" w:ascii="仿宋" w:hAnsi="仿宋" w:eastAsia="仿宋" w:cs="仿宋"/>
          <w:color w:val="auto"/>
          <w:highlight w:val="none"/>
        </w:rPr>
        <w:t>、110kV湾头变</w:t>
      </w:r>
      <w:r>
        <w:rPr>
          <w:rFonts w:hint="eastAsia" w:ascii="仿宋" w:hAnsi="仿宋" w:eastAsia="仿宋" w:cs="仿宋"/>
          <w:color w:val="auto"/>
          <w:highlight w:val="none"/>
          <w:lang w:eastAsia="zh-CN"/>
        </w:rPr>
        <w:t>电站</w:t>
      </w:r>
      <w:r>
        <w:rPr>
          <w:rFonts w:hint="eastAsia" w:ascii="仿宋" w:hAnsi="仿宋" w:eastAsia="仿宋" w:cs="仿宋"/>
          <w:color w:val="auto"/>
          <w:highlight w:val="none"/>
        </w:rPr>
        <w:t>建设，全力保障城乡用电需求。</w:t>
      </w:r>
      <w:r>
        <w:rPr>
          <w:rFonts w:hint="eastAsia" w:ascii="仿宋" w:hAnsi="仿宋" w:eastAsia="仿宋" w:cs="仿宋"/>
          <w:b/>
          <w:bCs/>
          <w:color w:val="auto"/>
          <w:sz w:val="32"/>
          <w:szCs w:val="32"/>
          <w:highlight w:val="none"/>
          <w:lang w:val="en-US" w:eastAsia="zh-CN"/>
        </w:rPr>
        <w:t>推进天然气工程。</w:t>
      </w:r>
      <w:r>
        <w:rPr>
          <w:rFonts w:hint="eastAsia" w:ascii="仿宋" w:hAnsi="仿宋" w:eastAsia="仿宋" w:cs="仿宋"/>
          <w:color w:val="auto"/>
          <w:highlight w:val="none"/>
          <w:lang w:eastAsia="zh-CN"/>
        </w:rPr>
        <w:t>推进</w:t>
      </w:r>
      <w:r>
        <w:rPr>
          <w:rFonts w:hint="eastAsia" w:ascii="仿宋" w:hAnsi="仿宋" w:eastAsia="仿宋" w:cs="仿宋"/>
          <w:color w:val="auto"/>
          <w:highlight w:val="none"/>
        </w:rPr>
        <w:t>“气化邵阳”二期工程武冈段建设，</w:t>
      </w:r>
      <w:r>
        <w:rPr>
          <w:rFonts w:hint="eastAsia" w:ascii="仿宋" w:hAnsi="仿宋" w:eastAsia="仿宋" w:cs="仿宋"/>
          <w:color w:val="auto"/>
          <w:highlight w:val="none"/>
          <w:lang w:eastAsia="zh-CN"/>
        </w:rPr>
        <w:t>在</w:t>
      </w:r>
      <w:r>
        <w:rPr>
          <w:rFonts w:hint="eastAsia" w:ascii="仿宋" w:hAnsi="仿宋" w:eastAsia="仿宋" w:cs="仿宋"/>
          <w:color w:val="auto"/>
          <w:highlight w:val="none"/>
        </w:rPr>
        <w:t>未通气老旧小区新建燃气管道，对已开通的老旧</w:t>
      </w:r>
      <w:r>
        <w:rPr>
          <w:rFonts w:hint="eastAsia" w:ascii="仿宋" w:hAnsi="仿宋" w:eastAsia="仿宋" w:cs="仿宋"/>
          <w:color w:val="auto"/>
          <w:highlight w:val="none"/>
          <w:lang w:eastAsia="zh-CN"/>
        </w:rPr>
        <w:t>小区燃气管网</w:t>
      </w:r>
      <w:r>
        <w:rPr>
          <w:rFonts w:hint="eastAsia" w:ascii="仿宋" w:hAnsi="仿宋" w:eastAsia="仿宋" w:cs="仿宋"/>
          <w:color w:val="auto"/>
          <w:highlight w:val="none"/>
        </w:rPr>
        <w:t>及附属设施进行更新改造</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新建3000</w:t>
      </w:r>
      <w:r>
        <w:rPr>
          <w:rFonts w:hint="eastAsia" w:ascii="仿宋" w:hAnsi="仿宋" w:eastAsia="仿宋" w:cs="仿宋"/>
          <w:color w:val="auto"/>
          <w:highlight w:val="none"/>
          <w:lang w:val="en-US" w:eastAsia="zh-CN"/>
        </w:rPr>
        <w:t>m³</w:t>
      </w:r>
      <w:r>
        <w:rPr>
          <w:rFonts w:hint="eastAsia" w:ascii="仿宋" w:hAnsi="仿宋" w:eastAsia="仿宋" w:cs="仿宋"/>
          <w:color w:val="auto"/>
          <w:highlight w:val="none"/>
        </w:rPr>
        <w:t>液化天然气储备库</w:t>
      </w:r>
      <w:r>
        <w:rPr>
          <w:rFonts w:hint="eastAsia" w:ascii="仿宋" w:hAnsi="仿宋" w:eastAsia="仿宋" w:cs="仿宋"/>
          <w:color w:val="auto"/>
          <w:highlight w:val="none"/>
          <w:lang w:eastAsia="zh-CN"/>
        </w:rPr>
        <w:t>一座</w:t>
      </w:r>
      <w:r>
        <w:rPr>
          <w:rFonts w:hint="eastAsia" w:ascii="仿宋" w:hAnsi="仿宋" w:eastAsia="仿宋" w:cs="仿宋"/>
          <w:color w:val="auto"/>
          <w:highlight w:val="none"/>
        </w:rPr>
        <w:t>。</w:t>
      </w:r>
      <w:r>
        <w:rPr>
          <w:rFonts w:hint="eastAsia" w:ascii="仿宋" w:hAnsi="仿宋" w:eastAsia="仿宋" w:cs="仿宋"/>
          <w:b/>
          <w:bCs/>
          <w:color w:val="auto"/>
          <w:sz w:val="32"/>
          <w:szCs w:val="32"/>
          <w:highlight w:val="none"/>
          <w:lang w:val="en-US" w:eastAsia="zh-CN"/>
        </w:rPr>
        <w:t>积极发展清洁能源。</w:t>
      </w:r>
      <w:r>
        <w:rPr>
          <w:rFonts w:hint="eastAsia" w:ascii="仿宋" w:hAnsi="仿宋" w:eastAsia="仿宋" w:cs="仿宋"/>
          <w:color w:val="auto"/>
          <w:highlight w:val="none"/>
        </w:rPr>
        <w:t>加快发展太阳能分布式发电，建设分布式光伏发电应用示范区，鼓励公共建筑及公用设施、工业园区及农村建设屋顶分布式光伏发电。积极发展生物质燃料，加快推进</w:t>
      </w:r>
      <w:r>
        <w:rPr>
          <w:rFonts w:hint="eastAsia" w:ascii="仿宋" w:hAnsi="仿宋" w:eastAsia="仿宋" w:cs="仿宋"/>
          <w:color w:val="auto"/>
          <w:highlight w:val="none"/>
          <w:lang w:eastAsia="zh-CN"/>
        </w:rPr>
        <w:t>邵阳中部</w:t>
      </w:r>
      <w:r>
        <w:rPr>
          <w:rFonts w:hint="eastAsia" w:ascii="仿宋" w:hAnsi="仿宋" w:eastAsia="仿宋" w:cs="仿宋"/>
          <w:color w:val="auto"/>
          <w:highlight w:val="none"/>
        </w:rPr>
        <w:t>生活垃圾焚烧发电项目建设。加大园区循环化改造，推进工业“三余”发电。优化提升水电</w:t>
      </w:r>
      <w:r>
        <w:rPr>
          <w:rFonts w:hint="eastAsia" w:ascii="仿宋" w:hAnsi="仿宋" w:eastAsia="仿宋" w:cs="仿宋"/>
          <w:color w:val="auto"/>
          <w:highlight w:val="none"/>
          <w:lang w:eastAsia="zh-CN"/>
        </w:rPr>
        <w:t>站</w:t>
      </w:r>
      <w:r>
        <w:rPr>
          <w:rFonts w:hint="eastAsia" w:ascii="仿宋" w:hAnsi="仿宋" w:eastAsia="仿宋" w:cs="仿宋"/>
          <w:color w:val="auto"/>
          <w:highlight w:val="none"/>
        </w:rPr>
        <w:t>，在做好生态保护和移民安置的前提下，推进农村水电绿色改造。</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61B1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5E8CB69D">
            <w:pPr>
              <w:pStyle w:val="10"/>
              <w:pageBreakBefore w:val="0"/>
              <w:widowControl w:val="0"/>
              <w:kinsoku/>
              <w:wordWrap/>
              <w:overflowPunct/>
              <w:bidi w:val="0"/>
              <w:jc w:val="center"/>
              <w:rPr>
                <w:rFonts w:hint="eastAsia" w:ascii="仿宋" w:hAnsi="仿宋" w:eastAsia="仿宋" w:cs="仿宋"/>
                <w:bCs/>
                <w:color w:val="auto"/>
                <w:szCs w:val="32"/>
                <w:highlight w:val="none"/>
                <w:vertAlign w:val="baseline"/>
                <w:lang w:val="en-US" w:eastAsia="zh-CN"/>
              </w:rPr>
            </w:pPr>
            <w:r>
              <w:rPr>
                <w:rFonts w:hint="eastAsia" w:ascii="宋体" w:hAnsi="宋体" w:eastAsia="宋体" w:cs="宋体"/>
                <w:b/>
                <w:bCs/>
                <w:color w:val="auto"/>
                <w:kern w:val="0"/>
                <w:sz w:val="28"/>
                <w:szCs w:val="28"/>
                <w:highlight w:val="none"/>
              </w:rPr>
              <w:t>专栏</w:t>
            </w:r>
            <w:r>
              <w:rPr>
                <w:rFonts w:hint="eastAsia" w:eastAsia="宋体" w:cs="宋体"/>
                <w:b/>
                <w:bCs/>
                <w:color w:val="auto"/>
                <w:kern w:val="0"/>
                <w:sz w:val="28"/>
                <w:szCs w:val="28"/>
                <w:highlight w:val="none"/>
                <w:lang w:val="en-US" w:eastAsia="zh-CN"/>
              </w:rPr>
              <w:t>11</w:t>
            </w:r>
            <w:r>
              <w:rPr>
                <w:rFonts w:hint="eastAsia" w:ascii="宋体" w:hAnsi="宋体" w:eastAsia="宋体" w:cs="宋体"/>
                <w:b/>
                <w:bCs/>
                <w:color w:val="auto"/>
                <w:kern w:val="0"/>
                <w:sz w:val="28"/>
                <w:szCs w:val="28"/>
                <w:highlight w:val="none"/>
              </w:rPr>
              <w:t>：能源网建设重点工程</w:t>
            </w:r>
          </w:p>
        </w:tc>
      </w:tr>
      <w:tr w14:paraId="249B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2B7E1B8C">
            <w:pPr>
              <w:pStyle w:val="10"/>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both"/>
              <w:textAlignment w:val="auto"/>
              <w:rPr>
                <w:rFonts w:hint="eastAsia" w:ascii="仿宋" w:hAnsi="仿宋" w:eastAsia="仿宋" w:cs="仿宋"/>
                <w:b w:val="0"/>
                <w:bCs w:val="0"/>
                <w:color w:val="auto"/>
                <w:kern w:val="0"/>
                <w:sz w:val="28"/>
                <w:szCs w:val="28"/>
                <w:highlight w:val="none"/>
              </w:rPr>
            </w:pPr>
            <w:r>
              <w:rPr>
                <w:rFonts w:hint="eastAsia" w:ascii="仿宋" w:hAnsi="仿宋" w:eastAsia="仿宋" w:cs="仿宋"/>
                <w:b/>
                <w:bCs/>
                <w:color w:val="auto"/>
                <w:kern w:val="0"/>
                <w:sz w:val="28"/>
                <w:szCs w:val="28"/>
                <w:highlight w:val="none"/>
              </w:rPr>
              <w:t>1.电网建设：</w:t>
            </w:r>
            <w:r>
              <w:rPr>
                <w:rFonts w:hint="eastAsia" w:ascii="仿宋" w:hAnsi="仿宋" w:eastAsia="仿宋" w:cs="仿宋"/>
                <w:b w:val="0"/>
                <w:bCs w:val="0"/>
                <w:color w:val="auto"/>
                <w:kern w:val="0"/>
                <w:sz w:val="28"/>
                <w:szCs w:val="28"/>
                <w:highlight w:val="none"/>
              </w:rPr>
              <w:t>220kV头堂变</w:t>
            </w:r>
            <w:r>
              <w:rPr>
                <w:rFonts w:hint="eastAsia" w:ascii="仿宋" w:hAnsi="仿宋" w:eastAsia="仿宋" w:cs="仿宋"/>
                <w:b w:val="0"/>
                <w:bCs w:val="0"/>
                <w:color w:val="auto"/>
                <w:kern w:val="0"/>
                <w:sz w:val="28"/>
                <w:szCs w:val="28"/>
                <w:highlight w:val="none"/>
                <w:lang w:eastAsia="zh-CN"/>
              </w:rPr>
              <w:t>电站</w:t>
            </w:r>
            <w:r>
              <w:rPr>
                <w:rFonts w:hint="eastAsia" w:ascii="仿宋" w:hAnsi="仿宋" w:eastAsia="仿宋" w:cs="仿宋"/>
                <w:b w:val="0"/>
                <w:bCs w:val="0"/>
                <w:color w:val="auto"/>
                <w:kern w:val="0"/>
                <w:sz w:val="28"/>
                <w:szCs w:val="28"/>
                <w:highlight w:val="none"/>
              </w:rPr>
              <w:t>、110kV</w:t>
            </w:r>
            <w:r>
              <w:rPr>
                <w:rFonts w:hint="eastAsia" w:ascii="仿宋" w:hAnsi="仿宋" w:eastAsia="仿宋" w:cs="仿宋"/>
                <w:b w:val="0"/>
                <w:bCs w:val="0"/>
                <w:color w:val="auto"/>
                <w:kern w:val="0"/>
                <w:sz w:val="28"/>
                <w:szCs w:val="28"/>
                <w:highlight w:val="none"/>
                <w:lang w:eastAsia="zh-CN"/>
              </w:rPr>
              <w:t>城北、荆竹、湾头桥</w:t>
            </w:r>
            <w:r>
              <w:rPr>
                <w:rFonts w:hint="eastAsia" w:ascii="仿宋" w:hAnsi="仿宋" w:eastAsia="仿宋" w:cs="仿宋"/>
                <w:b w:val="0"/>
                <w:bCs w:val="0"/>
                <w:color w:val="auto"/>
                <w:kern w:val="0"/>
                <w:sz w:val="28"/>
                <w:szCs w:val="28"/>
                <w:highlight w:val="none"/>
              </w:rPr>
              <w:t>变电站。</w:t>
            </w:r>
          </w:p>
          <w:p w14:paraId="6EBCE179">
            <w:pPr>
              <w:pStyle w:val="10"/>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jc w:val="both"/>
              <w:textAlignment w:val="auto"/>
              <w:rPr>
                <w:rFonts w:hint="eastAsia" w:ascii="仿宋" w:hAnsi="仿宋" w:eastAsia="仿宋" w:cs="仿宋"/>
                <w:b w:val="0"/>
                <w:bCs w:val="0"/>
                <w:color w:val="auto"/>
                <w:kern w:val="0"/>
                <w:sz w:val="28"/>
                <w:szCs w:val="28"/>
                <w:highlight w:val="none"/>
              </w:rPr>
            </w:pPr>
            <w:r>
              <w:rPr>
                <w:rFonts w:hint="eastAsia" w:ascii="仿宋" w:hAnsi="仿宋" w:eastAsia="仿宋" w:cs="仿宋"/>
                <w:b/>
                <w:bCs/>
                <w:color w:val="auto"/>
                <w:kern w:val="0"/>
                <w:sz w:val="28"/>
                <w:szCs w:val="28"/>
                <w:highlight w:val="none"/>
              </w:rPr>
              <w:t>2.油气管网：</w:t>
            </w:r>
            <w:r>
              <w:rPr>
                <w:rFonts w:hint="eastAsia" w:ascii="仿宋" w:hAnsi="仿宋" w:eastAsia="仿宋" w:cs="仿宋"/>
                <w:b w:val="0"/>
                <w:bCs w:val="0"/>
                <w:color w:val="auto"/>
                <w:kern w:val="0"/>
                <w:sz w:val="28"/>
                <w:szCs w:val="28"/>
                <w:highlight w:val="none"/>
              </w:rPr>
              <w:t>“气化邵阳”二期工程武冈段、城区老旧小区燃气管网改造及分输门站至城区燃气管道工程、城乡供气一体化工程。</w:t>
            </w:r>
          </w:p>
          <w:p w14:paraId="2D5626CB">
            <w:pPr>
              <w:pStyle w:val="10"/>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仿宋" w:hAnsi="仿宋" w:eastAsia="仿宋" w:cs="仿宋"/>
                <w:bCs/>
                <w:color w:val="auto"/>
                <w:sz w:val="28"/>
                <w:szCs w:val="28"/>
                <w:highlight w:val="none"/>
                <w:vertAlign w:val="baseline"/>
                <w:lang w:val="en-US" w:eastAsia="zh-CN"/>
              </w:rPr>
            </w:pPr>
            <w:r>
              <w:rPr>
                <w:rFonts w:hint="eastAsia" w:ascii="仿宋" w:hAnsi="仿宋" w:eastAsia="仿宋" w:cs="仿宋"/>
                <w:b/>
                <w:bCs/>
                <w:color w:val="auto"/>
                <w:kern w:val="0"/>
                <w:sz w:val="28"/>
                <w:szCs w:val="28"/>
                <w:highlight w:val="none"/>
              </w:rPr>
              <w:t>3.能源储备</w:t>
            </w:r>
            <w:r>
              <w:rPr>
                <w:rFonts w:hint="eastAsia" w:ascii="仿宋" w:hAnsi="仿宋" w:eastAsia="仿宋" w:cs="仿宋"/>
                <w:b w:val="0"/>
                <w:bCs w:val="0"/>
                <w:color w:val="auto"/>
                <w:kern w:val="0"/>
                <w:sz w:val="28"/>
                <w:szCs w:val="28"/>
                <w:highlight w:val="none"/>
                <w:lang w:eastAsia="zh-CN"/>
              </w:rPr>
              <w:t>：</w:t>
            </w:r>
            <w:r>
              <w:rPr>
                <w:rFonts w:hint="eastAsia" w:ascii="仿宋" w:hAnsi="仿宋" w:eastAsia="仿宋" w:cs="仿宋"/>
                <w:b w:val="0"/>
                <w:bCs w:val="0"/>
                <w:color w:val="auto"/>
                <w:kern w:val="0"/>
                <w:sz w:val="28"/>
                <w:szCs w:val="28"/>
                <w:highlight w:val="none"/>
              </w:rPr>
              <w:t>LNG储备库、经开区热电联供、邵阳市中部生活垃圾焚烧发电。</w:t>
            </w:r>
          </w:p>
        </w:tc>
      </w:tr>
    </w:tbl>
    <w:p w14:paraId="337AFD10">
      <w:pPr>
        <w:keepNext w:val="0"/>
        <w:keepLines w:val="0"/>
        <w:pageBreakBefore w:val="0"/>
        <w:widowControl w:val="0"/>
        <w:kinsoku/>
        <w:wordWrap/>
        <w:overflowPunct/>
        <w:topLinePunct w:val="0"/>
        <w:autoSpaceDE/>
        <w:autoSpaceDN/>
        <w:bidi w:val="0"/>
        <w:adjustRightInd/>
        <w:snapToGrid/>
        <w:spacing w:after="157" w:afterLines="50" w:line="660" w:lineRule="exact"/>
        <w:ind w:firstLine="643" w:firstLineChars="200"/>
        <w:jc w:val="both"/>
        <w:textAlignment w:val="auto"/>
        <w:rPr>
          <w:rFonts w:hint="eastAsia" w:ascii="仿宋" w:hAnsi="仿宋" w:eastAsia="仿宋" w:cs="仿宋"/>
          <w:color w:val="auto"/>
          <w:szCs w:val="32"/>
          <w:highlight w:val="none"/>
          <w:lang w:val="en-US" w:eastAsia="zh-CN"/>
        </w:rPr>
      </w:pPr>
      <w:bookmarkStart w:id="81" w:name="_Toc451430735"/>
      <w:bookmarkStart w:id="82" w:name="_Toc436244909"/>
      <w:r>
        <w:rPr>
          <w:rFonts w:hint="eastAsia" w:ascii="KaiTi_GB2312" w:hAnsi="KaiTi_GB2312" w:eastAsia="KaiTi_GB2312" w:cs="KaiTi_GB2312"/>
          <w:b/>
          <w:bCs/>
          <w:color w:val="auto"/>
          <w:sz w:val="32"/>
          <w:szCs w:val="32"/>
          <w:highlight w:val="none"/>
          <w:lang w:val="en-US" w:eastAsia="zh-CN"/>
        </w:rPr>
        <w:t>密织水利网</w:t>
      </w:r>
      <w:r>
        <w:rPr>
          <w:rFonts w:hint="eastAsia" w:ascii="楷体" w:hAnsi="楷体" w:eastAsia="楷体" w:cs="楷体"/>
          <w:b/>
          <w:bCs/>
          <w:color w:val="auto"/>
          <w:highlight w:val="none"/>
        </w:rPr>
        <w:t>。</w:t>
      </w:r>
      <w:r>
        <w:rPr>
          <w:rStyle w:val="35"/>
          <w:rFonts w:hint="eastAsia" w:ascii="仿宋" w:hAnsi="仿宋" w:eastAsia="仿宋" w:cs="仿宋"/>
          <w:b/>
          <w:bCs/>
          <w:color w:val="auto"/>
          <w:sz w:val="32"/>
          <w:highlight w:val="none"/>
        </w:rPr>
        <w:t>完善城乡水利设施</w:t>
      </w:r>
      <w:r>
        <w:rPr>
          <w:rFonts w:hint="eastAsia" w:ascii="仿宋" w:hAnsi="仿宋" w:eastAsia="仿宋" w:cs="仿宋"/>
          <w:b/>
          <w:bCs/>
          <w:color w:val="auto"/>
          <w:szCs w:val="32"/>
          <w:highlight w:val="none"/>
        </w:rPr>
        <w:t>。</w:t>
      </w:r>
      <w:r>
        <w:rPr>
          <w:rFonts w:hint="eastAsia" w:ascii="仿宋" w:hAnsi="仿宋" w:eastAsia="仿宋" w:cs="仿宋"/>
          <w:color w:val="auto"/>
          <w:szCs w:val="32"/>
          <w:highlight w:val="none"/>
        </w:rPr>
        <w:t>大力推进骨干水利枢纽和重点水源、农村供水、大中型灌区续建配套与节水改造、灌排泵站更新改造及灌区建设。加快中心城区重点备用水源、应急水源建设，新建甘田水库、田庄水库，抓好威溪水库、</w:t>
      </w:r>
      <w:r>
        <w:rPr>
          <w:rFonts w:hint="eastAsia" w:ascii="仿宋" w:hAnsi="仿宋" w:eastAsia="仿宋" w:cs="仿宋"/>
          <w:color w:val="auto"/>
          <w:szCs w:val="32"/>
          <w:highlight w:val="none"/>
          <w:lang w:eastAsia="zh-CN"/>
        </w:rPr>
        <w:t>云山水厂、幸福水厂</w:t>
      </w:r>
      <w:r>
        <w:rPr>
          <w:rFonts w:hint="eastAsia" w:ascii="仿宋" w:hAnsi="仿宋" w:eastAsia="仿宋" w:cs="仿宋"/>
          <w:color w:val="auto"/>
          <w:szCs w:val="32"/>
          <w:highlight w:val="none"/>
        </w:rPr>
        <w:t>等</w:t>
      </w:r>
      <w:r>
        <w:rPr>
          <w:rFonts w:hint="eastAsia" w:ascii="仿宋" w:hAnsi="仿宋" w:eastAsia="仿宋" w:cs="仿宋"/>
          <w:color w:val="auto"/>
          <w:szCs w:val="32"/>
          <w:highlight w:val="none"/>
          <w:lang w:val="en-US" w:eastAsia="zh-CN"/>
        </w:rPr>
        <w:t>14</w:t>
      </w:r>
      <w:r>
        <w:rPr>
          <w:rFonts w:hint="eastAsia" w:ascii="仿宋" w:hAnsi="仿宋" w:eastAsia="仿宋" w:cs="仿宋"/>
          <w:color w:val="auto"/>
          <w:szCs w:val="32"/>
          <w:highlight w:val="none"/>
        </w:rPr>
        <w:t>处水源地保护工作；以集中供水为主，对现有农村安全饮水工程进行全面巩固提升，重点推进城乡供水一体化续建、城乡供水</w:t>
      </w:r>
      <w:r>
        <w:rPr>
          <w:rFonts w:hint="eastAsia" w:ascii="仿宋" w:hAnsi="仿宋" w:eastAsia="仿宋" w:cs="仿宋"/>
          <w:color w:val="auto"/>
          <w:szCs w:val="32"/>
          <w:highlight w:val="none"/>
          <w:lang w:val="en-US" w:eastAsia="zh-CN"/>
        </w:rPr>
        <w:t>19</w:t>
      </w:r>
      <w:r>
        <w:rPr>
          <w:rFonts w:hint="eastAsia" w:ascii="仿宋" w:hAnsi="仿宋" w:eastAsia="仿宋" w:cs="仿宋"/>
          <w:color w:val="auto"/>
          <w:szCs w:val="32"/>
          <w:highlight w:val="none"/>
        </w:rPr>
        <w:t>处供水工程提质改造、大圳灌区续建及节水改造</w:t>
      </w:r>
      <w:r>
        <w:rPr>
          <w:rFonts w:hint="eastAsia" w:ascii="仿宋" w:hAnsi="仿宋" w:eastAsia="仿宋" w:cs="仿宋"/>
          <w:color w:val="auto"/>
          <w:szCs w:val="32"/>
          <w:highlight w:val="none"/>
          <w:lang w:eastAsia="zh-CN"/>
        </w:rPr>
        <w:t>。</w:t>
      </w:r>
      <w:r>
        <w:rPr>
          <w:rStyle w:val="35"/>
          <w:rFonts w:hint="eastAsia" w:ascii="仿宋" w:hAnsi="仿宋" w:eastAsia="仿宋" w:cs="仿宋"/>
          <w:b/>
          <w:bCs/>
          <w:color w:val="auto"/>
          <w:sz w:val="32"/>
          <w:highlight w:val="none"/>
        </w:rPr>
        <w:t>加强防洪减灾工程建设</w:t>
      </w:r>
      <w:r>
        <w:rPr>
          <w:rFonts w:hint="eastAsia" w:ascii="仿宋" w:hAnsi="仿宋" w:eastAsia="仿宋" w:cs="仿宋"/>
          <w:b/>
          <w:bCs/>
          <w:color w:val="auto"/>
          <w:szCs w:val="32"/>
          <w:highlight w:val="none"/>
        </w:rPr>
        <w:t>。</w:t>
      </w:r>
      <w:r>
        <w:rPr>
          <w:rFonts w:hint="eastAsia" w:ascii="仿宋" w:hAnsi="仿宋" w:eastAsia="仿宋" w:cs="仿宋"/>
          <w:color w:val="auto"/>
          <w:szCs w:val="32"/>
          <w:highlight w:val="none"/>
        </w:rPr>
        <w:t>抓好28座小一型、96座小二型病险水库、红旗泵站水闸等8座病险水闸工程的除险加固，消除安全隐患。加快城市防洪保护圈建设及原有防洪堤加固提质改造、排涝设施与排渍站及预警预报系统建设。推进白沙江、江溪、花桥溪等21条山洪沟防洪治理以及龙溪河、小江河、冻江、长塘4条河流综合治理。</w:t>
      </w:r>
      <w:r>
        <w:rPr>
          <w:rFonts w:hint="eastAsia" w:ascii="仿宋" w:hAnsi="仿宋" w:eastAsia="仿宋" w:cs="仿宋"/>
          <w:b/>
          <w:bCs/>
          <w:color w:val="auto"/>
          <w:szCs w:val="32"/>
          <w:highlight w:val="none"/>
        </w:rPr>
        <w:t>加强河湖生态安全建设。</w:t>
      </w:r>
      <w:r>
        <w:rPr>
          <w:rFonts w:hint="eastAsia" w:ascii="仿宋" w:hAnsi="仿宋" w:eastAsia="仿宋" w:cs="仿宋"/>
          <w:color w:val="auto"/>
          <w:szCs w:val="32"/>
          <w:highlight w:val="none"/>
        </w:rPr>
        <w:t>积极推进采煤区资江两岸生态保护工程和赧水河生态环境保护修复工程（玉带桥-洞新高速段）建设。</w:t>
      </w:r>
      <w:bookmarkEnd w:id="81"/>
      <w:bookmarkEnd w:id="82"/>
      <w:r>
        <w:rPr>
          <w:rFonts w:hint="eastAsia" w:ascii="仿宋" w:hAnsi="仿宋" w:eastAsia="仿宋" w:cs="仿宋"/>
          <w:b/>
          <w:bCs/>
          <w:color w:val="auto"/>
          <w:szCs w:val="32"/>
          <w:highlight w:val="none"/>
          <w:lang w:eastAsia="zh-CN"/>
        </w:rPr>
        <w:t>强化水利管理</w:t>
      </w:r>
      <w:r>
        <w:rPr>
          <w:rFonts w:hint="eastAsia" w:ascii="仿宋" w:hAnsi="仿宋" w:eastAsia="仿宋" w:cs="仿宋"/>
          <w:b/>
          <w:bCs/>
          <w:color w:val="auto"/>
          <w:szCs w:val="32"/>
          <w:highlight w:val="none"/>
        </w:rPr>
        <w:t>。</w:t>
      </w:r>
      <w:r>
        <w:rPr>
          <w:rFonts w:hint="eastAsia" w:ascii="仿宋" w:hAnsi="仿宋" w:eastAsia="仿宋" w:cs="仿宋"/>
          <w:color w:val="auto"/>
          <w:szCs w:val="32"/>
          <w:highlight w:val="none"/>
          <w:lang w:eastAsia="zh-CN"/>
        </w:rPr>
        <w:t>全面落实</w:t>
      </w:r>
      <w:r>
        <w:rPr>
          <w:rFonts w:hint="eastAsia" w:ascii="仿宋" w:hAnsi="仿宋" w:eastAsia="仿宋" w:cs="仿宋"/>
          <w:color w:val="auto"/>
          <w:szCs w:val="32"/>
          <w:highlight w:val="none"/>
        </w:rPr>
        <w:t>水资源管理制度，基本形成水利工程良性运行机制，依法治水全面强化，水利创新能力明显增强，基本建立起覆盖主要河湖、水利工程、水源地和取用水户的监测体系，各级水利业务应用系统实现互联互通，水利管理的自动化、智能化和科学化水平有效提升。</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7C97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shd w:val="clear" w:color="auto" w:fill="auto"/>
          </w:tcPr>
          <w:p w14:paraId="0EC2E8E8">
            <w:pPr>
              <w:pageBreakBefore w:val="0"/>
              <w:widowControl w:val="0"/>
              <w:kinsoku/>
              <w:wordWrap/>
              <w:overflowPunct/>
              <w:bidi w:val="0"/>
              <w:spacing w:line="420" w:lineRule="auto"/>
              <w:jc w:val="center"/>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专栏</w:t>
            </w:r>
            <w:r>
              <w:rPr>
                <w:rFonts w:hint="eastAsia" w:ascii="宋体" w:hAnsi="宋体" w:eastAsia="宋体" w:cs="宋体"/>
                <w:b/>
                <w:bCs w:val="0"/>
                <w:color w:val="auto"/>
                <w:kern w:val="0"/>
                <w:sz w:val="28"/>
                <w:szCs w:val="28"/>
                <w:highlight w:val="none"/>
                <w:lang w:val="en-US" w:eastAsia="zh-CN"/>
              </w:rPr>
              <w:t>12</w:t>
            </w:r>
            <w:r>
              <w:rPr>
                <w:rFonts w:hint="eastAsia" w:ascii="宋体" w:hAnsi="宋体" w:eastAsia="宋体" w:cs="宋体"/>
                <w:b/>
                <w:bCs w:val="0"/>
                <w:color w:val="auto"/>
                <w:kern w:val="0"/>
                <w:sz w:val="28"/>
                <w:szCs w:val="28"/>
                <w:highlight w:val="none"/>
              </w:rPr>
              <w:t>：水利网建设重点工程</w:t>
            </w:r>
          </w:p>
        </w:tc>
      </w:tr>
      <w:tr w14:paraId="79A1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368A7E81">
            <w:pPr>
              <w:pStyle w:val="10"/>
              <w:keepNext w:val="0"/>
              <w:keepLines w:val="0"/>
              <w:pageBreakBefore w:val="0"/>
              <w:widowControl w:val="0"/>
              <w:kinsoku/>
              <w:wordWrap/>
              <w:overflowPunct/>
              <w:topLinePunct w:val="0"/>
              <w:autoSpaceDE/>
              <w:autoSpaceDN/>
              <w:bidi w:val="0"/>
              <w:adjustRightInd w:val="0"/>
              <w:snapToGrid w:val="0"/>
              <w:spacing w:line="468" w:lineRule="exact"/>
              <w:ind w:firstLine="562" w:firstLineChars="200"/>
              <w:jc w:val="both"/>
              <w:textAlignment w:val="auto"/>
              <w:rPr>
                <w:rFonts w:hint="eastAsia" w:ascii="仿宋" w:hAnsi="仿宋" w:eastAsia="仿宋" w:cs="仿宋"/>
                <w:b w:val="0"/>
                <w:bCs w:val="0"/>
                <w:color w:val="auto"/>
                <w:kern w:val="0"/>
                <w:sz w:val="28"/>
                <w:szCs w:val="28"/>
                <w:highlight w:val="none"/>
                <w:lang w:eastAsia="zh-CN"/>
              </w:rPr>
            </w:pPr>
            <w:r>
              <w:rPr>
                <w:rFonts w:hint="eastAsia" w:ascii="仿宋" w:hAnsi="仿宋" w:eastAsia="仿宋" w:cs="仿宋"/>
                <w:b/>
                <w:bCs/>
                <w:color w:val="auto"/>
                <w:kern w:val="0"/>
                <w:sz w:val="28"/>
                <w:szCs w:val="28"/>
                <w:highlight w:val="none"/>
              </w:rPr>
              <w:t>1.用水安全：</w:t>
            </w:r>
            <w:r>
              <w:rPr>
                <w:rFonts w:hint="eastAsia" w:ascii="仿宋" w:hAnsi="仿宋" w:eastAsia="仿宋" w:cs="仿宋"/>
                <w:b w:val="0"/>
                <w:bCs w:val="0"/>
                <w:color w:val="auto"/>
                <w:kern w:val="0"/>
                <w:sz w:val="28"/>
                <w:szCs w:val="28"/>
                <w:highlight w:val="none"/>
              </w:rPr>
              <w:t>大圳灌区续建及节水改造项目、城乡供水一体化续建及西南五县水质检测中心、城乡供水</w:t>
            </w:r>
            <w:r>
              <w:rPr>
                <w:rFonts w:hint="eastAsia" w:ascii="仿宋" w:hAnsi="仿宋" w:eastAsia="仿宋" w:cs="仿宋"/>
                <w:b w:val="0"/>
                <w:bCs w:val="0"/>
                <w:color w:val="auto"/>
                <w:kern w:val="0"/>
                <w:sz w:val="28"/>
                <w:szCs w:val="28"/>
                <w:highlight w:val="none"/>
                <w:lang w:val="en-US" w:eastAsia="zh-CN"/>
              </w:rPr>
              <w:t>19</w:t>
            </w:r>
            <w:r>
              <w:rPr>
                <w:rFonts w:hint="eastAsia" w:ascii="仿宋" w:hAnsi="仿宋" w:eastAsia="仿宋" w:cs="仿宋"/>
                <w:b w:val="0"/>
                <w:bCs w:val="0"/>
                <w:color w:val="auto"/>
                <w:kern w:val="0"/>
                <w:sz w:val="28"/>
                <w:szCs w:val="28"/>
                <w:highlight w:val="none"/>
              </w:rPr>
              <w:t>处供水工程提质改造工程、新增中型灌区续建配套改造、威溪灌区续建配套及节水改造</w:t>
            </w:r>
            <w:r>
              <w:rPr>
                <w:rFonts w:hint="eastAsia" w:ascii="仿宋" w:hAnsi="仿宋" w:eastAsia="仿宋" w:cs="仿宋"/>
                <w:b w:val="0"/>
                <w:bCs w:val="0"/>
                <w:color w:val="auto"/>
                <w:kern w:val="0"/>
                <w:sz w:val="28"/>
                <w:szCs w:val="28"/>
                <w:highlight w:val="none"/>
                <w:lang w:eastAsia="zh-CN"/>
              </w:rPr>
              <w:t>等现代化灌区建设、</w:t>
            </w:r>
            <w:r>
              <w:rPr>
                <w:rFonts w:hint="eastAsia" w:ascii="仿宋" w:hAnsi="仿宋" w:eastAsia="仿宋" w:cs="仿宋"/>
                <w:b w:val="0"/>
                <w:bCs w:val="0"/>
                <w:color w:val="auto"/>
                <w:kern w:val="0"/>
                <w:sz w:val="28"/>
                <w:szCs w:val="28"/>
                <w:highlight w:val="none"/>
              </w:rPr>
              <w:t>中小型水利工程划界确权</w:t>
            </w:r>
            <w:r>
              <w:rPr>
                <w:rFonts w:hint="eastAsia" w:ascii="仿宋" w:hAnsi="仿宋" w:eastAsia="仿宋" w:cs="仿宋"/>
                <w:b w:val="0"/>
                <w:bCs w:val="0"/>
                <w:color w:val="auto"/>
                <w:kern w:val="0"/>
                <w:sz w:val="28"/>
                <w:szCs w:val="28"/>
                <w:highlight w:val="none"/>
                <w:lang w:eastAsia="zh-CN"/>
              </w:rPr>
              <w:t>、武冈市区域内引调水工程、水利信息化建设。</w:t>
            </w:r>
          </w:p>
          <w:p w14:paraId="2BE51B6F">
            <w:pPr>
              <w:pStyle w:val="10"/>
              <w:keepNext w:val="0"/>
              <w:keepLines w:val="0"/>
              <w:pageBreakBefore w:val="0"/>
              <w:widowControl w:val="0"/>
              <w:kinsoku/>
              <w:wordWrap/>
              <w:overflowPunct/>
              <w:topLinePunct w:val="0"/>
              <w:autoSpaceDE/>
              <w:autoSpaceDN/>
              <w:bidi w:val="0"/>
              <w:adjustRightInd w:val="0"/>
              <w:snapToGrid w:val="0"/>
              <w:spacing w:line="468" w:lineRule="exact"/>
              <w:ind w:firstLine="562" w:firstLineChars="200"/>
              <w:jc w:val="both"/>
              <w:textAlignment w:val="auto"/>
              <w:rPr>
                <w:rFonts w:hint="eastAsia" w:ascii="仿宋" w:hAnsi="仿宋" w:eastAsia="仿宋" w:cs="仿宋"/>
                <w:b w:val="0"/>
                <w:bCs w:val="0"/>
                <w:color w:val="auto"/>
                <w:kern w:val="0"/>
                <w:sz w:val="28"/>
                <w:szCs w:val="28"/>
                <w:highlight w:val="none"/>
                <w:lang w:eastAsia="zh-CN"/>
              </w:rPr>
            </w:pPr>
            <w:r>
              <w:rPr>
                <w:rFonts w:hint="eastAsia" w:ascii="仿宋" w:hAnsi="仿宋" w:eastAsia="仿宋" w:cs="仿宋"/>
                <w:b/>
                <w:bCs/>
                <w:color w:val="auto"/>
                <w:kern w:val="0"/>
                <w:sz w:val="28"/>
                <w:szCs w:val="28"/>
                <w:highlight w:val="none"/>
              </w:rPr>
              <w:t>2.河湖生态安全：</w:t>
            </w:r>
            <w:r>
              <w:rPr>
                <w:rFonts w:hint="eastAsia" w:ascii="仿宋" w:hAnsi="仿宋" w:eastAsia="仿宋" w:cs="仿宋"/>
                <w:b w:val="0"/>
                <w:bCs w:val="0"/>
                <w:color w:val="auto"/>
                <w:kern w:val="0"/>
                <w:sz w:val="28"/>
                <w:szCs w:val="28"/>
                <w:highlight w:val="none"/>
              </w:rPr>
              <w:t>采煤区资江两岸生态保护工程</w:t>
            </w:r>
            <w:r>
              <w:rPr>
                <w:rFonts w:hint="eastAsia" w:ascii="仿宋" w:hAnsi="仿宋" w:eastAsia="仿宋" w:cs="仿宋"/>
                <w:b w:val="0"/>
                <w:bCs w:val="0"/>
                <w:color w:val="auto"/>
                <w:kern w:val="0"/>
                <w:sz w:val="28"/>
                <w:szCs w:val="28"/>
                <w:highlight w:val="none"/>
                <w:lang w:eastAsia="zh-CN"/>
              </w:rPr>
              <w:t>、赧水河生态环境保护修复工程（玉带桥-洞新高速段）。</w:t>
            </w:r>
          </w:p>
          <w:p w14:paraId="74E4CB92">
            <w:pPr>
              <w:pStyle w:val="10"/>
              <w:keepNext w:val="0"/>
              <w:keepLines w:val="0"/>
              <w:pageBreakBefore w:val="0"/>
              <w:widowControl w:val="0"/>
              <w:kinsoku/>
              <w:wordWrap/>
              <w:overflowPunct/>
              <w:topLinePunct w:val="0"/>
              <w:autoSpaceDE/>
              <w:autoSpaceDN/>
              <w:bidi w:val="0"/>
              <w:adjustRightInd w:val="0"/>
              <w:snapToGrid w:val="0"/>
              <w:spacing w:line="468" w:lineRule="exact"/>
              <w:ind w:firstLine="562" w:firstLineChars="200"/>
              <w:jc w:val="both"/>
              <w:textAlignment w:val="auto"/>
              <w:rPr>
                <w:rFonts w:hint="eastAsia" w:ascii="仿宋" w:hAnsi="仿宋" w:eastAsia="仿宋" w:cs="仿宋"/>
                <w:b w:val="0"/>
                <w:bCs w:val="0"/>
                <w:color w:val="auto"/>
                <w:kern w:val="0"/>
                <w:sz w:val="28"/>
                <w:szCs w:val="28"/>
                <w:highlight w:val="none"/>
              </w:rPr>
            </w:pPr>
            <w:r>
              <w:rPr>
                <w:rFonts w:hint="eastAsia" w:ascii="仿宋" w:hAnsi="仿宋" w:eastAsia="仿宋" w:cs="仿宋"/>
                <w:b/>
                <w:bCs/>
                <w:color w:val="auto"/>
                <w:kern w:val="0"/>
                <w:sz w:val="28"/>
                <w:szCs w:val="28"/>
                <w:highlight w:val="none"/>
              </w:rPr>
              <w:t>3.水治理能力和治理体系：</w:t>
            </w:r>
            <w:r>
              <w:rPr>
                <w:rFonts w:hint="eastAsia" w:ascii="仿宋" w:hAnsi="仿宋" w:eastAsia="仿宋" w:cs="仿宋"/>
                <w:b w:val="0"/>
                <w:bCs w:val="0"/>
                <w:color w:val="auto"/>
                <w:kern w:val="0"/>
                <w:sz w:val="28"/>
                <w:szCs w:val="28"/>
                <w:highlight w:val="none"/>
              </w:rPr>
              <w:t>资水武冈段治理暨防洪大堤建设、龙溪河等中小河流治理工程、水土保持综合治理项目、农村水系综合整治工程。</w:t>
            </w:r>
          </w:p>
          <w:p w14:paraId="16C64DCA">
            <w:pPr>
              <w:pStyle w:val="10"/>
              <w:keepNext w:val="0"/>
              <w:keepLines w:val="0"/>
              <w:pageBreakBefore w:val="0"/>
              <w:widowControl w:val="0"/>
              <w:kinsoku/>
              <w:wordWrap/>
              <w:overflowPunct/>
              <w:topLinePunct w:val="0"/>
              <w:autoSpaceDE/>
              <w:autoSpaceDN/>
              <w:bidi w:val="0"/>
              <w:adjustRightInd w:val="0"/>
              <w:snapToGrid w:val="0"/>
              <w:spacing w:line="468" w:lineRule="exact"/>
              <w:ind w:firstLine="562" w:firstLineChars="200"/>
              <w:jc w:val="both"/>
              <w:textAlignment w:val="auto"/>
              <w:rPr>
                <w:rFonts w:ascii="仿宋" w:hAnsi="仿宋" w:eastAsia="仿宋" w:cs="仿宋"/>
                <w:color w:val="auto"/>
                <w:kern w:val="0"/>
                <w:szCs w:val="28"/>
                <w:highlight w:val="none"/>
              </w:rPr>
            </w:pPr>
            <w:r>
              <w:rPr>
                <w:rFonts w:hint="eastAsia" w:ascii="仿宋" w:hAnsi="仿宋" w:eastAsia="仿宋" w:cs="仿宋"/>
                <w:b/>
                <w:bCs/>
                <w:color w:val="auto"/>
                <w:kern w:val="0"/>
                <w:sz w:val="28"/>
                <w:szCs w:val="28"/>
                <w:highlight w:val="none"/>
              </w:rPr>
              <w:t>4.防洪安全：</w:t>
            </w:r>
            <w:r>
              <w:rPr>
                <w:rFonts w:hint="eastAsia" w:ascii="仿宋" w:hAnsi="仿宋" w:eastAsia="仿宋" w:cs="仿宋"/>
                <w:b w:val="0"/>
                <w:bCs w:val="0"/>
                <w:color w:val="auto"/>
                <w:kern w:val="0"/>
                <w:sz w:val="28"/>
                <w:szCs w:val="28"/>
                <w:highlight w:val="none"/>
              </w:rPr>
              <w:t>新建、改扩建石山坝等小型水库、山洪沟治理、威溪中型水库扩容、小型水库加固巩固提升</w:t>
            </w:r>
            <w:r>
              <w:rPr>
                <w:rFonts w:hint="eastAsia" w:ascii="仿宋" w:hAnsi="仿宋" w:eastAsia="仿宋" w:cs="仿宋"/>
                <w:b w:val="0"/>
                <w:bCs w:val="0"/>
                <w:color w:val="auto"/>
                <w:kern w:val="0"/>
                <w:sz w:val="28"/>
                <w:szCs w:val="28"/>
                <w:highlight w:val="none"/>
                <w:lang w:eastAsia="zh-CN"/>
              </w:rPr>
              <w:t>、</w:t>
            </w:r>
            <w:r>
              <w:rPr>
                <w:rFonts w:hint="eastAsia" w:ascii="仿宋" w:hAnsi="仿宋" w:eastAsia="仿宋" w:cs="仿宋"/>
                <w:b w:val="0"/>
                <w:bCs w:val="0"/>
                <w:color w:val="auto"/>
                <w:kern w:val="0"/>
                <w:sz w:val="28"/>
                <w:szCs w:val="28"/>
                <w:highlight w:val="none"/>
              </w:rPr>
              <w:t>新建田庄中型水库、新建甘田水库、中型水闸除险加固。</w:t>
            </w:r>
          </w:p>
        </w:tc>
      </w:tr>
    </w:tbl>
    <w:p w14:paraId="1C0EC6F1">
      <w:pPr>
        <w:keepNext w:val="0"/>
        <w:keepLines w:val="0"/>
        <w:pageBreakBefore w:val="0"/>
        <w:widowControl w:val="0"/>
        <w:pBdr>
          <w:bottom w:val="single" w:color="FFFFFF" w:sz="4" w:space="30"/>
        </w:pBdr>
        <w:kinsoku/>
        <w:wordWrap/>
        <w:overflowPunct/>
        <w:topLinePunct/>
        <w:autoSpaceDE w:val="0"/>
        <w:autoSpaceDN/>
        <w:bidi w:val="0"/>
        <w:adjustRightInd/>
        <w:snapToGrid/>
        <w:spacing w:line="610" w:lineRule="exact"/>
        <w:ind w:firstLine="643" w:firstLineChars="200"/>
        <w:textAlignment w:val="auto"/>
        <w:rPr>
          <w:rFonts w:hint="eastAsia" w:ascii="仿宋" w:hAnsi="仿宋" w:eastAsia="仿宋" w:cs="仿宋"/>
          <w:color w:val="auto"/>
          <w:highlight w:val="none"/>
          <w:lang w:val="en-US" w:eastAsia="zh-CN"/>
        </w:rPr>
      </w:pPr>
      <w:r>
        <w:rPr>
          <w:rFonts w:hint="eastAsia" w:ascii="KaiTi_GB2312" w:hAnsi="KaiTi_GB2312" w:eastAsia="KaiTi_GB2312" w:cs="KaiTi_GB2312"/>
          <w:b/>
          <w:bCs/>
          <w:color w:val="auto"/>
          <w:sz w:val="32"/>
          <w:szCs w:val="32"/>
          <w:highlight w:val="none"/>
          <w:lang w:val="en-US" w:eastAsia="zh-CN"/>
        </w:rPr>
        <w:t>优化物流网</w:t>
      </w:r>
      <w:r>
        <w:rPr>
          <w:rFonts w:hint="eastAsia" w:ascii="楷体" w:hAnsi="楷体" w:eastAsia="楷体" w:cs="楷体"/>
          <w:b/>
          <w:bCs/>
          <w:color w:val="auto"/>
          <w:highlight w:val="none"/>
        </w:rPr>
        <w:t>。</w:t>
      </w:r>
      <w:r>
        <w:rPr>
          <w:rFonts w:hint="eastAsia" w:ascii="仿宋" w:hAnsi="仿宋" w:eastAsia="仿宋" w:cs="仿宋"/>
          <w:b/>
          <w:bCs/>
          <w:color w:val="auto"/>
          <w:highlight w:val="none"/>
          <w:lang w:val="en-US" w:eastAsia="zh-CN"/>
        </w:rPr>
        <w:t>壮大骨干物流企业。</w:t>
      </w:r>
      <w:r>
        <w:rPr>
          <w:rFonts w:hint="eastAsia" w:ascii="仿宋" w:hAnsi="仿宋" w:eastAsia="仿宋" w:cs="仿宋"/>
          <w:color w:val="auto"/>
          <w:highlight w:val="none"/>
        </w:rPr>
        <w:t>依托武冈</w:t>
      </w:r>
      <w:r>
        <w:rPr>
          <w:rFonts w:hint="eastAsia" w:ascii="仿宋" w:hAnsi="仿宋" w:eastAsia="仿宋" w:cs="仿宋"/>
          <w:color w:val="auto"/>
          <w:highlight w:val="none"/>
          <w:lang w:val="en-US" w:eastAsia="zh-CN"/>
        </w:rPr>
        <w:t>机场、高速</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国省干线</w:t>
      </w:r>
      <w:r>
        <w:rPr>
          <w:rFonts w:hint="eastAsia" w:ascii="仿宋" w:hAnsi="仿宋" w:eastAsia="仿宋" w:cs="仿宋"/>
          <w:color w:val="auto"/>
          <w:highlight w:val="none"/>
        </w:rPr>
        <w:t>立体交通网络优势，</w:t>
      </w:r>
      <w:r>
        <w:rPr>
          <w:rFonts w:hint="eastAsia" w:ascii="仿宋" w:hAnsi="仿宋" w:eastAsia="仿宋" w:cs="仿宋"/>
          <w:color w:val="auto"/>
          <w:highlight w:val="none"/>
          <w:lang w:val="en-US" w:eastAsia="zh-CN"/>
        </w:rPr>
        <w:t>着力打造湘西南物流中心，建成邵阳市物流格局中的“西翼”。</w:t>
      </w:r>
      <w:r>
        <w:rPr>
          <w:rFonts w:hint="eastAsia" w:ascii="仿宋" w:hAnsi="仿宋" w:eastAsia="仿宋" w:cs="仿宋"/>
          <w:color w:val="auto"/>
          <w:sz w:val="32"/>
          <w:szCs w:val="32"/>
          <w:highlight w:val="none"/>
          <w:lang w:val="en-US" w:eastAsia="zh-CN"/>
        </w:rPr>
        <w:t>着力打造现代物流园、航空物流园、智慧商贸物流产业园、经开区仓储物流园、文坪采煤区农产品物流园，构建全方位、多层次、便捷高效的现代物流体系，将武冈打造成湘西南物流中心。新建年销售额1亿元以上的物流企业4家，规划好专业市场，为打造湘西南物流中心提供强有力的载体，不断提升流通体系运行效率。</w:t>
      </w:r>
      <w:r>
        <w:rPr>
          <w:rFonts w:hint="eastAsia" w:ascii="仿宋" w:hAnsi="仿宋" w:eastAsia="仿宋" w:cs="仿宋"/>
          <w:b/>
          <w:bCs/>
          <w:color w:val="auto"/>
          <w:highlight w:val="none"/>
        </w:rPr>
        <w:t>健全集疏运体系。</w:t>
      </w:r>
      <w:r>
        <w:rPr>
          <w:rFonts w:hint="eastAsia" w:ascii="仿宋" w:hAnsi="仿宋" w:eastAsia="仿宋" w:cs="仿宋"/>
          <w:color w:val="auto"/>
          <w:highlight w:val="none"/>
        </w:rPr>
        <w:t>立足武冈区位交通优势和产业发展基础，</w:t>
      </w:r>
      <w:r>
        <w:rPr>
          <w:rFonts w:hint="eastAsia" w:ascii="仿宋" w:hAnsi="仿宋" w:eastAsia="仿宋" w:cs="仿宋"/>
          <w:color w:val="auto"/>
          <w:highlight w:val="none"/>
          <w:lang w:eastAsia="zh-CN"/>
        </w:rPr>
        <w:t>依托武冈机场</w:t>
      </w:r>
      <w:r>
        <w:rPr>
          <w:rFonts w:hint="eastAsia" w:ascii="仿宋" w:hAnsi="仿宋" w:eastAsia="仿宋" w:cs="仿宋"/>
          <w:color w:val="auto"/>
          <w:highlight w:val="none"/>
        </w:rPr>
        <w:t>重点发展</w:t>
      </w:r>
      <w:r>
        <w:rPr>
          <w:rFonts w:hint="eastAsia" w:ascii="仿宋" w:hAnsi="仿宋" w:eastAsia="仿宋" w:cs="仿宋"/>
          <w:color w:val="auto"/>
          <w:highlight w:val="none"/>
          <w:lang w:eastAsia="zh-CN"/>
        </w:rPr>
        <w:t>农副产品物流、空港</w:t>
      </w:r>
      <w:r>
        <w:rPr>
          <w:rFonts w:hint="eastAsia" w:ascii="仿宋" w:hAnsi="仿宋" w:eastAsia="仿宋" w:cs="仿宋"/>
          <w:color w:val="auto"/>
          <w:highlight w:val="none"/>
        </w:rPr>
        <w:t>物流、保税物流、城乡配送物流、冷链物流，</w:t>
      </w:r>
      <w:r>
        <w:rPr>
          <w:rFonts w:hint="eastAsia" w:ascii="仿宋" w:hAnsi="仿宋" w:eastAsia="仿宋" w:cs="仿宋"/>
          <w:color w:val="auto"/>
          <w:highlight w:val="none"/>
          <w:lang w:eastAsia="zh-CN"/>
        </w:rPr>
        <w:t>建设武冈物流区，</w:t>
      </w:r>
      <w:r>
        <w:rPr>
          <w:rFonts w:hint="eastAsia" w:ascii="仿宋" w:hAnsi="仿宋" w:eastAsia="仿宋" w:cs="仿宋"/>
          <w:color w:val="auto"/>
          <w:highlight w:val="none"/>
        </w:rPr>
        <w:t>建成对接东盟、</w:t>
      </w:r>
      <w:r>
        <w:rPr>
          <w:rFonts w:hint="eastAsia" w:ascii="仿宋" w:hAnsi="仿宋" w:eastAsia="仿宋" w:cs="仿宋"/>
          <w:color w:val="auto"/>
          <w:highlight w:val="none"/>
          <w:lang w:eastAsia="zh-CN"/>
        </w:rPr>
        <w:t>非洲、</w:t>
      </w:r>
      <w:r>
        <w:rPr>
          <w:rFonts w:hint="eastAsia" w:ascii="仿宋" w:hAnsi="仿宋" w:eastAsia="仿宋" w:cs="仿宋"/>
          <w:color w:val="auto"/>
          <w:highlight w:val="none"/>
        </w:rPr>
        <w:t>粤港澳</w:t>
      </w:r>
      <w:r>
        <w:rPr>
          <w:rFonts w:hint="eastAsia" w:ascii="仿宋" w:hAnsi="仿宋" w:eastAsia="仿宋" w:cs="仿宋"/>
          <w:color w:val="auto"/>
          <w:highlight w:val="none"/>
          <w:lang w:eastAsia="zh-CN"/>
        </w:rPr>
        <w:t>、北部湾</w:t>
      </w:r>
      <w:r>
        <w:rPr>
          <w:rFonts w:hint="eastAsia" w:ascii="仿宋" w:hAnsi="仿宋" w:eastAsia="仿宋" w:cs="仿宋"/>
          <w:color w:val="auto"/>
          <w:highlight w:val="none"/>
        </w:rPr>
        <w:t>，辐射内陆中原，融汇全国的湘西南物流集散中心</w:t>
      </w:r>
      <w:r>
        <w:rPr>
          <w:rFonts w:hint="eastAsia" w:ascii="仿宋" w:hAnsi="仿宋" w:eastAsia="仿宋" w:cs="仿宋"/>
          <w:color w:val="auto"/>
          <w:highlight w:val="none"/>
          <w:lang w:eastAsia="zh-CN"/>
        </w:rPr>
        <w:t>，争取建设省级示范性农产品智慧型物流园。</w:t>
      </w:r>
      <w:r>
        <w:rPr>
          <w:rFonts w:hint="eastAsia" w:ascii="仿宋" w:hAnsi="仿宋" w:eastAsia="仿宋" w:cs="仿宋"/>
          <w:color w:val="auto"/>
          <w:highlight w:val="none"/>
        </w:rPr>
        <w:t>加强货运场站、多式联运设施建设和改造提升，提高物流中转集疏、分拨配送能力，促进区域物流顺畅衔接和一体化发展。</w:t>
      </w:r>
      <w:r>
        <w:rPr>
          <w:rFonts w:hint="eastAsia" w:ascii="仿宋" w:hAnsi="仿宋" w:eastAsia="仿宋" w:cs="仿宋"/>
          <w:color w:val="auto"/>
          <w:highlight w:val="none"/>
          <w:lang w:eastAsia="zh-CN"/>
        </w:rPr>
        <w:t>推动武冈机场开通国际直航线路。</w:t>
      </w:r>
      <w:r>
        <w:rPr>
          <w:rFonts w:hint="eastAsia" w:ascii="仿宋" w:hAnsi="仿宋" w:eastAsia="仿宋" w:cs="仿宋"/>
          <w:b/>
          <w:bCs/>
          <w:color w:val="auto"/>
          <w:highlight w:val="none"/>
        </w:rPr>
        <w:t>完善城乡配送网络。</w:t>
      </w:r>
      <w:r>
        <w:rPr>
          <w:rFonts w:hint="eastAsia" w:ascii="仿宋" w:hAnsi="仿宋" w:eastAsia="仿宋" w:cs="仿宋"/>
          <w:color w:val="auto"/>
          <w:highlight w:val="none"/>
        </w:rPr>
        <w:t>完善</w:t>
      </w:r>
      <w:r>
        <w:rPr>
          <w:rFonts w:hint="eastAsia" w:ascii="仿宋" w:hAnsi="仿宋" w:eastAsia="仿宋" w:cs="仿宋"/>
          <w:color w:val="auto"/>
          <w:highlight w:val="none"/>
          <w:lang w:eastAsia="zh-CN"/>
        </w:rPr>
        <w:t>县乡村三级物流配送体系</w:t>
      </w:r>
      <w:r>
        <w:rPr>
          <w:rFonts w:hint="eastAsia" w:ascii="仿宋" w:hAnsi="仿宋" w:eastAsia="仿宋" w:cs="仿宋"/>
          <w:color w:val="auto"/>
          <w:highlight w:val="none"/>
        </w:rPr>
        <w:t>，加大农村物流基础设施网络建设力度，统筹各方资源，引进电商平台，消除农村配送盲点，打通乡村物流交通运输“最后一公里”。逐步完成全市农村日用品、生产资料、快递等物流资源的整合，建设更为完备的城乡双向物流体系。提升物流系统智能化水平。加快物流信息技术的研发应用，实施智慧物流工程，推动物流公共信息平台建设，提升物流业信息化水平</w:t>
      </w:r>
      <w:r>
        <w:rPr>
          <w:rFonts w:hint="eastAsia" w:ascii="仿宋" w:hAnsi="仿宋" w:eastAsia="仿宋" w:cs="仿宋"/>
          <w:color w:val="auto"/>
          <w:highlight w:val="none"/>
          <w:lang w:val="en-US" w:eastAsia="zh-CN"/>
        </w:rPr>
        <w:t>。</w:t>
      </w:r>
    </w:p>
    <w:p w14:paraId="6BE2A2A6">
      <w:pPr>
        <w:keepNext w:val="0"/>
        <w:keepLines w:val="0"/>
        <w:pageBreakBefore w:val="0"/>
        <w:widowControl w:val="0"/>
        <w:pBdr>
          <w:bottom w:val="single" w:color="FFFFFF" w:sz="4" w:space="30"/>
        </w:pBdr>
        <w:kinsoku/>
        <w:wordWrap/>
        <w:overflowPunct/>
        <w:topLinePunct/>
        <w:autoSpaceDE w:val="0"/>
        <w:autoSpaceDN/>
        <w:bidi w:val="0"/>
        <w:adjustRightInd/>
        <w:snapToGrid/>
        <w:spacing w:line="610" w:lineRule="exact"/>
        <w:jc w:val="center"/>
        <w:textAlignment w:val="auto"/>
        <w:outlineLvl w:val="1"/>
        <w:rPr>
          <w:rFonts w:hint="eastAsia" w:ascii="黑体" w:hAnsi="黑体" w:eastAsia="黑体" w:cs="黑体"/>
          <w:b w:val="0"/>
          <w:bCs/>
          <w:color w:val="auto"/>
          <w:kern w:val="44"/>
          <w:szCs w:val="32"/>
          <w:highlight w:val="none"/>
        </w:rPr>
      </w:pPr>
      <w:bookmarkStart w:id="83" w:name="_Toc31324"/>
      <w:r>
        <w:rPr>
          <w:rFonts w:hint="eastAsia" w:ascii="黑体" w:hAnsi="黑体" w:eastAsia="黑体" w:cs="黑体"/>
          <w:b w:val="0"/>
          <w:bCs/>
          <w:color w:val="auto"/>
          <w:kern w:val="44"/>
          <w:sz w:val="32"/>
          <w:szCs w:val="32"/>
          <w:highlight w:val="none"/>
          <w:lang w:val="en-US" w:eastAsia="zh-CN" w:bidi="ar-SA"/>
        </w:rPr>
        <w:t>第五节  布局新型基础设施</w:t>
      </w:r>
      <w:bookmarkEnd w:id="83"/>
    </w:p>
    <w:p w14:paraId="2311B604">
      <w:pPr>
        <w:keepNext w:val="0"/>
        <w:keepLines w:val="0"/>
        <w:pageBreakBefore w:val="0"/>
        <w:widowControl w:val="0"/>
        <w:pBdr>
          <w:bottom w:val="single" w:color="FFFFFF" w:sz="4" w:space="30"/>
        </w:pBdr>
        <w:kinsoku/>
        <w:wordWrap/>
        <w:overflowPunct/>
        <w:topLinePunct/>
        <w:autoSpaceDE w:val="0"/>
        <w:autoSpaceDN/>
        <w:bidi w:val="0"/>
        <w:adjustRightInd/>
        <w:snapToGrid/>
        <w:spacing w:line="600" w:lineRule="exact"/>
        <w:ind w:firstLine="614" w:firstLineChars="200"/>
        <w:textAlignment w:val="auto"/>
        <w:rPr>
          <w:rFonts w:hint="eastAsia" w:ascii="仿宋" w:hAnsi="仿宋" w:eastAsia="仿宋" w:cs="仿宋"/>
          <w:color w:val="auto"/>
          <w:highlight w:val="none"/>
          <w:lang w:val="en-US" w:eastAsia="zh-CN"/>
        </w:rPr>
      </w:pPr>
      <w:r>
        <w:rPr>
          <w:rFonts w:hint="eastAsia" w:ascii="仿宋_GB2312" w:hAnsi="宋体" w:eastAsia="仿宋_GB2312" w:cs="宋体"/>
          <w:color w:val="auto"/>
          <w:w w:val="96"/>
          <w:kern w:val="0"/>
          <w:sz w:val="32"/>
          <w:szCs w:val="32"/>
          <w:highlight w:val="none"/>
          <w:lang w:val="en-US" w:eastAsia="zh-CN"/>
        </w:rPr>
        <w:t>围绕统筹规划、适度超前的方针，以构建智能快捷、功能完善、安全高效的泛在先进通讯网为目标，</w:t>
      </w:r>
      <w:r>
        <w:rPr>
          <w:rFonts w:hint="eastAsia" w:ascii="仿宋" w:hAnsi="仿宋" w:eastAsia="仿宋" w:cs="仿宋"/>
          <w:color w:val="auto"/>
          <w:highlight w:val="none"/>
          <w:lang w:val="en-US" w:eastAsia="zh-CN"/>
        </w:rPr>
        <w:t>充分运用互联网、大数据、云计算等新一代信息技术，加快新型基础设施建设，打造智慧武冈。</w:t>
      </w:r>
    </w:p>
    <w:p w14:paraId="6AA612CD">
      <w:pPr>
        <w:keepNext w:val="0"/>
        <w:keepLines w:val="0"/>
        <w:pageBreakBefore w:val="0"/>
        <w:widowControl w:val="0"/>
        <w:pBdr>
          <w:bottom w:val="single" w:color="FFFFFF" w:sz="4" w:space="30"/>
        </w:pBdr>
        <w:kinsoku/>
        <w:wordWrap/>
        <w:overflowPunct/>
        <w:topLinePunct/>
        <w:autoSpaceDE w:val="0"/>
        <w:autoSpaceDN/>
        <w:bidi w:val="0"/>
        <w:adjustRightInd/>
        <w:snapToGrid/>
        <w:spacing w:line="600" w:lineRule="exact"/>
        <w:ind w:firstLine="667" w:firstLineChars="200"/>
        <w:textAlignment w:val="auto"/>
        <w:rPr>
          <w:rFonts w:hint="eastAsia" w:ascii="仿宋" w:hAnsi="仿宋" w:eastAsia="仿宋" w:cs="仿宋"/>
          <w:color w:val="auto"/>
          <w:spacing w:val="6"/>
          <w:highlight w:val="none"/>
        </w:rPr>
      </w:pPr>
      <w:r>
        <w:rPr>
          <w:rFonts w:hint="eastAsia" w:ascii="KaiTi_GB2312" w:hAnsi="KaiTi_GB2312" w:eastAsia="KaiTi_GB2312" w:cs="KaiTi_GB2312"/>
          <w:b/>
          <w:bCs/>
          <w:color w:val="auto"/>
          <w:spacing w:val="6"/>
          <w:sz w:val="32"/>
          <w:szCs w:val="32"/>
          <w:highlight w:val="none"/>
          <w:lang w:val="en-US" w:eastAsia="zh-CN"/>
        </w:rPr>
        <w:t>提升信息网络基础</w:t>
      </w:r>
      <w:r>
        <w:rPr>
          <w:rFonts w:hint="eastAsia" w:ascii="楷体" w:hAnsi="楷体" w:eastAsia="楷体" w:cs="楷体"/>
          <w:b/>
          <w:bCs/>
          <w:color w:val="auto"/>
          <w:spacing w:val="6"/>
          <w:highlight w:val="none"/>
        </w:rPr>
        <w:t>。</w:t>
      </w:r>
      <w:r>
        <w:rPr>
          <w:rFonts w:hint="eastAsia" w:ascii="仿宋" w:hAnsi="仿宋" w:eastAsia="仿宋" w:cs="仿宋"/>
          <w:color w:val="auto"/>
          <w:spacing w:val="6"/>
          <w:highlight w:val="none"/>
        </w:rPr>
        <w:t>加快推进“5G+光网”双千兆城市建设，布局5G网络，提升千兆网络入厂园、入社区、入户覆盖面</w:t>
      </w:r>
      <w:r>
        <w:rPr>
          <w:rFonts w:hint="eastAsia" w:ascii="仿宋" w:hAnsi="仿宋" w:eastAsia="仿宋" w:cs="仿宋"/>
          <w:color w:val="auto"/>
          <w:spacing w:val="6"/>
          <w:highlight w:val="none"/>
          <w:lang w:eastAsia="zh-CN"/>
        </w:rPr>
        <w:t>。</w:t>
      </w:r>
      <w:r>
        <w:rPr>
          <w:rFonts w:hint="eastAsia" w:ascii="仿宋" w:hAnsi="仿宋" w:eastAsia="仿宋" w:cs="仿宋"/>
          <w:color w:val="auto"/>
          <w:spacing w:val="6"/>
          <w:highlight w:val="none"/>
        </w:rPr>
        <w:t>实施“宽带乡村”和农村通信基础设施完善工程，实现城乡网络协调发展。到2025年，实现市区5G网络全覆盖，互联网普及率达到80%以上，无线宽带网络覆盖率达到95%以上，新建住房光纤入户率达到100%，乡镇宽带网络覆盖率达到100%。加强信息安全保障，推进网络基础设施与安全保密设施同步规划、建设和使用，围绕金融信息安全、云计算与大数据信息安全等领域加强网络信息保护，完善网络空间治理，加强个人数据隐私保护。</w:t>
      </w:r>
    </w:p>
    <w:p w14:paraId="0237811F">
      <w:pPr>
        <w:keepNext w:val="0"/>
        <w:keepLines w:val="0"/>
        <w:pageBreakBefore w:val="0"/>
        <w:widowControl w:val="0"/>
        <w:pBdr>
          <w:bottom w:val="single" w:color="FFFFFF" w:sz="4" w:space="30"/>
        </w:pBdr>
        <w:kinsoku/>
        <w:wordWrap/>
        <w:overflowPunct/>
        <w:topLinePunct/>
        <w:autoSpaceDE w:val="0"/>
        <w:autoSpaceDN/>
        <w:bidi w:val="0"/>
        <w:adjustRightInd/>
        <w:snapToGrid/>
        <w:spacing w:line="610" w:lineRule="exact"/>
        <w:ind w:firstLine="619" w:firstLineChars="200"/>
        <w:textAlignment w:val="auto"/>
        <w:rPr>
          <w:rFonts w:hint="eastAsia" w:ascii="仿宋" w:hAnsi="仿宋" w:eastAsia="仿宋" w:cs="仿宋"/>
          <w:color w:val="auto"/>
          <w:spacing w:val="-6"/>
          <w:highlight w:val="none"/>
        </w:rPr>
      </w:pPr>
      <w:r>
        <w:rPr>
          <w:rStyle w:val="35"/>
          <w:rFonts w:hint="eastAsia" w:eastAsia="KaiTi_GB2312"/>
          <w:color w:val="auto"/>
          <w:spacing w:val="-6"/>
          <w:sz w:val="32"/>
          <w:highlight w:val="none"/>
        </w:rPr>
        <w:t>加快建设智慧武冈。</w:t>
      </w:r>
      <w:r>
        <w:rPr>
          <w:rStyle w:val="35"/>
          <w:rFonts w:hint="eastAsia" w:ascii="仿宋" w:hAnsi="仿宋" w:eastAsia="仿宋" w:cs="仿宋"/>
          <w:b w:val="0"/>
          <w:bCs w:val="0"/>
          <w:color w:val="auto"/>
          <w:spacing w:val="-6"/>
          <w:sz w:val="32"/>
          <w:highlight w:val="none"/>
          <w:lang w:eastAsia="zh-CN"/>
        </w:rPr>
        <w:t>打造“数字城市”，</w:t>
      </w:r>
      <w:r>
        <w:rPr>
          <w:rFonts w:hint="eastAsia" w:ascii="仿宋" w:hAnsi="仿宋" w:eastAsia="仿宋" w:cs="仿宋"/>
          <w:color w:val="auto"/>
          <w:spacing w:val="-6"/>
          <w:highlight w:val="none"/>
        </w:rPr>
        <w:t>启动“数字武冈”建设，借助物联网、大数据、云计算、通信网络，搭建数据和信息共享平台，推进经济运行、市场监管、医疗、社保、综合治税、城市规划、土地利用、住房建设、应急指挥等专题数据库建设和应用，</w:t>
      </w:r>
      <w:r>
        <w:rPr>
          <w:rFonts w:hint="eastAsia" w:ascii="仿宋" w:hAnsi="仿宋" w:eastAsia="仿宋" w:cs="仿宋"/>
          <w:color w:val="auto"/>
          <w:spacing w:val="-6"/>
          <w:szCs w:val="32"/>
          <w:highlight w:val="none"/>
        </w:rPr>
        <w:t>积极培育线上线下互动消费，加快发展基于互联网的医疗、健康、养老、教育、旅游、社会保障等新型服务模式和服务业态，提</w:t>
      </w:r>
      <w:r>
        <w:rPr>
          <w:rFonts w:hint="eastAsia" w:ascii="仿宋" w:hAnsi="仿宋" w:eastAsia="仿宋" w:cs="仿宋"/>
          <w:color w:val="auto"/>
          <w:spacing w:val="-6"/>
          <w:szCs w:val="32"/>
          <w:highlight w:val="none"/>
          <w:lang w:eastAsia="zh-CN"/>
        </w:rPr>
        <w:t>高</w:t>
      </w:r>
      <w:r>
        <w:rPr>
          <w:rFonts w:hint="eastAsia" w:ascii="仿宋" w:hAnsi="仿宋" w:eastAsia="仿宋" w:cs="仿宋"/>
          <w:color w:val="auto"/>
          <w:spacing w:val="-6"/>
          <w:szCs w:val="32"/>
          <w:highlight w:val="none"/>
        </w:rPr>
        <w:t>“互联网+”经济形态的服务能力，发展服务型移动互联网经济。</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23A5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shd w:val="clear" w:color="auto" w:fill="auto"/>
          </w:tcPr>
          <w:p w14:paraId="5553BD28">
            <w:pPr>
              <w:pageBreakBefore w:val="0"/>
              <w:widowControl w:val="0"/>
              <w:kinsoku/>
              <w:wordWrap/>
              <w:overflowPunct/>
              <w:bidi w:val="0"/>
              <w:spacing w:line="420" w:lineRule="auto"/>
              <w:jc w:val="center"/>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专栏</w:t>
            </w:r>
            <w:r>
              <w:rPr>
                <w:rFonts w:hint="eastAsia" w:ascii="宋体" w:hAnsi="宋体" w:eastAsia="宋体" w:cs="宋体"/>
                <w:b/>
                <w:bCs w:val="0"/>
                <w:color w:val="auto"/>
                <w:kern w:val="0"/>
                <w:sz w:val="28"/>
                <w:szCs w:val="28"/>
                <w:highlight w:val="none"/>
                <w:lang w:val="en-US" w:eastAsia="zh-CN"/>
              </w:rPr>
              <w:t>13</w:t>
            </w:r>
            <w:r>
              <w:rPr>
                <w:rFonts w:hint="eastAsia" w:ascii="宋体" w:hAnsi="宋体" w:eastAsia="宋体" w:cs="宋体"/>
                <w:b/>
                <w:bCs w:val="0"/>
                <w:color w:val="auto"/>
                <w:kern w:val="0"/>
                <w:sz w:val="28"/>
                <w:szCs w:val="28"/>
                <w:highlight w:val="none"/>
              </w:rPr>
              <w:t>：互联网建设重点工程</w:t>
            </w:r>
          </w:p>
        </w:tc>
      </w:tr>
      <w:tr w14:paraId="701C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6025319F">
            <w:pPr>
              <w:keepNext w:val="0"/>
              <w:keepLines w:val="0"/>
              <w:pageBreakBefore w:val="0"/>
              <w:widowControl w:val="0"/>
              <w:kinsoku/>
              <w:wordWrap/>
              <w:overflowPunct/>
              <w:topLinePunct w:val="0"/>
              <w:autoSpaceDE/>
              <w:autoSpaceDN/>
              <w:bidi w:val="0"/>
              <w:spacing w:line="400" w:lineRule="exact"/>
              <w:ind w:firstLine="562" w:firstLineChars="200"/>
              <w:jc w:val="both"/>
              <w:textAlignment w:val="auto"/>
              <w:rPr>
                <w:rFonts w:hint="eastAsia" w:ascii="仿宋" w:hAnsi="仿宋" w:eastAsia="仿宋" w:cs="仿宋"/>
                <w:b w:val="0"/>
                <w:bCs/>
                <w:color w:val="auto"/>
                <w:sz w:val="28"/>
                <w:szCs w:val="28"/>
                <w:highlight w:val="none"/>
                <w:lang w:eastAsia="zh-CN"/>
              </w:rPr>
            </w:pPr>
            <w:r>
              <w:rPr>
                <w:rFonts w:hint="eastAsia" w:ascii="仿宋" w:hAnsi="仿宋" w:eastAsia="仿宋" w:cs="仿宋"/>
                <w:b/>
                <w:bCs w:val="0"/>
                <w:color w:val="auto"/>
                <w:sz w:val="28"/>
                <w:szCs w:val="28"/>
                <w:highlight w:val="none"/>
              </w:rPr>
              <w:t>1.信息网络基础：</w:t>
            </w:r>
            <w:r>
              <w:rPr>
                <w:rFonts w:hint="eastAsia" w:ascii="仿宋" w:hAnsi="仿宋" w:eastAsia="仿宋" w:cs="仿宋"/>
                <w:b w:val="0"/>
                <w:bCs/>
                <w:color w:val="auto"/>
                <w:sz w:val="28"/>
                <w:szCs w:val="28"/>
                <w:highlight w:val="none"/>
              </w:rPr>
              <w:t>宽带网络扩容</w:t>
            </w:r>
            <w:r>
              <w:rPr>
                <w:rFonts w:hint="eastAsia" w:ascii="仿宋" w:hAnsi="仿宋" w:eastAsia="仿宋" w:cs="仿宋"/>
                <w:b w:val="0"/>
                <w:bCs/>
                <w:color w:val="auto"/>
                <w:sz w:val="28"/>
                <w:szCs w:val="28"/>
                <w:highlight w:val="none"/>
                <w:lang w:eastAsia="zh-CN"/>
              </w:rPr>
              <w:t>、5G网络建设、信息化基础设施建设。</w:t>
            </w:r>
          </w:p>
          <w:p w14:paraId="7688447B">
            <w:pPr>
              <w:keepNext w:val="0"/>
              <w:keepLines w:val="0"/>
              <w:pageBreakBefore w:val="0"/>
              <w:widowControl w:val="0"/>
              <w:kinsoku/>
              <w:wordWrap/>
              <w:overflowPunct/>
              <w:topLinePunct w:val="0"/>
              <w:autoSpaceDE/>
              <w:autoSpaceDN/>
              <w:bidi w:val="0"/>
              <w:spacing w:line="400" w:lineRule="exact"/>
              <w:ind w:firstLine="562" w:firstLineChars="20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bCs w:val="0"/>
                <w:color w:val="auto"/>
                <w:sz w:val="28"/>
                <w:szCs w:val="28"/>
                <w:highlight w:val="none"/>
              </w:rPr>
              <w:t>2.</w:t>
            </w:r>
            <w:r>
              <w:rPr>
                <w:rFonts w:hint="eastAsia" w:ascii="仿宋" w:hAnsi="仿宋" w:eastAsia="仿宋" w:cs="仿宋"/>
                <w:b/>
                <w:bCs w:val="0"/>
                <w:color w:val="auto"/>
                <w:sz w:val="28"/>
                <w:szCs w:val="28"/>
                <w:highlight w:val="none"/>
                <w:lang w:eastAsia="zh-CN"/>
              </w:rPr>
              <w:t>新型基础设施</w:t>
            </w:r>
            <w:r>
              <w:rPr>
                <w:rFonts w:hint="eastAsia" w:ascii="仿宋" w:hAnsi="仿宋" w:eastAsia="仿宋" w:cs="仿宋"/>
                <w:b/>
                <w:bCs w:val="0"/>
                <w:color w:val="auto"/>
                <w:sz w:val="28"/>
                <w:szCs w:val="28"/>
                <w:highlight w:val="none"/>
              </w:rPr>
              <w:t>：</w:t>
            </w:r>
            <w:r>
              <w:rPr>
                <w:rFonts w:hint="eastAsia" w:ascii="仿宋" w:hAnsi="仿宋" w:eastAsia="仿宋" w:cs="仿宋"/>
                <w:b w:val="0"/>
                <w:bCs/>
                <w:color w:val="auto"/>
                <w:sz w:val="28"/>
                <w:szCs w:val="28"/>
                <w:highlight w:val="none"/>
              </w:rPr>
              <w:t>智慧旅游服务系统、智慧园区</w:t>
            </w:r>
            <w:r>
              <w:rPr>
                <w:rFonts w:hint="eastAsia" w:ascii="仿宋" w:hAnsi="仿宋" w:eastAsia="仿宋" w:cs="仿宋"/>
                <w:b w:val="0"/>
                <w:bCs/>
                <w:color w:val="auto"/>
                <w:sz w:val="28"/>
                <w:szCs w:val="28"/>
                <w:highlight w:val="none"/>
                <w:lang w:eastAsia="zh-CN"/>
              </w:rPr>
              <w:t>、智慧城市建设、无人智慧粮食检验及储备、新能源充电桩建设</w:t>
            </w:r>
            <w:r>
              <w:rPr>
                <w:rFonts w:hint="eastAsia" w:ascii="仿宋" w:hAnsi="仿宋" w:eastAsia="仿宋" w:cs="仿宋"/>
                <w:b w:val="0"/>
                <w:bCs/>
                <w:color w:val="auto"/>
                <w:sz w:val="28"/>
                <w:szCs w:val="28"/>
                <w:highlight w:val="none"/>
              </w:rPr>
              <w:t>。</w:t>
            </w:r>
          </w:p>
          <w:p w14:paraId="32623C30">
            <w:pPr>
              <w:keepNext w:val="0"/>
              <w:keepLines w:val="0"/>
              <w:pageBreakBefore w:val="0"/>
              <w:widowControl w:val="0"/>
              <w:kinsoku/>
              <w:wordWrap/>
              <w:overflowPunct/>
              <w:topLinePunct w:val="0"/>
              <w:autoSpaceDE/>
              <w:autoSpaceDN/>
              <w:bidi w:val="0"/>
              <w:spacing w:line="400" w:lineRule="exact"/>
              <w:ind w:firstLine="562" w:firstLineChars="200"/>
              <w:jc w:val="both"/>
              <w:textAlignment w:val="auto"/>
              <w:rPr>
                <w:rFonts w:hint="eastAsia" w:ascii="仿宋" w:hAnsi="仿宋" w:eastAsia="仿宋" w:cs="仿宋"/>
                <w:b/>
                <w:bCs w:val="0"/>
                <w:color w:val="auto"/>
                <w:sz w:val="28"/>
                <w:szCs w:val="28"/>
                <w:highlight w:val="none"/>
                <w:lang w:eastAsia="zh-CN"/>
              </w:rPr>
            </w:pPr>
            <w:r>
              <w:rPr>
                <w:rFonts w:hint="eastAsia" w:ascii="仿宋" w:hAnsi="仿宋" w:eastAsia="仿宋" w:cs="仿宋"/>
                <w:b/>
                <w:bCs w:val="0"/>
                <w:color w:val="auto"/>
                <w:sz w:val="28"/>
                <w:szCs w:val="28"/>
                <w:highlight w:val="none"/>
              </w:rPr>
              <w:t>3.“互联网+”工程</w:t>
            </w:r>
            <w:r>
              <w:rPr>
                <w:rFonts w:hint="eastAsia" w:ascii="仿宋" w:hAnsi="仿宋" w:eastAsia="仿宋" w:cs="仿宋"/>
                <w:b/>
                <w:bCs w:val="0"/>
                <w:color w:val="auto"/>
                <w:sz w:val="28"/>
                <w:szCs w:val="28"/>
                <w:highlight w:val="none"/>
                <w:lang w:eastAsia="zh-CN"/>
              </w:rPr>
              <w:t>：</w:t>
            </w:r>
          </w:p>
          <w:p w14:paraId="4A177656">
            <w:pPr>
              <w:keepNext w:val="0"/>
              <w:keepLines w:val="0"/>
              <w:pageBreakBefore w:val="0"/>
              <w:widowControl w:val="0"/>
              <w:kinsoku/>
              <w:wordWrap/>
              <w:overflowPunct/>
              <w:topLinePunct w:val="0"/>
              <w:autoSpaceDE/>
              <w:autoSpaceDN/>
              <w:bidi w:val="0"/>
              <w:spacing w:line="400" w:lineRule="exact"/>
              <w:ind w:firstLine="560" w:firstLineChars="20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互联网+现代农业。推进互联网与现代农业融合，实施农业物联网试验示范工程、农业电子商务示范工程等重大工程。</w:t>
            </w:r>
          </w:p>
          <w:p w14:paraId="2E5863A3">
            <w:pPr>
              <w:keepNext w:val="0"/>
              <w:keepLines w:val="0"/>
              <w:pageBreakBefore w:val="0"/>
              <w:widowControl w:val="0"/>
              <w:kinsoku/>
              <w:wordWrap/>
              <w:overflowPunct/>
              <w:topLinePunct w:val="0"/>
              <w:autoSpaceDE/>
              <w:autoSpaceDN/>
              <w:bidi w:val="0"/>
              <w:spacing w:line="400" w:lineRule="exact"/>
              <w:ind w:firstLine="560" w:firstLineChars="20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互联网+物流。推进互联网与物流业融合，重点建设跨行业、跨区域物流信息服务平台，加快发展“互联网+”高效物流。</w:t>
            </w:r>
          </w:p>
          <w:p w14:paraId="7CEA3E93">
            <w:pPr>
              <w:keepNext w:val="0"/>
              <w:keepLines w:val="0"/>
              <w:pageBreakBefore w:val="0"/>
              <w:widowControl w:val="0"/>
              <w:kinsoku/>
              <w:wordWrap/>
              <w:overflowPunct/>
              <w:topLinePunct w:val="0"/>
              <w:autoSpaceDE/>
              <w:autoSpaceDN/>
              <w:bidi w:val="0"/>
              <w:spacing w:line="400" w:lineRule="exact"/>
              <w:ind w:firstLine="560" w:firstLineChars="20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互联网+医疗。构建人口健康云平台和健康在线大数据。发展预约挂号、远程诊疗、远程教育等新型在线健康服务。</w:t>
            </w:r>
          </w:p>
          <w:p w14:paraId="1B8672AD">
            <w:pPr>
              <w:keepNext w:val="0"/>
              <w:keepLines w:val="0"/>
              <w:pageBreakBefore w:val="0"/>
              <w:widowControl w:val="0"/>
              <w:kinsoku/>
              <w:wordWrap/>
              <w:overflowPunct/>
              <w:topLinePunct w:val="0"/>
              <w:autoSpaceDE/>
              <w:autoSpaceDN/>
              <w:bidi w:val="0"/>
              <w:spacing w:line="400" w:lineRule="exact"/>
              <w:ind w:firstLine="560" w:firstLineChars="20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互联网+教育。发展普惠式在线教育，系统制作覆盖各领域各学科的基础资源，扩大优质教育资源共享面。</w:t>
            </w:r>
          </w:p>
          <w:p w14:paraId="0114B50B">
            <w:pPr>
              <w:keepNext w:val="0"/>
              <w:keepLines w:val="0"/>
              <w:pageBreakBefore w:val="0"/>
              <w:widowControl w:val="0"/>
              <w:kinsoku/>
              <w:wordWrap/>
              <w:overflowPunct/>
              <w:topLinePunct w:val="0"/>
              <w:autoSpaceDE/>
              <w:autoSpaceDN/>
              <w:bidi w:val="0"/>
              <w:spacing w:line="400" w:lineRule="exact"/>
              <w:ind w:firstLine="560" w:firstLineChars="20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互联网+文化。推动移动数字内容平台与纸质内容、传统媒体和纸质媒体融合发展，创新文化在线服务平台。</w:t>
            </w:r>
          </w:p>
          <w:p w14:paraId="7BB7B02E">
            <w:pPr>
              <w:keepNext w:val="0"/>
              <w:keepLines w:val="0"/>
              <w:pageBreakBefore w:val="0"/>
              <w:widowControl w:val="0"/>
              <w:kinsoku/>
              <w:wordWrap/>
              <w:overflowPunct/>
              <w:topLinePunct w:val="0"/>
              <w:autoSpaceDE/>
              <w:autoSpaceDN/>
              <w:bidi w:val="0"/>
              <w:spacing w:line="400" w:lineRule="exact"/>
              <w:ind w:firstLine="560" w:firstLineChars="200"/>
              <w:jc w:val="both"/>
              <w:textAlignment w:val="auto"/>
              <w:rPr>
                <w:rFonts w:hint="eastAsia" w:ascii="宋体" w:hAnsi="宋体" w:eastAsia="宋体" w:cs="宋体"/>
                <w:color w:val="auto"/>
                <w:kern w:val="0"/>
                <w:sz w:val="22"/>
                <w:szCs w:val="22"/>
                <w:highlight w:val="none"/>
              </w:rPr>
            </w:pPr>
            <w:r>
              <w:rPr>
                <w:rFonts w:hint="eastAsia" w:ascii="仿宋" w:hAnsi="仿宋" w:eastAsia="仿宋" w:cs="仿宋"/>
                <w:b w:val="0"/>
                <w:bCs/>
                <w:color w:val="auto"/>
                <w:sz w:val="28"/>
                <w:szCs w:val="28"/>
                <w:highlight w:val="none"/>
              </w:rPr>
              <w:t>互联网+旅游。在景区开展智慧旅游，推动旅游信息共享和在线旅游信息服务。开发智慧旅游产品，增强参与式体验。</w:t>
            </w:r>
          </w:p>
        </w:tc>
      </w:tr>
      <w:bookmarkEnd w:id="63"/>
      <w:bookmarkEnd w:id="64"/>
      <w:bookmarkEnd w:id="65"/>
    </w:tbl>
    <w:p w14:paraId="2DFBB7D0">
      <w:pPr>
        <w:pStyle w:val="3"/>
        <w:keepNext/>
        <w:keepLines/>
        <w:pageBreakBefore w:val="0"/>
        <w:widowControl w:val="0"/>
        <w:kinsoku/>
        <w:wordWrap/>
        <w:overflowPunct/>
        <w:topLinePunct w:val="0"/>
        <w:autoSpaceDE/>
        <w:autoSpaceDN/>
        <w:bidi w:val="0"/>
        <w:adjustRightInd/>
        <w:snapToGrid/>
        <w:spacing w:before="0" w:after="0" w:line="420" w:lineRule="auto"/>
        <w:jc w:val="center"/>
        <w:textAlignment w:val="auto"/>
        <w:rPr>
          <w:rFonts w:hint="eastAsia" w:ascii="黑体" w:hAnsi="黑体" w:eastAsia="黑体" w:cs="黑体"/>
          <w:bCs/>
          <w:color w:val="auto"/>
          <w:szCs w:val="32"/>
          <w:highlight w:val="none"/>
        </w:rPr>
      </w:pPr>
      <w:bookmarkStart w:id="84" w:name="_Toc7078"/>
      <w:bookmarkStart w:id="85" w:name="_Toc25364"/>
      <w:bookmarkStart w:id="86" w:name="_Toc28309"/>
      <w:bookmarkStart w:id="87" w:name="_Toc30642"/>
      <w:bookmarkStart w:id="88" w:name="_Toc20686"/>
      <w:bookmarkStart w:id="89" w:name="_Toc27221"/>
      <w:bookmarkStart w:id="90" w:name="_Toc23338"/>
      <w:bookmarkStart w:id="91" w:name="_Toc9089"/>
      <w:r>
        <w:rPr>
          <w:rFonts w:hint="eastAsia" w:ascii="黑体" w:hAnsi="黑体" w:eastAsia="黑体" w:cs="黑体"/>
          <w:bCs/>
          <w:color w:val="auto"/>
          <w:szCs w:val="32"/>
          <w:highlight w:val="none"/>
        </w:rPr>
        <w:t>第七章</w:t>
      </w:r>
      <w:r>
        <w:rPr>
          <w:rFonts w:hint="eastAsia" w:ascii="黑体" w:hAnsi="黑体" w:eastAsia="黑体" w:cs="黑体"/>
          <w:bCs/>
          <w:color w:val="auto"/>
          <w:szCs w:val="32"/>
          <w:highlight w:val="none"/>
          <w:lang w:val="en-US" w:eastAsia="zh-CN"/>
        </w:rPr>
        <w:t xml:space="preserve"> </w:t>
      </w:r>
      <w:r>
        <w:rPr>
          <w:rFonts w:hint="eastAsia" w:ascii="黑体" w:hAnsi="黑体" w:eastAsia="黑体" w:cs="黑体"/>
          <w:bCs/>
          <w:color w:val="auto"/>
          <w:szCs w:val="32"/>
          <w:highlight w:val="none"/>
        </w:rPr>
        <w:t xml:space="preserve"> 优先发展农业农村</w:t>
      </w:r>
      <w:bookmarkEnd w:id="84"/>
      <w:r>
        <w:rPr>
          <w:rFonts w:hint="eastAsia" w:ascii="黑体" w:hAnsi="黑体" w:eastAsia="黑体" w:cs="黑体"/>
          <w:bCs/>
          <w:color w:val="auto"/>
          <w:szCs w:val="32"/>
          <w:highlight w:val="none"/>
          <w:lang w:eastAsia="zh-CN"/>
        </w:rPr>
        <w:t>，</w:t>
      </w:r>
      <w:r>
        <w:rPr>
          <w:rFonts w:hint="eastAsia" w:ascii="黑体" w:hAnsi="黑体" w:eastAsia="黑体" w:cs="黑体"/>
          <w:bCs/>
          <w:color w:val="auto"/>
          <w:szCs w:val="32"/>
          <w:highlight w:val="none"/>
          <w:lang w:val="en-US" w:eastAsia="zh-CN"/>
        </w:rPr>
        <w:t>大力</w:t>
      </w:r>
      <w:r>
        <w:rPr>
          <w:rFonts w:hint="eastAsia" w:ascii="黑体" w:hAnsi="黑体" w:eastAsia="黑体" w:cs="黑体"/>
          <w:bCs/>
          <w:color w:val="auto"/>
          <w:szCs w:val="32"/>
          <w:highlight w:val="none"/>
        </w:rPr>
        <w:t>推进乡村振兴</w:t>
      </w:r>
      <w:bookmarkEnd w:id="85"/>
    </w:p>
    <w:p w14:paraId="2D9C0B38">
      <w:pPr>
        <w:pageBreakBefore w:val="0"/>
        <w:widowControl w:val="0"/>
        <w:kinsoku/>
        <w:wordWrap/>
        <w:overflowPunct/>
        <w:topLinePunct w:val="0"/>
        <w:autoSpaceDE/>
        <w:autoSpaceDN/>
        <w:bidi w:val="0"/>
        <w:adjustRightInd/>
        <w:snapToGrid/>
        <w:spacing w:line="636" w:lineRule="exact"/>
        <w:ind w:firstLine="640" w:firstLineChars="200"/>
        <w:jc w:val="both"/>
        <w:textAlignment w:val="auto"/>
        <w:rPr>
          <w:rFonts w:hint="eastAsia" w:ascii="仿宋" w:hAnsi="仿宋" w:eastAsia="仿宋" w:cs="仿宋"/>
          <w:color w:val="auto"/>
          <w:szCs w:val="32"/>
          <w:highlight w:val="none"/>
        </w:rPr>
      </w:pPr>
      <w:bookmarkStart w:id="92" w:name="_Toc4066"/>
      <w:r>
        <w:rPr>
          <w:rFonts w:hint="eastAsia" w:ascii="仿宋" w:hAnsi="仿宋" w:eastAsia="仿宋" w:cs="仿宋"/>
          <w:color w:val="auto"/>
          <w:szCs w:val="32"/>
          <w:highlight w:val="none"/>
          <w:lang w:val="en-US" w:eastAsia="zh-CN"/>
        </w:rPr>
        <w:t>农为邦本，本固邦宁,民族要复兴，乡村要振兴。</w:t>
      </w:r>
      <w:r>
        <w:rPr>
          <w:rFonts w:hint="eastAsia" w:ascii="仿宋" w:hAnsi="仿宋" w:eastAsia="仿宋" w:cs="仿宋"/>
          <w:color w:val="auto"/>
          <w:szCs w:val="32"/>
          <w:highlight w:val="none"/>
        </w:rPr>
        <w:t>坚持</w:t>
      </w:r>
      <w:r>
        <w:rPr>
          <w:rFonts w:hint="eastAsia" w:ascii="仿宋" w:hAnsi="仿宋" w:eastAsia="仿宋" w:cs="仿宋"/>
          <w:color w:val="auto"/>
          <w:szCs w:val="32"/>
          <w:highlight w:val="none"/>
          <w:lang w:eastAsia="zh-CN"/>
        </w:rPr>
        <w:t>把解决好“三农”问题作为全市农村工作重中之重</w:t>
      </w:r>
      <w:r>
        <w:rPr>
          <w:rFonts w:hint="eastAsia" w:ascii="仿宋" w:hAnsi="仿宋" w:eastAsia="仿宋" w:cs="仿宋"/>
          <w:color w:val="auto"/>
          <w:szCs w:val="32"/>
          <w:highlight w:val="none"/>
        </w:rPr>
        <w:t>，全面实施乡村振兴战略，强化以</w:t>
      </w:r>
      <w:r>
        <w:rPr>
          <w:rFonts w:hint="eastAsia" w:ascii="仿宋" w:hAnsi="仿宋" w:eastAsia="仿宋" w:cs="仿宋"/>
          <w:color w:val="auto"/>
          <w:szCs w:val="32"/>
          <w:highlight w:val="none"/>
          <w:lang w:val="en-US" w:eastAsia="zh-CN"/>
        </w:rPr>
        <w:t>工</w:t>
      </w:r>
      <w:r>
        <w:rPr>
          <w:rFonts w:hint="eastAsia" w:ascii="仿宋" w:hAnsi="仿宋" w:eastAsia="仿宋" w:cs="仿宋"/>
          <w:color w:val="auto"/>
          <w:szCs w:val="32"/>
          <w:highlight w:val="none"/>
        </w:rPr>
        <w:t>补农、以城带乡，推动形成工农互促、城乡互补、协调发展、共同繁荣的新型工农城乡关系，加快农业农村现代化。</w:t>
      </w:r>
    </w:p>
    <w:p w14:paraId="7C1CBB6F">
      <w:pPr>
        <w:pStyle w:val="4"/>
        <w:keepNext/>
        <w:keepLines/>
        <w:pageBreakBefore w:val="0"/>
        <w:widowControl w:val="0"/>
        <w:kinsoku/>
        <w:wordWrap/>
        <w:overflowPunct/>
        <w:topLinePunct w:val="0"/>
        <w:autoSpaceDE/>
        <w:autoSpaceDN/>
        <w:bidi w:val="0"/>
        <w:adjustRightInd/>
        <w:snapToGrid/>
        <w:spacing w:before="0" w:after="0" w:line="636" w:lineRule="exact"/>
        <w:jc w:val="center"/>
        <w:textAlignment w:val="auto"/>
        <w:rPr>
          <w:rFonts w:hint="eastAsia" w:ascii="黑体" w:hAnsi="黑体" w:eastAsia="黑体" w:cs="黑体"/>
          <w:b w:val="0"/>
          <w:bCs/>
          <w:color w:val="auto"/>
          <w:highlight w:val="none"/>
        </w:rPr>
      </w:pPr>
      <w:bookmarkStart w:id="93" w:name="_Toc23945"/>
      <w:r>
        <w:rPr>
          <w:rFonts w:hint="eastAsia" w:ascii="黑体" w:hAnsi="黑体" w:eastAsia="黑体" w:cs="黑体"/>
          <w:b w:val="0"/>
          <w:bCs/>
          <w:color w:val="auto"/>
          <w:kern w:val="44"/>
          <w:sz w:val="32"/>
          <w:szCs w:val="32"/>
          <w:highlight w:val="none"/>
          <w:lang w:val="en-US" w:eastAsia="zh-CN" w:bidi="ar-SA"/>
        </w:rPr>
        <w:t>第一节 夯实农业发展基础</w:t>
      </w:r>
      <w:bookmarkEnd w:id="92"/>
      <w:bookmarkEnd w:id="93"/>
    </w:p>
    <w:p w14:paraId="50AE1718">
      <w:pPr>
        <w:keepNext w:val="0"/>
        <w:keepLines w:val="0"/>
        <w:pageBreakBefore w:val="0"/>
        <w:widowControl w:val="0"/>
        <w:kinsoku/>
        <w:wordWrap/>
        <w:overflowPunct/>
        <w:topLinePunct w:val="0"/>
        <w:autoSpaceDE/>
        <w:autoSpaceDN/>
        <w:bidi w:val="0"/>
        <w:adjustRightInd/>
        <w:snapToGrid/>
        <w:spacing w:line="636"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落实最严格的耕地保护制度，保障粮食和农副产品安全。</w:t>
      </w:r>
      <w:r>
        <w:rPr>
          <w:rFonts w:hint="eastAsia" w:ascii="仿宋" w:hAnsi="仿宋" w:eastAsia="仿宋" w:cs="仿宋"/>
          <w:color w:val="auto"/>
          <w:sz w:val="32"/>
          <w:szCs w:val="32"/>
          <w:highlight w:val="none"/>
        </w:rPr>
        <w:t>着力抓重点、补短板、强弱项，</w:t>
      </w:r>
      <w:r>
        <w:rPr>
          <w:rFonts w:hint="eastAsia" w:ascii="仿宋" w:hAnsi="仿宋" w:eastAsia="仿宋" w:cs="仿宋"/>
          <w:color w:val="auto"/>
          <w:sz w:val="32"/>
          <w:szCs w:val="32"/>
          <w:highlight w:val="none"/>
          <w:lang w:val="en-US" w:eastAsia="zh-CN"/>
        </w:rPr>
        <w:t>做</w:t>
      </w:r>
      <w:r>
        <w:rPr>
          <w:rFonts w:hint="eastAsia" w:ascii="仿宋" w:hAnsi="仿宋" w:eastAsia="仿宋" w:cs="仿宋"/>
          <w:color w:val="auto"/>
          <w:sz w:val="32"/>
          <w:szCs w:val="32"/>
          <w:highlight w:val="none"/>
          <w:lang w:eastAsia="zh-CN"/>
        </w:rPr>
        <w:t>强农业支撑，</w:t>
      </w:r>
      <w:r>
        <w:rPr>
          <w:rFonts w:hint="eastAsia" w:ascii="仿宋" w:hAnsi="仿宋" w:eastAsia="仿宋" w:cs="仿宋"/>
          <w:color w:val="auto"/>
          <w:sz w:val="32"/>
          <w:szCs w:val="32"/>
          <w:highlight w:val="none"/>
          <w:lang w:val="en-US" w:eastAsia="zh-CN"/>
        </w:rPr>
        <w:t>进一步夯实农业发展基础。</w:t>
      </w:r>
    </w:p>
    <w:p w14:paraId="32083E59">
      <w:pPr>
        <w:pStyle w:val="10"/>
        <w:keepNext w:val="0"/>
        <w:keepLines w:val="0"/>
        <w:pageBreakBefore w:val="0"/>
        <w:widowControl w:val="0"/>
        <w:kinsoku/>
        <w:wordWrap/>
        <w:overflowPunct/>
        <w:topLinePunct w:val="0"/>
        <w:autoSpaceDE/>
        <w:autoSpaceDN/>
        <w:bidi w:val="0"/>
        <w:spacing w:line="636" w:lineRule="exact"/>
        <w:ind w:firstLine="643"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color w:val="auto"/>
          <w:kern w:val="2"/>
          <w:sz w:val="32"/>
          <w:szCs w:val="32"/>
          <w:highlight w:val="none"/>
          <w:lang w:val="en-US" w:eastAsia="zh-CN" w:bidi="ar-SA"/>
        </w:rPr>
        <w:t>确保粮食安全。</w:t>
      </w:r>
      <w:r>
        <w:rPr>
          <w:rFonts w:hint="eastAsia" w:ascii="仿宋" w:hAnsi="仿宋" w:eastAsia="仿宋" w:cs="仿宋"/>
          <w:b w:val="0"/>
          <w:bCs/>
          <w:color w:val="auto"/>
          <w:kern w:val="2"/>
          <w:sz w:val="32"/>
          <w:szCs w:val="32"/>
          <w:highlight w:val="none"/>
          <w:lang w:val="en-US" w:eastAsia="zh-CN" w:bidi="ar-SA"/>
        </w:rPr>
        <w:t>落实“米袋子”“菜篮子”行政首长责任制和党政同责，确保粮食安全、菜篮子稳当。</w:t>
      </w:r>
      <w:r>
        <w:rPr>
          <w:rFonts w:hint="eastAsia" w:ascii="仿宋" w:hAnsi="仿宋" w:eastAsia="仿宋" w:cs="仿宋"/>
          <w:color w:val="auto"/>
          <w:kern w:val="2"/>
          <w:sz w:val="32"/>
          <w:szCs w:val="32"/>
          <w:highlight w:val="none"/>
          <w:lang w:val="en-US" w:eastAsia="zh-CN" w:bidi="ar-SA"/>
        </w:rPr>
        <w:t>采取“长牙齿”的硬措施保障耕地安全，坚决制止乱占耕地、耕地抛荒和“非农化”、基本农田“非粮化”，整治项目建设、农村建房乱占耕地突出问题，稳定粮食种植面积。到 2025年，全市耕地保有量不低于49390公顷。落实各类补贴，提升收储调控能力，扩大完全成本和收入保险范围，提高农民种粮积极性，大力发展种粮大户，确保全市粮食作物总播面积达112万亩、总产48.5万吨，优质稻面积扩大到80万亩。加大农业水利基础设施投入和建设，建成高标准农田29.4万亩。深入推进农业供给侧结构性改革，推动品种培优、品质提升、品牌打造和标准化生产。优化农业生产结构和区域布局，加强粮食生产功能区、重要农产品生产保护区和特色农产品优势区建设，完善粮食主产区利益补偿机制，推进优质粮食工程，实施化肥农药零增长行动，保障粮、棉、油、糖、肉等重要农产品供给安全。倡导珍惜粮食，大力开展粮食节约行动，坚决制止餐饮浪费。</w:t>
      </w:r>
    </w:p>
    <w:p w14:paraId="620675CA">
      <w:pPr>
        <w:pageBreakBefore w:val="0"/>
        <w:widowControl w:val="0"/>
        <w:kinsoku/>
        <w:wordWrap/>
        <w:overflowPunct/>
        <w:topLinePunct w:val="0"/>
        <w:autoSpaceDE/>
        <w:autoSpaceDN/>
        <w:bidi w:val="0"/>
        <w:spacing w:line="636" w:lineRule="exact"/>
        <w:ind w:firstLine="643" w:firstLineChars="200"/>
        <w:jc w:val="both"/>
        <w:textAlignment w:val="auto"/>
        <w:rPr>
          <w:rFonts w:hint="eastAsia" w:ascii="仿宋" w:hAnsi="仿宋" w:eastAsia="仿宋" w:cs="仿宋"/>
          <w:color w:val="auto"/>
          <w:szCs w:val="32"/>
          <w:highlight w:val="none"/>
        </w:rPr>
      </w:pPr>
      <w:r>
        <w:rPr>
          <w:rFonts w:hint="eastAsia" w:ascii="楷体" w:hAnsi="楷体" w:eastAsia="楷体" w:cs="楷体"/>
          <w:b/>
          <w:color w:val="auto"/>
          <w:szCs w:val="32"/>
          <w:highlight w:val="none"/>
          <w:lang w:eastAsia="zh-CN"/>
        </w:rPr>
        <w:t>做强农业支撑</w:t>
      </w:r>
      <w:r>
        <w:rPr>
          <w:rFonts w:hint="eastAsia" w:ascii="楷体" w:hAnsi="楷体" w:eastAsia="楷体" w:cs="楷体"/>
          <w:b/>
          <w:color w:val="auto"/>
          <w:szCs w:val="32"/>
          <w:highlight w:val="none"/>
        </w:rPr>
        <w:t>。</w:t>
      </w:r>
      <w:r>
        <w:rPr>
          <w:rFonts w:hint="eastAsia" w:ascii="仿宋" w:hAnsi="仿宋" w:eastAsia="仿宋" w:cs="仿宋"/>
          <w:b/>
          <w:bCs/>
          <w:color w:val="auto"/>
          <w:szCs w:val="32"/>
          <w:highlight w:val="none"/>
          <w:lang w:val="en-US" w:eastAsia="zh-CN"/>
        </w:rPr>
        <w:t>抓好科技强农。</w:t>
      </w:r>
      <w:r>
        <w:rPr>
          <w:rFonts w:hint="eastAsia" w:ascii="仿宋" w:hAnsi="仿宋" w:eastAsia="仿宋" w:cs="仿宋"/>
          <w:b w:val="0"/>
          <w:bCs w:val="0"/>
          <w:color w:val="auto"/>
          <w:szCs w:val="32"/>
          <w:highlight w:val="none"/>
          <w:lang w:val="en-US" w:eastAsia="zh-CN"/>
        </w:rPr>
        <w:t>加强种质资源保护和利用，</w:t>
      </w:r>
      <w:r>
        <w:rPr>
          <w:rFonts w:hint="eastAsia" w:ascii="仿宋" w:hAnsi="仿宋" w:eastAsia="仿宋" w:cs="仿宋"/>
          <w:color w:val="auto"/>
          <w:szCs w:val="32"/>
          <w:highlight w:val="none"/>
          <w:lang w:val="en-US" w:eastAsia="zh-CN"/>
        </w:rPr>
        <w:t>从源头上搞好农业的“芯片”</w:t>
      </w:r>
      <w:r>
        <w:rPr>
          <w:rFonts w:hint="eastAsia" w:ascii="仿宋" w:hAnsi="仿宋" w:cs="仿宋"/>
          <w:color w:val="auto"/>
          <w:szCs w:val="32"/>
          <w:highlight w:val="none"/>
          <w:lang w:val="en-US" w:eastAsia="zh-CN"/>
        </w:rPr>
        <w:t>,</w:t>
      </w:r>
      <w:r>
        <w:rPr>
          <w:rFonts w:hint="eastAsia" w:ascii="仿宋" w:hAnsi="仿宋" w:eastAsia="仿宋" w:cs="仿宋"/>
          <w:b w:val="0"/>
          <w:bCs w:val="0"/>
          <w:color w:val="auto"/>
          <w:szCs w:val="32"/>
          <w:highlight w:val="none"/>
          <w:lang w:val="en-US" w:eastAsia="zh-CN"/>
        </w:rPr>
        <w:t>打造全国杂交水稻制种强县（市），</w:t>
      </w:r>
      <w:r>
        <w:rPr>
          <w:rFonts w:hint="eastAsia" w:ascii="仿宋" w:hAnsi="仿宋" w:eastAsia="仿宋" w:cs="仿宋"/>
          <w:color w:val="auto"/>
          <w:szCs w:val="32"/>
          <w:highlight w:val="none"/>
        </w:rPr>
        <w:t>强化农业科技和装备支撑，水稻耕种收</w:t>
      </w:r>
      <w:r>
        <w:rPr>
          <w:rFonts w:hint="eastAsia" w:ascii="仿宋" w:hAnsi="仿宋" w:eastAsia="仿宋" w:cs="仿宋"/>
          <w:color w:val="auto"/>
          <w:szCs w:val="32"/>
          <w:highlight w:val="none"/>
          <w:lang w:eastAsia="zh-CN"/>
        </w:rPr>
        <w:t>割</w:t>
      </w:r>
      <w:r>
        <w:rPr>
          <w:rFonts w:hint="eastAsia" w:ascii="仿宋" w:hAnsi="仿宋" w:eastAsia="仿宋" w:cs="仿宋"/>
          <w:color w:val="auto"/>
          <w:szCs w:val="32"/>
          <w:highlight w:val="none"/>
        </w:rPr>
        <w:t>综合机械化水平达75%以上</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抓好新型职业农民培养，利用无人机、智慧农机、智慧气象等先进装备，智慧滴灌、远程监控等先进技术武装现代农业，真正把农民从田间地头解放出来。</w:t>
      </w:r>
      <w:r>
        <w:rPr>
          <w:rFonts w:hint="eastAsia" w:ascii="仿宋" w:hAnsi="仿宋" w:eastAsia="仿宋" w:cs="仿宋"/>
          <w:b/>
          <w:bCs/>
          <w:color w:val="auto"/>
          <w:szCs w:val="32"/>
          <w:highlight w:val="none"/>
          <w:lang w:val="en-US" w:eastAsia="zh-CN"/>
        </w:rPr>
        <w:t>抓好防治稳农。</w:t>
      </w:r>
      <w:r>
        <w:rPr>
          <w:rFonts w:hint="eastAsia" w:ascii="仿宋" w:hAnsi="仿宋" w:eastAsia="仿宋" w:cs="仿宋"/>
          <w:color w:val="auto"/>
          <w:szCs w:val="32"/>
          <w:highlight w:val="none"/>
        </w:rPr>
        <w:t>健全动物防疫和农作物病虫害防治体系</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从源头做好防护，精</w:t>
      </w:r>
      <w:r>
        <w:rPr>
          <w:rFonts w:hint="eastAsia" w:ascii="仿宋" w:hAnsi="仿宋" w:eastAsia="仿宋" w:cs="仿宋"/>
          <w:color w:val="auto"/>
          <w:szCs w:val="32"/>
          <w:highlight w:val="none"/>
        </w:rPr>
        <w:t>细播种、精细施肥、精细洒药、精细灌溉</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确保农业增收</w:t>
      </w:r>
      <w:r>
        <w:rPr>
          <w:rFonts w:hint="eastAsia" w:ascii="仿宋" w:hAnsi="仿宋" w:eastAsia="仿宋" w:cs="仿宋"/>
          <w:color w:val="auto"/>
          <w:szCs w:val="32"/>
          <w:highlight w:val="none"/>
          <w:lang w:eastAsia="zh-CN"/>
        </w:rPr>
        <w:t>。</w:t>
      </w:r>
      <w:r>
        <w:rPr>
          <w:rFonts w:hint="eastAsia" w:ascii="仿宋" w:hAnsi="仿宋" w:eastAsia="仿宋" w:cs="仿宋"/>
          <w:b/>
          <w:bCs/>
          <w:color w:val="auto"/>
          <w:szCs w:val="32"/>
          <w:highlight w:val="none"/>
          <w:lang w:val="en-US" w:eastAsia="zh-CN"/>
        </w:rPr>
        <w:t>抓好质量兴农。</w:t>
      </w:r>
      <w:r>
        <w:rPr>
          <w:rFonts w:hint="eastAsia" w:ascii="仿宋" w:hAnsi="仿宋" w:eastAsia="仿宋" w:cs="仿宋"/>
          <w:color w:val="auto"/>
          <w:highlight w:val="none"/>
        </w:rPr>
        <w:t>建立农产品质量安全监管体系</w:t>
      </w:r>
      <w:r>
        <w:rPr>
          <w:rFonts w:hint="eastAsia" w:ascii="仿宋" w:hAnsi="仿宋" w:eastAsia="仿宋" w:cs="仿宋"/>
          <w:color w:val="auto"/>
          <w:highlight w:val="none"/>
          <w:lang w:eastAsia="zh-CN"/>
        </w:rPr>
        <w:t>，</w:t>
      </w:r>
      <w:r>
        <w:rPr>
          <w:rFonts w:hint="eastAsia" w:ascii="仿宋" w:hAnsi="仿宋" w:eastAsia="仿宋" w:cs="仿宋"/>
          <w:color w:val="auto"/>
          <w:szCs w:val="32"/>
          <w:highlight w:val="none"/>
        </w:rPr>
        <w:t>提升农产品质量安全水平</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创建“国家</w:t>
      </w:r>
      <w:r>
        <w:rPr>
          <w:rFonts w:hint="eastAsia" w:ascii="仿宋" w:hAnsi="仿宋" w:eastAsia="仿宋" w:cs="仿宋"/>
          <w:color w:val="auto"/>
          <w:szCs w:val="32"/>
          <w:highlight w:val="none"/>
          <w:lang w:eastAsia="zh-CN"/>
        </w:rPr>
        <w:t>级</w:t>
      </w:r>
      <w:r>
        <w:rPr>
          <w:rFonts w:hint="eastAsia" w:ascii="仿宋" w:hAnsi="仿宋" w:eastAsia="仿宋" w:cs="仿宋"/>
          <w:color w:val="auto"/>
          <w:szCs w:val="32"/>
          <w:highlight w:val="none"/>
        </w:rPr>
        <w:t>农产品质量安全县</w:t>
      </w:r>
      <w:r>
        <w:rPr>
          <w:rFonts w:hint="eastAsia" w:ascii="仿宋" w:hAnsi="仿宋" w:eastAsia="仿宋" w:cs="仿宋"/>
          <w:color w:val="auto"/>
          <w:szCs w:val="32"/>
          <w:highlight w:val="none"/>
          <w:lang w:eastAsia="zh-CN"/>
        </w:rPr>
        <w:t>（市）</w:t>
      </w:r>
      <w:r>
        <w:rPr>
          <w:rFonts w:hint="eastAsia" w:ascii="仿宋" w:hAnsi="仿宋" w:eastAsia="仿宋" w:cs="仿宋"/>
          <w:color w:val="auto"/>
          <w:szCs w:val="32"/>
          <w:highlight w:val="none"/>
        </w:rPr>
        <w:t>”，标准化示范生产基地达到60%。</w:t>
      </w:r>
    </w:p>
    <w:p w14:paraId="39DEFBBF">
      <w:pPr>
        <w:pStyle w:val="4"/>
        <w:keepNext/>
        <w:keepLines/>
        <w:pageBreakBefore w:val="0"/>
        <w:widowControl w:val="0"/>
        <w:kinsoku/>
        <w:wordWrap/>
        <w:overflowPunct/>
        <w:topLinePunct w:val="0"/>
        <w:autoSpaceDE/>
        <w:autoSpaceDN/>
        <w:bidi w:val="0"/>
        <w:adjustRightInd/>
        <w:snapToGrid/>
        <w:spacing w:before="0" w:after="0" w:line="636" w:lineRule="exact"/>
        <w:jc w:val="center"/>
        <w:textAlignment w:val="auto"/>
        <w:rPr>
          <w:rFonts w:hint="eastAsia" w:ascii="黑体" w:hAnsi="黑体" w:eastAsia="黑体" w:cs="黑体"/>
          <w:b w:val="0"/>
          <w:bCs/>
          <w:color w:val="auto"/>
          <w:highlight w:val="none"/>
        </w:rPr>
      </w:pPr>
      <w:bookmarkStart w:id="94" w:name="_Toc6424"/>
      <w:bookmarkStart w:id="95" w:name="_Toc447"/>
      <w:r>
        <w:rPr>
          <w:rFonts w:hint="eastAsia" w:ascii="黑体" w:hAnsi="黑体" w:eastAsia="黑体" w:cs="黑体"/>
          <w:b w:val="0"/>
          <w:bCs/>
          <w:color w:val="auto"/>
          <w:kern w:val="44"/>
          <w:sz w:val="32"/>
          <w:szCs w:val="32"/>
          <w:highlight w:val="none"/>
          <w:lang w:val="en-US" w:eastAsia="zh-CN" w:bidi="ar-SA"/>
        </w:rPr>
        <w:t>第二节 发展现代精细农业</w:t>
      </w:r>
      <w:bookmarkEnd w:id="94"/>
      <w:bookmarkEnd w:id="95"/>
    </w:p>
    <w:p w14:paraId="09019010">
      <w:pPr>
        <w:pageBreakBefore w:val="0"/>
        <w:widowControl w:val="0"/>
        <w:kinsoku/>
        <w:wordWrap/>
        <w:overflowPunct/>
        <w:topLinePunct w:val="0"/>
        <w:autoSpaceDE/>
        <w:autoSpaceDN/>
        <w:bidi w:val="0"/>
        <w:spacing w:line="636"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大力实施“一县一特、一特一品”战略，落实农业农村“百千万”工程和“六大强农”行动升级版，</w:t>
      </w:r>
      <w:r>
        <w:rPr>
          <w:rFonts w:hint="eastAsia" w:ascii="仿宋" w:hAnsi="仿宋" w:eastAsia="仿宋" w:cs="仿宋"/>
          <w:color w:val="auto"/>
          <w:sz w:val="32"/>
          <w:szCs w:val="32"/>
          <w:highlight w:val="none"/>
          <w:lang w:eastAsia="zh-CN"/>
        </w:rPr>
        <w:t>抓好精细农业运用推广，大力发展生猪养殖、温氏养鸡、工厂化循环水养鱼、合作社种植等特色农业，</w:t>
      </w:r>
      <w:r>
        <w:rPr>
          <w:rFonts w:hint="eastAsia" w:ascii="仿宋" w:hAnsi="仿宋" w:eastAsia="仿宋" w:cs="仿宋"/>
          <w:color w:val="auto"/>
          <w:spacing w:val="0"/>
          <w:sz w:val="32"/>
          <w:szCs w:val="32"/>
          <w:highlight w:val="none"/>
          <w:lang w:val="en-US" w:eastAsia="zh-CN"/>
        </w:rPr>
        <w:t>建成粮油、种子、畜禽、铜鹅、卤菜和翘嘴鲂水产品等6大亿级产业群，</w:t>
      </w:r>
      <w:r>
        <w:rPr>
          <w:rFonts w:hint="eastAsia" w:ascii="仿宋" w:hAnsi="仿宋" w:eastAsia="仿宋" w:cs="仿宋"/>
          <w:color w:val="auto"/>
          <w:sz w:val="32"/>
          <w:szCs w:val="32"/>
          <w:highlight w:val="none"/>
          <w:lang w:eastAsia="zh-CN"/>
        </w:rPr>
        <w:t>培育农业产业化龙头企业与新型农业经营主体，着力提升优势特色产业质量和效益。</w:t>
      </w:r>
      <w:r>
        <w:rPr>
          <w:rFonts w:hint="eastAsia" w:ascii="仿宋" w:hAnsi="仿宋" w:eastAsia="仿宋" w:cs="仿宋"/>
          <w:color w:val="auto"/>
          <w:sz w:val="32"/>
          <w:szCs w:val="32"/>
          <w:highlight w:val="none"/>
        </w:rPr>
        <w:t>到2025</w:t>
      </w:r>
      <w:r>
        <w:rPr>
          <w:rFonts w:hint="eastAsia" w:ascii="仿宋" w:hAnsi="仿宋" w:eastAsia="仿宋" w:cs="仿宋"/>
          <w:color w:val="auto"/>
          <w:spacing w:val="-6"/>
          <w:sz w:val="32"/>
          <w:szCs w:val="32"/>
          <w:highlight w:val="none"/>
        </w:rPr>
        <w:t>年，全市实现农业总产值80亿元，农产品加工业总产值</w:t>
      </w:r>
      <w:r>
        <w:rPr>
          <w:rFonts w:hint="eastAsia" w:ascii="仿宋" w:hAnsi="仿宋" w:eastAsia="仿宋" w:cs="仿宋"/>
          <w:color w:val="auto"/>
          <w:spacing w:val="-6"/>
          <w:sz w:val="32"/>
          <w:szCs w:val="32"/>
          <w:highlight w:val="none"/>
          <w:lang w:val="en-US" w:eastAsia="zh-CN"/>
        </w:rPr>
        <w:t>215</w:t>
      </w:r>
      <w:r>
        <w:rPr>
          <w:rFonts w:hint="eastAsia" w:ascii="仿宋" w:hAnsi="仿宋" w:eastAsia="仿宋" w:cs="仿宋"/>
          <w:color w:val="auto"/>
          <w:spacing w:val="-6"/>
          <w:sz w:val="32"/>
          <w:szCs w:val="32"/>
          <w:highlight w:val="none"/>
        </w:rPr>
        <w:t>亿</w:t>
      </w:r>
      <w:r>
        <w:rPr>
          <w:rFonts w:hint="eastAsia" w:ascii="仿宋" w:hAnsi="仿宋" w:eastAsia="仿宋" w:cs="仿宋"/>
          <w:color w:val="auto"/>
          <w:sz w:val="32"/>
          <w:szCs w:val="32"/>
          <w:highlight w:val="none"/>
        </w:rPr>
        <w:t>元。</w:t>
      </w:r>
    </w:p>
    <w:p w14:paraId="550FCDCF">
      <w:pPr>
        <w:pageBreakBefore w:val="0"/>
        <w:widowControl w:val="0"/>
        <w:kinsoku/>
        <w:wordWrap/>
        <w:overflowPunct/>
        <w:topLinePunct w:val="0"/>
        <w:autoSpaceDE/>
        <w:autoSpaceDN/>
        <w:bidi w:val="0"/>
        <w:spacing w:line="636" w:lineRule="exact"/>
        <w:ind w:firstLine="643" w:firstLineChars="200"/>
        <w:jc w:val="both"/>
        <w:textAlignment w:val="auto"/>
        <w:rPr>
          <w:rFonts w:hint="eastAsia" w:ascii="仿宋" w:hAnsi="仿宋" w:eastAsia="仿宋" w:cs="仿宋"/>
          <w:b/>
          <w:color w:val="auto"/>
          <w:spacing w:val="6"/>
          <w:szCs w:val="32"/>
          <w:highlight w:val="none"/>
        </w:rPr>
      </w:pPr>
      <w:r>
        <w:rPr>
          <w:rFonts w:hint="eastAsia" w:ascii="楷体" w:hAnsi="楷体" w:eastAsia="楷体" w:cs="楷体"/>
          <w:b/>
          <w:color w:val="auto"/>
          <w:szCs w:val="32"/>
          <w:highlight w:val="none"/>
          <w:lang w:val="en-US" w:eastAsia="zh-CN"/>
        </w:rPr>
        <w:t>科学布局产业区域。</w:t>
      </w:r>
      <w:r>
        <w:rPr>
          <w:rFonts w:hint="eastAsia" w:ascii="仿宋" w:hAnsi="仿宋" w:eastAsia="仿宋" w:cs="仿宋"/>
          <w:color w:val="auto"/>
          <w:sz w:val="32"/>
          <w:szCs w:val="32"/>
          <w:highlight w:val="none"/>
        </w:rPr>
        <w:t>根据我市经济社会发展战略、自然资源禀赋、环境承载能力和产业发展基础，按照发展区域化、产业集聚化原则，构建传统和特色产业“一带二区三园”空间格局。</w:t>
      </w:r>
      <w:r>
        <w:rPr>
          <w:rFonts w:hint="eastAsia" w:ascii="仿宋" w:hAnsi="仿宋" w:eastAsia="仿宋" w:cs="仿宋"/>
          <w:b/>
          <w:color w:val="auto"/>
          <w:szCs w:val="32"/>
          <w:highlight w:val="none"/>
          <w:lang w:val="en-US" w:eastAsia="zh-CN"/>
        </w:rPr>
        <w:t>现代农业综合产业带。</w:t>
      </w:r>
      <w:r>
        <w:rPr>
          <w:rFonts w:hint="eastAsia" w:ascii="仿宋" w:hAnsi="仿宋" w:eastAsia="仿宋" w:cs="仿宋"/>
          <w:color w:val="auto"/>
          <w:sz w:val="32"/>
          <w:szCs w:val="32"/>
          <w:highlight w:val="none"/>
        </w:rPr>
        <w:t>沿G241线</w:t>
      </w:r>
      <w:r>
        <w:rPr>
          <w:rFonts w:hint="eastAsia" w:ascii="仿宋" w:hAnsi="仿宋" w:eastAsia="仿宋" w:cs="仿宋"/>
          <w:color w:val="auto"/>
          <w:sz w:val="32"/>
          <w:szCs w:val="32"/>
          <w:highlight w:val="none"/>
          <w:lang w:val="en-US" w:eastAsia="zh-CN"/>
        </w:rPr>
        <w:t>重点</w:t>
      </w:r>
      <w:r>
        <w:rPr>
          <w:rFonts w:hint="eastAsia" w:ascii="仿宋" w:hAnsi="仿宋" w:eastAsia="仿宋" w:cs="仿宋"/>
          <w:color w:val="auto"/>
          <w:sz w:val="32"/>
          <w:szCs w:val="32"/>
          <w:highlight w:val="none"/>
        </w:rPr>
        <w:t>区域，</w:t>
      </w:r>
      <w:r>
        <w:rPr>
          <w:rFonts w:hint="eastAsia" w:ascii="仿宋" w:hAnsi="仿宋" w:eastAsia="仿宋" w:cs="仿宋"/>
          <w:color w:val="auto"/>
          <w:sz w:val="32"/>
          <w:szCs w:val="32"/>
          <w:highlight w:val="none"/>
          <w:lang w:eastAsia="zh-CN"/>
        </w:rPr>
        <w:t>以</w:t>
      </w:r>
      <w:r>
        <w:rPr>
          <w:rFonts w:hint="eastAsia" w:ascii="仿宋" w:hAnsi="仿宋" w:eastAsia="仿宋" w:cs="仿宋"/>
          <w:color w:val="auto"/>
          <w:sz w:val="32"/>
          <w:szCs w:val="32"/>
          <w:highlight w:val="none"/>
        </w:rPr>
        <w:t>万亩稻田公园、脐橙产业园、铜鹅产业园等</w:t>
      </w:r>
      <w:r>
        <w:rPr>
          <w:rFonts w:hint="eastAsia" w:ascii="仿宋" w:hAnsi="仿宋" w:eastAsia="仿宋" w:cs="仿宋"/>
          <w:color w:val="auto"/>
          <w:sz w:val="32"/>
          <w:szCs w:val="32"/>
          <w:highlight w:val="none"/>
          <w:lang w:eastAsia="zh-CN"/>
        </w:rPr>
        <w:t>产业重点，</w:t>
      </w:r>
      <w:r>
        <w:rPr>
          <w:rFonts w:hint="eastAsia" w:ascii="仿宋" w:hAnsi="仿宋" w:eastAsia="仿宋" w:cs="仿宋"/>
          <w:color w:val="auto"/>
          <w:sz w:val="32"/>
          <w:szCs w:val="32"/>
          <w:highlight w:val="none"/>
        </w:rPr>
        <w:t>打造集农业生产、科技、生态、休闲观光等多种功能为一体的综合性农业产业</w:t>
      </w:r>
      <w:r>
        <w:rPr>
          <w:rFonts w:hint="eastAsia" w:ascii="仿宋" w:hAnsi="仿宋" w:eastAsia="仿宋" w:cs="仿宋"/>
          <w:color w:val="auto"/>
          <w:sz w:val="32"/>
          <w:szCs w:val="32"/>
          <w:highlight w:val="none"/>
          <w:lang w:eastAsia="zh-CN"/>
        </w:rPr>
        <w:t>带</w:t>
      </w:r>
      <w:r>
        <w:rPr>
          <w:rFonts w:hint="eastAsia" w:ascii="仿宋" w:hAnsi="仿宋" w:eastAsia="仿宋" w:cs="仿宋"/>
          <w:color w:val="auto"/>
          <w:sz w:val="32"/>
          <w:szCs w:val="32"/>
          <w:highlight w:val="none"/>
        </w:rPr>
        <w:t>。</w:t>
      </w:r>
      <w:r>
        <w:rPr>
          <w:rFonts w:hint="eastAsia" w:ascii="仿宋" w:hAnsi="仿宋" w:eastAsia="仿宋" w:cs="仿宋"/>
          <w:b/>
          <w:color w:val="auto"/>
          <w:szCs w:val="32"/>
          <w:highlight w:val="none"/>
          <w:lang w:val="en-US" w:eastAsia="zh-CN"/>
        </w:rPr>
        <w:t>现代农业产业区。</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val="en-US" w:eastAsia="zh-CN"/>
        </w:rPr>
        <w:t>城乡结合部</w:t>
      </w:r>
      <w:r>
        <w:rPr>
          <w:rFonts w:hint="eastAsia" w:ascii="仿宋" w:hAnsi="仿宋" w:eastAsia="仿宋" w:cs="仿宋"/>
          <w:color w:val="auto"/>
          <w:sz w:val="32"/>
          <w:szCs w:val="32"/>
          <w:highlight w:val="none"/>
        </w:rPr>
        <w:t>区域内，发展农产品贸易和冷链仓储物流</w:t>
      </w:r>
      <w:r>
        <w:rPr>
          <w:rFonts w:hint="eastAsia" w:ascii="仿宋" w:hAnsi="仿宋" w:eastAsia="仿宋" w:cs="仿宋"/>
          <w:color w:val="auto"/>
          <w:sz w:val="32"/>
          <w:szCs w:val="32"/>
          <w:highlight w:val="none"/>
          <w:lang w:eastAsia="zh-CN"/>
        </w:rPr>
        <w:t>，建成</w:t>
      </w:r>
      <w:r>
        <w:rPr>
          <w:rFonts w:hint="eastAsia" w:ascii="仿宋" w:hAnsi="仿宋" w:eastAsia="仿宋" w:cs="仿宋"/>
          <w:color w:val="auto"/>
          <w:sz w:val="32"/>
          <w:szCs w:val="32"/>
          <w:highlight w:val="none"/>
        </w:rPr>
        <w:t>现代服务业和农产品加工</w:t>
      </w:r>
      <w:r>
        <w:rPr>
          <w:rFonts w:hint="eastAsia" w:ascii="仿宋" w:hAnsi="仿宋" w:eastAsia="仿宋" w:cs="仿宋"/>
          <w:color w:val="auto"/>
          <w:sz w:val="32"/>
          <w:szCs w:val="32"/>
          <w:highlight w:val="none"/>
          <w:lang w:eastAsia="zh-CN"/>
        </w:rPr>
        <w:t>产业区</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以</w:t>
      </w:r>
      <w:r>
        <w:rPr>
          <w:rFonts w:hint="eastAsia" w:ascii="仿宋" w:hAnsi="仿宋" w:eastAsia="仿宋" w:cs="仿宋"/>
          <w:color w:val="auto"/>
          <w:sz w:val="32"/>
          <w:szCs w:val="32"/>
          <w:highlight w:val="none"/>
          <w:lang w:val="en-US" w:eastAsia="zh-CN"/>
        </w:rPr>
        <w:t>粮油养</w:t>
      </w:r>
      <w:r>
        <w:rPr>
          <w:rFonts w:hint="eastAsia" w:ascii="仿宋" w:hAnsi="仿宋" w:eastAsia="仿宋" w:cs="仿宋"/>
          <w:color w:val="auto"/>
          <w:spacing w:val="6"/>
          <w:sz w:val="32"/>
          <w:szCs w:val="32"/>
          <w:highlight w:val="none"/>
          <w:lang w:val="en-US" w:eastAsia="zh-CN"/>
        </w:rPr>
        <w:t>殖</w:t>
      </w:r>
      <w:r>
        <w:rPr>
          <w:rFonts w:hint="eastAsia" w:ascii="仿宋" w:hAnsi="仿宋" w:eastAsia="仿宋" w:cs="仿宋"/>
          <w:color w:val="auto"/>
          <w:spacing w:val="6"/>
          <w:sz w:val="32"/>
          <w:szCs w:val="32"/>
          <w:highlight w:val="none"/>
        </w:rPr>
        <w:t>区域</w:t>
      </w:r>
      <w:r>
        <w:rPr>
          <w:rFonts w:hint="eastAsia" w:ascii="仿宋" w:hAnsi="仿宋" w:eastAsia="仿宋" w:cs="仿宋"/>
          <w:color w:val="auto"/>
          <w:spacing w:val="6"/>
          <w:sz w:val="32"/>
          <w:szCs w:val="32"/>
          <w:highlight w:val="none"/>
          <w:lang w:eastAsia="zh-CN"/>
        </w:rPr>
        <w:t>为核心</w:t>
      </w:r>
      <w:r>
        <w:rPr>
          <w:rFonts w:hint="eastAsia" w:ascii="仿宋" w:hAnsi="仿宋" w:eastAsia="仿宋" w:cs="仿宋"/>
          <w:color w:val="auto"/>
          <w:spacing w:val="6"/>
          <w:sz w:val="32"/>
          <w:szCs w:val="32"/>
          <w:highlight w:val="none"/>
        </w:rPr>
        <w:t>，</w:t>
      </w:r>
      <w:r>
        <w:rPr>
          <w:rFonts w:hint="eastAsia" w:ascii="仿宋" w:hAnsi="仿宋" w:eastAsia="仿宋" w:cs="仿宋"/>
          <w:color w:val="auto"/>
          <w:spacing w:val="6"/>
          <w:sz w:val="32"/>
          <w:szCs w:val="32"/>
          <w:highlight w:val="none"/>
          <w:lang w:eastAsia="zh-CN"/>
        </w:rPr>
        <w:t>以</w:t>
      </w:r>
      <w:r>
        <w:rPr>
          <w:rFonts w:hint="eastAsia" w:ascii="仿宋" w:hAnsi="仿宋" w:eastAsia="仿宋" w:cs="仿宋"/>
          <w:color w:val="auto"/>
          <w:spacing w:val="6"/>
          <w:sz w:val="32"/>
          <w:szCs w:val="32"/>
          <w:highlight w:val="none"/>
          <w:lang w:val="en-US" w:eastAsia="zh-CN"/>
        </w:rPr>
        <w:t>打造“米袋子”“肉铺子”“果篮子”“鱼担子”为重点形成现代农业产业区。</w:t>
      </w:r>
      <w:r>
        <w:rPr>
          <w:rFonts w:hint="eastAsia" w:ascii="仿宋" w:hAnsi="仿宋" w:eastAsia="仿宋" w:cs="仿宋"/>
          <w:color w:val="auto"/>
          <w:spacing w:val="6"/>
          <w:sz w:val="32"/>
          <w:szCs w:val="32"/>
          <w:highlight w:val="none"/>
          <w:lang w:eastAsia="zh-CN"/>
        </w:rPr>
        <w:t>以城郊区域为核心</w:t>
      </w:r>
      <w:r>
        <w:rPr>
          <w:rFonts w:hint="eastAsia" w:ascii="仿宋" w:hAnsi="仿宋" w:eastAsia="仿宋" w:cs="仿宋"/>
          <w:color w:val="auto"/>
          <w:spacing w:val="6"/>
          <w:sz w:val="32"/>
          <w:szCs w:val="32"/>
          <w:highlight w:val="none"/>
          <w:lang w:val="en-US" w:eastAsia="zh-CN"/>
        </w:rPr>
        <w:t>同步</w:t>
      </w:r>
      <w:r>
        <w:rPr>
          <w:rFonts w:hint="eastAsia" w:ascii="仿宋" w:hAnsi="仿宋" w:eastAsia="仿宋" w:cs="仿宋"/>
          <w:color w:val="auto"/>
          <w:spacing w:val="6"/>
          <w:sz w:val="32"/>
          <w:szCs w:val="32"/>
          <w:highlight w:val="none"/>
        </w:rPr>
        <w:t>发展以休闲观光和农事体验为主题的休闲农业</w:t>
      </w:r>
      <w:r>
        <w:rPr>
          <w:rFonts w:hint="eastAsia" w:ascii="仿宋" w:hAnsi="仿宋" w:eastAsia="仿宋" w:cs="仿宋"/>
          <w:color w:val="auto"/>
          <w:spacing w:val="6"/>
          <w:sz w:val="32"/>
          <w:szCs w:val="32"/>
          <w:highlight w:val="none"/>
          <w:lang w:eastAsia="zh-CN"/>
        </w:rPr>
        <w:t>产业区。</w:t>
      </w:r>
      <w:r>
        <w:rPr>
          <w:rFonts w:hint="eastAsia" w:ascii="仿宋" w:hAnsi="仿宋" w:eastAsia="仿宋" w:cs="仿宋"/>
          <w:b/>
          <w:color w:val="auto"/>
          <w:spacing w:val="6"/>
          <w:szCs w:val="32"/>
          <w:highlight w:val="none"/>
          <w:lang w:val="en-US" w:eastAsia="zh-CN"/>
        </w:rPr>
        <w:t>生态种养产业区。</w:t>
      </w:r>
      <w:r>
        <w:rPr>
          <w:rFonts w:hint="eastAsia" w:ascii="仿宋" w:hAnsi="仿宋" w:eastAsia="仿宋" w:cs="仿宋"/>
          <w:color w:val="auto"/>
          <w:spacing w:val="6"/>
          <w:sz w:val="32"/>
          <w:szCs w:val="32"/>
          <w:highlight w:val="none"/>
        </w:rPr>
        <w:t>在邓家铺</w:t>
      </w:r>
      <w:r>
        <w:rPr>
          <w:rFonts w:hint="eastAsia" w:ascii="仿宋" w:hAnsi="仿宋" w:eastAsia="仿宋" w:cs="仿宋"/>
          <w:color w:val="auto"/>
          <w:spacing w:val="6"/>
          <w:sz w:val="32"/>
          <w:szCs w:val="32"/>
          <w:highlight w:val="none"/>
          <w:lang w:eastAsia="zh-CN"/>
        </w:rPr>
        <w:t>镇</w:t>
      </w:r>
      <w:r>
        <w:rPr>
          <w:rFonts w:hint="eastAsia" w:ascii="仿宋" w:hAnsi="仿宋" w:eastAsia="仿宋" w:cs="仿宋"/>
          <w:color w:val="auto"/>
          <w:spacing w:val="6"/>
          <w:sz w:val="32"/>
          <w:szCs w:val="32"/>
          <w:highlight w:val="none"/>
        </w:rPr>
        <w:t>、马坪</w:t>
      </w:r>
      <w:r>
        <w:rPr>
          <w:rFonts w:hint="eastAsia" w:ascii="仿宋" w:hAnsi="仿宋" w:eastAsia="仿宋" w:cs="仿宋"/>
          <w:color w:val="auto"/>
          <w:spacing w:val="6"/>
          <w:sz w:val="32"/>
          <w:szCs w:val="32"/>
          <w:highlight w:val="none"/>
          <w:lang w:eastAsia="zh-CN"/>
        </w:rPr>
        <w:t>乡</w:t>
      </w:r>
      <w:r>
        <w:rPr>
          <w:rFonts w:hint="eastAsia" w:ascii="仿宋" w:hAnsi="仿宋" w:eastAsia="仿宋" w:cs="仿宋"/>
          <w:color w:val="auto"/>
          <w:spacing w:val="6"/>
          <w:sz w:val="32"/>
          <w:szCs w:val="32"/>
          <w:highlight w:val="none"/>
        </w:rPr>
        <w:t>、荆竹</w:t>
      </w:r>
      <w:r>
        <w:rPr>
          <w:rFonts w:hint="eastAsia" w:ascii="仿宋" w:hAnsi="仿宋" w:eastAsia="仿宋" w:cs="仿宋"/>
          <w:color w:val="auto"/>
          <w:spacing w:val="6"/>
          <w:sz w:val="32"/>
          <w:szCs w:val="32"/>
          <w:highlight w:val="none"/>
          <w:lang w:eastAsia="zh-CN"/>
        </w:rPr>
        <w:t>铺镇</w:t>
      </w:r>
      <w:r>
        <w:rPr>
          <w:rFonts w:hint="eastAsia" w:ascii="仿宋" w:hAnsi="仿宋" w:eastAsia="仿宋" w:cs="仿宋"/>
          <w:color w:val="auto"/>
          <w:spacing w:val="6"/>
          <w:sz w:val="32"/>
          <w:szCs w:val="32"/>
          <w:highlight w:val="none"/>
        </w:rPr>
        <w:t>、水浸坪</w:t>
      </w:r>
      <w:r>
        <w:rPr>
          <w:rFonts w:hint="eastAsia" w:ascii="仿宋" w:hAnsi="仿宋" w:eastAsia="仿宋" w:cs="仿宋"/>
          <w:color w:val="auto"/>
          <w:spacing w:val="6"/>
          <w:sz w:val="32"/>
          <w:szCs w:val="32"/>
          <w:highlight w:val="none"/>
          <w:lang w:eastAsia="zh-CN"/>
        </w:rPr>
        <w:t>乡</w:t>
      </w:r>
      <w:r>
        <w:rPr>
          <w:rFonts w:hint="eastAsia" w:ascii="仿宋" w:hAnsi="仿宋" w:eastAsia="仿宋" w:cs="仿宋"/>
          <w:color w:val="auto"/>
          <w:spacing w:val="6"/>
          <w:sz w:val="32"/>
          <w:szCs w:val="32"/>
          <w:highlight w:val="none"/>
        </w:rPr>
        <w:t>、晏田</w:t>
      </w:r>
      <w:r>
        <w:rPr>
          <w:rFonts w:hint="eastAsia" w:ascii="仿宋" w:hAnsi="仿宋" w:eastAsia="仿宋" w:cs="仿宋"/>
          <w:color w:val="auto"/>
          <w:spacing w:val="6"/>
          <w:sz w:val="32"/>
          <w:szCs w:val="32"/>
          <w:highlight w:val="none"/>
          <w:lang w:eastAsia="zh-CN"/>
        </w:rPr>
        <w:t>乡</w:t>
      </w:r>
      <w:r>
        <w:rPr>
          <w:rFonts w:hint="eastAsia" w:ascii="仿宋" w:hAnsi="仿宋" w:eastAsia="仿宋" w:cs="仿宋"/>
          <w:color w:val="auto"/>
          <w:spacing w:val="6"/>
          <w:sz w:val="32"/>
          <w:szCs w:val="32"/>
          <w:highlight w:val="none"/>
        </w:rPr>
        <w:t>、稠树塘</w:t>
      </w:r>
      <w:r>
        <w:rPr>
          <w:rFonts w:hint="eastAsia" w:ascii="仿宋" w:hAnsi="仿宋" w:eastAsia="仿宋" w:cs="仿宋"/>
          <w:color w:val="auto"/>
          <w:spacing w:val="6"/>
          <w:sz w:val="32"/>
          <w:szCs w:val="32"/>
          <w:highlight w:val="none"/>
          <w:lang w:eastAsia="zh-CN"/>
        </w:rPr>
        <w:t>镇</w:t>
      </w:r>
      <w:r>
        <w:rPr>
          <w:rFonts w:hint="eastAsia" w:ascii="仿宋" w:hAnsi="仿宋" w:eastAsia="仿宋" w:cs="仿宋"/>
          <w:color w:val="auto"/>
          <w:spacing w:val="6"/>
          <w:sz w:val="32"/>
          <w:szCs w:val="32"/>
          <w:highlight w:val="none"/>
        </w:rPr>
        <w:t>、秦桥</w:t>
      </w:r>
      <w:r>
        <w:rPr>
          <w:rFonts w:hint="eastAsia" w:ascii="仿宋" w:hAnsi="仿宋" w:eastAsia="仿宋" w:cs="仿宋"/>
          <w:color w:val="auto"/>
          <w:spacing w:val="6"/>
          <w:sz w:val="32"/>
          <w:szCs w:val="32"/>
          <w:highlight w:val="none"/>
          <w:lang w:eastAsia="zh-CN"/>
        </w:rPr>
        <w:t>镇</w:t>
      </w:r>
      <w:r>
        <w:rPr>
          <w:rFonts w:hint="eastAsia" w:ascii="仿宋" w:hAnsi="仿宋" w:eastAsia="仿宋" w:cs="仿宋"/>
          <w:color w:val="auto"/>
          <w:spacing w:val="6"/>
          <w:sz w:val="32"/>
          <w:szCs w:val="32"/>
          <w:highlight w:val="none"/>
        </w:rPr>
        <w:t>、双牌</w:t>
      </w:r>
      <w:r>
        <w:rPr>
          <w:rFonts w:hint="eastAsia" w:ascii="仿宋" w:hAnsi="仿宋" w:eastAsia="仿宋" w:cs="仿宋"/>
          <w:color w:val="auto"/>
          <w:spacing w:val="6"/>
          <w:sz w:val="32"/>
          <w:szCs w:val="32"/>
          <w:highlight w:val="none"/>
          <w:lang w:eastAsia="zh-CN"/>
        </w:rPr>
        <w:t>镇</w:t>
      </w:r>
      <w:r>
        <w:rPr>
          <w:rFonts w:hint="eastAsia" w:ascii="仿宋" w:hAnsi="仿宋" w:eastAsia="仿宋" w:cs="仿宋"/>
          <w:color w:val="auto"/>
          <w:spacing w:val="6"/>
          <w:sz w:val="32"/>
          <w:szCs w:val="32"/>
          <w:highlight w:val="none"/>
        </w:rPr>
        <w:t>等区域，重点建设杂交玉米、优质大豆、优质高粱等旱杂粮</w:t>
      </w:r>
      <w:r>
        <w:rPr>
          <w:rFonts w:hint="eastAsia" w:ascii="仿宋" w:hAnsi="仿宋" w:eastAsia="仿宋" w:cs="仿宋"/>
          <w:color w:val="auto"/>
          <w:spacing w:val="6"/>
          <w:sz w:val="32"/>
          <w:szCs w:val="32"/>
          <w:highlight w:val="none"/>
          <w:lang w:eastAsia="zh-CN"/>
        </w:rPr>
        <w:t>、</w:t>
      </w:r>
      <w:r>
        <w:rPr>
          <w:rFonts w:hint="eastAsia" w:ascii="仿宋" w:hAnsi="仿宋" w:eastAsia="仿宋" w:cs="仿宋"/>
          <w:color w:val="auto"/>
          <w:spacing w:val="6"/>
          <w:sz w:val="32"/>
          <w:szCs w:val="32"/>
          <w:highlight w:val="none"/>
        </w:rPr>
        <w:t>药材</w:t>
      </w:r>
      <w:r>
        <w:rPr>
          <w:rFonts w:hint="eastAsia" w:ascii="仿宋" w:hAnsi="仿宋" w:eastAsia="仿宋" w:cs="仿宋"/>
          <w:color w:val="auto"/>
          <w:spacing w:val="6"/>
          <w:sz w:val="32"/>
          <w:szCs w:val="32"/>
          <w:highlight w:val="none"/>
          <w:lang w:eastAsia="zh-CN"/>
        </w:rPr>
        <w:t>与</w:t>
      </w:r>
      <w:r>
        <w:rPr>
          <w:rFonts w:hint="eastAsia" w:ascii="仿宋" w:hAnsi="仿宋" w:eastAsia="仿宋" w:cs="仿宋"/>
          <w:color w:val="auto"/>
          <w:spacing w:val="6"/>
          <w:sz w:val="32"/>
          <w:szCs w:val="32"/>
          <w:highlight w:val="none"/>
        </w:rPr>
        <w:t>辣椒种植</w:t>
      </w:r>
      <w:r>
        <w:rPr>
          <w:rFonts w:hint="eastAsia" w:ascii="仿宋" w:hAnsi="仿宋" w:eastAsia="仿宋" w:cs="仿宋"/>
          <w:color w:val="auto"/>
          <w:spacing w:val="6"/>
          <w:sz w:val="32"/>
          <w:szCs w:val="32"/>
          <w:highlight w:val="none"/>
          <w:lang w:eastAsia="zh-CN"/>
        </w:rPr>
        <w:t>、</w:t>
      </w:r>
      <w:r>
        <w:rPr>
          <w:rFonts w:hint="eastAsia" w:ascii="仿宋" w:hAnsi="仿宋" w:eastAsia="仿宋" w:cs="仿宋"/>
          <w:color w:val="auto"/>
          <w:spacing w:val="6"/>
          <w:sz w:val="32"/>
          <w:szCs w:val="32"/>
          <w:highlight w:val="none"/>
        </w:rPr>
        <w:t>畜禽规模化</w:t>
      </w:r>
      <w:r>
        <w:rPr>
          <w:rFonts w:hint="eastAsia" w:ascii="仿宋" w:hAnsi="仿宋" w:eastAsia="仿宋" w:cs="仿宋"/>
          <w:color w:val="auto"/>
          <w:spacing w:val="6"/>
          <w:sz w:val="32"/>
          <w:szCs w:val="32"/>
          <w:highlight w:val="none"/>
          <w:lang w:eastAsia="zh-CN"/>
        </w:rPr>
        <w:t>生态</w:t>
      </w:r>
      <w:r>
        <w:rPr>
          <w:rFonts w:hint="eastAsia" w:ascii="仿宋" w:hAnsi="仿宋" w:eastAsia="仿宋" w:cs="仿宋"/>
          <w:color w:val="auto"/>
          <w:spacing w:val="6"/>
          <w:sz w:val="32"/>
          <w:szCs w:val="32"/>
          <w:highlight w:val="none"/>
        </w:rPr>
        <w:t>养殖</w:t>
      </w:r>
      <w:r>
        <w:rPr>
          <w:rFonts w:hint="eastAsia" w:ascii="仿宋" w:hAnsi="仿宋" w:eastAsia="仿宋" w:cs="仿宋"/>
          <w:color w:val="auto"/>
          <w:spacing w:val="6"/>
          <w:sz w:val="32"/>
          <w:szCs w:val="32"/>
          <w:highlight w:val="none"/>
          <w:lang w:eastAsia="zh-CN"/>
        </w:rPr>
        <w:t>等基地，形成</w:t>
      </w:r>
      <w:r>
        <w:rPr>
          <w:rFonts w:hint="eastAsia" w:ascii="仿宋" w:hAnsi="仿宋" w:eastAsia="仿宋" w:cs="仿宋"/>
          <w:color w:val="auto"/>
          <w:spacing w:val="6"/>
          <w:sz w:val="32"/>
          <w:szCs w:val="32"/>
          <w:highlight w:val="none"/>
        </w:rPr>
        <w:t>种养循环生态农业</w:t>
      </w:r>
      <w:r>
        <w:rPr>
          <w:rFonts w:hint="eastAsia" w:ascii="仿宋" w:hAnsi="仿宋" w:eastAsia="仿宋" w:cs="仿宋"/>
          <w:color w:val="auto"/>
          <w:spacing w:val="6"/>
          <w:sz w:val="32"/>
          <w:szCs w:val="32"/>
          <w:highlight w:val="none"/>
          <w:lang w:eastAsia="zh-CN"/>
        </w:rPr>
        <w:t>产业区。</w:t>
      </w:r>
      <w:r>
        <w:rPr>
          <w:rFonts w:hint="eastAsia" w:ascii="仿宋" w:hAnsi="仿宋" w:eastAsia="仿宋" w:cs="仿宋"/>
          <w:b/>
          <w:color w:val="auto"/>
          <w:spacing w:val="6"/>
          <w:szCs w:val="32"/>
          <w:highlight w:val="none"/>
          <w:lang w:val="en-US" w:eastAsia="zh-CN"/>
        </w:rPr>
        <w:t>武冈卤菜（城）园。</w:t>
      </w:r>
      <w:r>
        <w:rPr>
          <w:rFonts w:hint="eastAsia" w:ascii="仿宋" w:hAnsi="仿宋" w:eastAsia="仿宋" w:cs="仿宋"/>
          <w:color w:val="auto"/>
          <w:spacing w:val="6"/>
          <w:sz w:val="32"/>
          <w:szCs w:val="32"/>
          <w:highlight w:val="none"/>
        </w:rPr>
        <w:t>在湘商</w:t>
      </w:r>
      <w:r>
        <w:rPr>
          <w:rFonts w:hint="eastAsia" w:ascii="仿宋" w:hAnsi="仿宋" w:eastAsia="仿宋" w:cs="仿宋"/>
          <w:color w:val="auto"/>
          <w:spacing w:val="6"/>
          <w:sz w:val="32"/>
          <w:szCs w:val="32"/>
          <w:highlight w:val="none"/>
          <w:lang w:eastAsia="zh-CN"/>
        </w:rPr>
        <w:t>产</w:t>
      </w:r>
      <w:r>
        <w:rPr>
          <w:rFonts w:hint="eastAsia" w:ascii="仿宋" w:hAnsi="仿宋" w:eastAsia="仿宋" w:cs="仿宋"/>
          <w:color w:val="auto"/>
          <w:spacing w:val="6"/>
          <w:sz w:val="32"/>
          <w:szCs w:val="32"/>
          <w:highlight w:val="none"/>
        </w:rPr>
        <w:t>业园建设武冈卤菜（城）园</w:t>
      </w:r>
      <w:r>
        <w:rPr>
          <w:rFonts w:hint="eastAsia" w:ascii="仿宋" w:hAnsi="仿宋" w:eastAsia="仿宋" w:cs="仿宋"/>
          <w:color w:val="auto"/>
          <w:spacing w:val="6"/>
          <w:sz w:val="32"/>
          <w:szCs w:val="32"/>
          <w:highlight w:val="none"/>
          <w:lang w:eastAsia="zh-CN"/>
        </w:rPr>
        <w:t>，</w:t>
      </w:r>
      <w:r>
        <w:rPr>
          <w:rFonts w:hint="eastAsia" w:ascii="仿宋" w:hAnsi="仿宋" w:eastAsia="仿宋" w:cs="仿宋"/>
          <w:color w:val="auto"/>
          <w:spacing w:val="6"/>
          <w:sz w:val="32"/>
          <w:szCs w:val="32"/>
          <w:highlight w:val="none"/>
          <w:lang w:val="en-US" w:eastAsia="zh-CN"/>
        </w:rPr>
        <w:t>建成</w:t>
      </w:r>
      <w:r>
        <w:rPr>
          <w:rFonts w:hint="eastAsia" w:ascii="仿宋" w:hAnsi="仿宋" w:eastAsia="仿宋" w:cs="仿宋"/>
          <w:color w:val="auto"/>
          <w:spacing w:val="6"/>
          <w:sz w:val="32"/>
          <w:szCs w:val="32"/>
          <w:highlight w:val="none"/>
        </w:rPr>
        <w:t>卤菜博物馆及研发中心、武冈卤菜</w:t>
      </w:r>
      <w:r>
        <w:rPr>
          <w:rFonts w:hint="eastAsia" w:ascii="仿宋" w:hAnsi="仿宋" w:eastAsia="仿宋" w:cs="仿宋"/>
          <w:color w:val="auto"/>
          <w:spacing w:val="6"/>
          <w:sz w:val="32"/>
          <w:szCs w:val="32"/>
          <w:highlight w:val="none"/>
          <w:lang w:eastAsia="zh-CN"/>
        </w:rPr>
        <w:t>与铜鹅加工标准化生产展示</w:t>
      </w:r>
      <w:r>
        <w:rPr>
          <w:rFonts w:hint="eastAsia" w:ascii="仿宋" w:hAnsi="仿宋" w:eastAsia="仿宋" w:cs="仿宋"/>
          <w:color w:val="auto"/>
          <w:spacing w:val="6"/>
          <w:sz w:val="32"/>
          <w:szCs w:val="32"/>
          <w:highlight w:val="none"/>
        </w:rPr>
        <w:t>馆</w:t>
      </w:r>
      <w:r>
        <w:rPr>
          <w:rFonts w:hint="eastAsia" w:ascii="仿宋" w:hAnsi="仿宋" w:eastAsia="仿宋" w:cs="仿宋"/>
          <w:color w:val="auto"/>
          <w:spacing w:val="6"/>
          <w:sz w:val="32"/>
          <w:szCs w:val="32"/>
          <w:highlight w:val="none"/>
          <w:lang w:eastAsia="zh-CN"/>
        </w:rPr>
        <w:t>及武冈</w:t>
      </w:r>
      <w:r>
        <w:rPr>
          <w:rFonts w:hint="eastAsia" w:ascii="仿宋" w:hAnsi="仿宋" w:eastAsia="仿宋" w:cs="仿宋"/>
          <w:color w:val="auto"/>
          <w:spacing w:val="6"/>
          <w:sz w:val="32"/>
          <w:szCs w:val="32"/>
          <w:highlight w:val="none"/>
        </w:rPr>
        <w:t>卤菜</w:t>
      </w:r>
      <w:r>
        <w:rPr>
          <w:rFonts w:hint="eastAsia" w:ascii="仿宋" w:hAnsi="仿宋" w:eastAsia="仿宋" w:cs="仿宋"/>
          <w:color w:val="auto"/>
          <w:spacing w:val="6"/>
          <w:sz w:val="32"/>
          <w:szCs w:val="32"/>
          <w:highlight w:val="none"/>
          <w:lang w:eastAsia="zh-CN"/>
        </w:rPr>
        <w:t>制作、武冈铜鹅生产信息化管理平台</w:t>
      </w:r>
      <w:r>
        <w:rPr>
          <w:rFonts w:hint="eastAsia" w:ascii="仿宋" w:hAnsi="仿宋" w:eastAsia="仿宋" w:cs="仿宋"/>
          <w:color w:val="auto"/>
          <w:spacing w:val="6"/>
          <w:sz w:val="32"/>
          <w:szCs w:val="32"/>
          <w:highlight w:val="none"/>
        </w:rPr>
        <w:t>。</w:t>
      </w:r>
      <w:r>
        <w:rPr>
          <w:rFonts w:hint="eastAsia" w:ascii="仿宋" w:hAnsi="仿宋" w:eastAsia="仿宋" w:cs="仿宋"/>
          <w:b/>
          <w:color w:val="auto"/>
          <w:spacing w:val="6"/>
          <w:szCs w:val="32"/>
          <w:highlight w:val="none"/>
          <w:lang w:val="en-US" w:eastAsia="zh-CN"/>
        </w:rPr>
        <w:t>铜鹅产业园。</w:t>
      </w:r>
      <w:r>
        <w:rPr>
          <w:rFonts w:hint="eastAsia" w:ascii="仿宋" w:hAnsi="仿宋" w:eastAsia="仿宋" w:cs="仿宋"/>
          <w:color w:val="auto"/>
          <w:spacing w:val="6"/>
          <w:sz w:val="32"/>
          <w:szCs w:val="32"/>
          <w:highlight w:val="none"/>
        </w:rPr>
        <w:t>建设武冈铜鹅标准生态养殖基地、种鹅繁育基地和铜鹅深加工生产线和冷链物流体系，建成年出笼铜鹅100万羽和3000吨深加工产能的铜鹅产业园。</w:t>
      </w:r>
      <w:r>
        <w:rPr>
          <w:rFonts w:hint="eastAsia" w:ascii="仿宋" w:hAnsi="仿宋" w:eastAsia="仿宋" w:cs="仿宋"/>
          <w:b/>
          <w:color w:val="auto"/>
          <w:spacing w:val="6"/>
          <w:szCs w:val="32"/>
          <w:highlight w:val="none"/>
          <w:lang w:val="en-US" w:eastAsia="zh-CN"/>
        </w:rPr>
        <w:t>脐橙产业园。</w:t>
      </w:r>
      <w:r>
        <w:rPr>
          <w:rFonts w:hint="eastAsia" w:ascii="仿宋" w:hAnsi="仿宋" w:eastAsia="仿宋" w:cs="仿宋"/>
          <w:color w:val="auto"/>
          <w:spacing w:val="6"/>
          <w:sz w:val="32"/>
          <w:szCs w:val="32"/>
          <w:highlight w:val="none"/>
        </w:rPr>
        <w:t>以邓元泰镇凤溪、天心、山岚、踏岭、石盘等村为核心，辐射周边村镇建成2万亩脐橙产业园</w:t>
      </w:r>
      <w:r>
        <w:rPr>
          <w:rFonts w:hint="eastAsia" w:ascii="仿宋" w:hAnsi="仿宋" w:eastAsia="仿宋" w:cs="仿宋"/>
          <w:color w:val="auto"/>
          <w:spacing w:val="6"/>
          <w:sz w:val="32"/>
          <w:szCs w:val="32"/>
          <w:highlight w:val="none"/>
          <w:lang w:eastAsia="zh-CN"/>
        </w:rPr>
        <w:t>。</w:t>
      </w:r>
    </w:p>
    <w:p w14:paraId="55133DF9">
      <w:pPr>
        <w:pageBreakBefore w:val="0"/>
        <w:widowControl w:val="0"/>
        <w:kinsoku/>
        <w:wordWrap/>
        <w:overflowPunct/>
        <w:topLinePunct w:val="0"/>
        <w:autoSpaceDE/>
        <w:autoSpaceDN/>
        <w:bidi w:val="0"/>
        <w:spacing w:line="636" w:lineRule="exact"/>
        <w:ind w:firstLine="643" w:firstLineChars="200"/>
        <w:jc w:val="both"/>
        <w:textAlignment w:val="auto"/>
        <w:rPr>
          <w:rFonts w:hint="eastAsia" w:ascii="仿宋" w:hAnsi="仿宋" w:eastAsia="仿宋" w:cs="仿宋"/>
          <w:color w:val="auto"/>
          <w:szCs w:val="32"/>
          <w:highlight w:val="none"/>
          <w:lang w:val="en-US" w:eastAsia="zh-CN"/>
        </w:rPr>
      </w:pPr>
      <w:r>
        <w:rPr>
          <w:rFonts w:hint="eastAsia" w:ascii="楷体" w:hAnsi="楷体" w:eastAsia="楷体" w:cs="楷体"/>
          <w:b/>
          <w:color w:val="auto"/>
          <w:szCs w:val="32"/>
          <w:highlight w:val="none"/>
        </w:rPr>
        <w:t>发展壮大支柱产业。</w:t>
      </w:r>
      <w:r>
        <w:rPr>
          <w:rFonts w:hint="eastAsia" w:ascii="仿宋" w:hAnsi="仿宋" w:eastAsia="仿宋" w:cs="仿宋"/>
          <w:b/>
          <w:bCs/>
          <w:color w:val="auto"/>
          <w:highlight w:val="none"/>
          <w:lang w:val="en-US" w:eastAsia="zh-CN"/>
        </w:rPr>
        <w:t>把经济作物作为体系大梁。</w:t>
      </w:r>
      <w:r>
        <w:rPr>
          <w:rFonts w:hint="eastAsia" w:ascii="仿宋" w:hAnsi="仿宋" w:eastAsia="仿宋" w:cs="仿宋"/>
          <w:color w:val="auto"/>
          <w:sz w:val="32"/>
          <w:szCs w:val="32"/>
          <w:highlight w:val="none"/>
          <w:lang w:val="en-US" w:eastAsia="zh-CN"/>
        </w:rPr>
        <w:t>加大优质经济作物生产基地建设，扩大玉米、花生、油葵等经济作物种植面积到30万亩。</w:t>
      </w:r>
      <w:r>
        <w:rPr>
          <w:rFonts w:hint="eastAsia" w:ascii="仿宋" w:hAnsi="仿宋" w:eastAsia="仿宋" w:cs="仿宋"/>
          <w:b/>
          <w:color w:val="auto"/>
          <w:szCs w:val="32"/>
          <w:highlight w:val="none"/>
          <w:lang w:val="en-US" w:eastAsia="zh-CN"/>
        </w:rPr>
        <w:t>把养殖业作为体系支点。</w:t>
      </w:r>
      <w:r>
        <w:rPr>
          <w:rFonts w:hint="eastAsia" w:ascii="仿宋" w:hAnsi="仿宋" w:eastAsia="仿宋" w:cs="仿宋"/>
          <w:color w:val="auto"/>
          <w:sz w:val="32"/>
          <w:szCs w:val="32"/>
          <w:highlight w:val="none"/>
          <w:lang w:val="en-US" w:eastAsia="zh-CN"/>
        </w:rPr>
        <w:t>把养殖业作为我市卤菜产业的基础。</w:t>
      </w:r>
      <w:r>
        <w:rPr>
          <w:rFonts w:hint="eastAsia" w:ascii="仿宋" w:hAnsi="仿宋" w:eastAsia="仿宋" w:cs="仿宋"/>
          <w:color w:val="auto"/>
          <w:szCs w:val="32"/>
          <w:highlight w:val="none"/>
        </w:rPr>
        <w:t>建设全国首个翘嘴鲂鱼繁殖基地</w:t>
      </w:r>
      <w:r>
        <w:rPr>
          <w:rFonts w:hint="eastAsia" w:ascii="仿宋" w:hAnsi="仿宋" w:eastAsia="仿宋" w:cs="仿宋"/>
          <w:color w:val="auto"/>
          <w:szCs w:val="32"/>
          <w:highlight w:val="none"/>
          <w:lang w:eastAsia="zh-CN"/>
        </w:rPr>
        <w:t>，进行</w:t>
      </w:r>
      <w:r>
        <w:rPr>
          <w:rFonts w:hint="eastAsia" w:ascii="仿宋" w:hAnsi="仿宋" w:eastAsia="仿宋" w:cs="仿宋"/>
          <w:color w:val="auto"/>
          <w:szCs w:val="32"/>
          <w:highlight w:val="none"/>
        </w:rPr>
        <w:t>工厂化</w:t>
      </w:r>
      <w:r>
        <w:rPr>
          <w:rFonts w:hint="eastAsia" w:ascii="仿宋" w:hAnsi="仿宋" w:eastAsia="仿宋" w:cs="仿宋"/>
          <w:color w:val="auto"/>
          <w:szCs w:val="32"/>
          <w:highlight w:val="none"/>
          <w:lang w:eastAsia="zh-CN"/>
        </w:rPr>
        <w:t>循环水养鱼</w:t>
      </w:r>
      <w:r>
        <w:rPr>
          <w:rFonts w:hint="eastAsia" w:ascii="仿宋" w:hAnsi="仿宋" w:eastAsia="仿宋" w:cs="仿宋"/>
          <w:color w:val="auto"/>
          <w:szCs w:val="32"/>
          <w:highlight w:val="none"/>
        </w:rPr>
        <w:t>，建立翘嘴鲂鱼产业链，打造</w:t>
      </w:r>
      <w:r>
        <w:rPr>
          <w:rFonts w:hint="eastAsia" w:ascii="仿宋" w:hAnsi="仿宋" w:eastAsia="仿宋" w:cs="仿宋"/>
          <w:color w:val="auto"/>
          <w:szCs w:val="32"/>
          <w:highlight w:val="none"/>
          <w:lang w:eastAsia="zh-CN"/>
        </w:rPr>
        <w:t>湖南师范大学鱼类健康养殖科研基地（雪峰山鱼种</w:t>
      </w:r>
      <w:r>
        <w:rPr>
          <w:rFonts w:hint="eastAsia" w:ascii="仿宋" w:hAnsi="仿宋" w:eastAsia="仿宋" w:cs="仿宋"/>
          <w:color w:val="auto"/>
          <w:szCs w:val="32"/>
          <w:highlight w:val="none"/>
        </w:rPr>
        <w:t>繁殖谷</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w:t>
      </w:r>
      <w:r>
        <w:rPr>
          <w:rFonts w:hint="eastAsia" w:ascii="仿宋" w:hAnsi="仿宋" w:eastAsia="仿宋" w:cs="仿宋"/>
          <w:color w:val="auto"/>
          <w:kern w:val="2"/>
          <w:sz w:val="32"/>
          <w:szCs w:val="32"/>
          <w:highlight w:val="none"/>
          <w:lang w:val="en-US" w:eastAsia="zh-CN" w:bidi="ar-SA"/>
        </w:rPr>
        <w:t>全市水产总产量达到9000吨，</w:t>
      </w:r>
      <w:r>
        <w:rPr>
          <w:rFonts w:hint="eastAsia" w:ascii="仿宋" w:hAnsi="仿宋" w:eastAsia="仿宋" w:cs="仿宋"/>
          <w:color w:val="auto"/>
          <w:szCs w:val="32"/>
          <w:highlight w:val="none"/>
        </w:rPr>
        <w:t>放养水面达到5.5万亩，名、特、优水产品养殖达到3500亩。</w:t>
      </w:r>
      <w:r>
        <w:rPr>
          <w:rFonts w:hint="eastAsia" w:ascii="仿宋" w:hAnsi="仿宋" w:eastAsia="仿宋" w:cs="仿宋"/>
          <w:color w:val="auto"/>
          <w:szCs w:val="32"/>
          <w:highlight w:val="none"/>
          <w:lang w:eastAsia="zh-CN"/>
        </w:rPr>
        <w:t>鼓励</w:t>
      </w:r>
      <w:r>
        <w:rPr>
          <w:rFonts w:hint="eastAsia" w:ascii="仿宋" w:hAnsi="仿宋" w:eastAsia="仿宋" w:cs="仿宋"/>
          <w:color w:val="auto"/>
          <w:szCs w:val="32"/>
          <w:highlight w:val="none"/>
        </w:rPr>
        <w:t>温氏养</w:t>
      </w:r>
      <w:r>
        <w:rPr>
          <w:rFonts w:hint="eastAsia" w:ascii="仿宋" w:hAnsi="仿宋" w:eastAsia="仿宋" w:cs="仿宋"/>
          <w:color w:val="auto"/>
          <w:kern w:val="2"/>
          <w:sz w:val="32"/>
          <w:szCs w:val="32"/>
          <w:highlight w:val="none"/>
          <w:lang w:val="en-US" w:eastAsia="zh-CN" w:bidi="ar-SA"/>
        </w:rPr>
        <w:t>鸡、大北农、新五丰、伟业集团等养殖龙头企业扩容提质。到2025年，生猪存栏量稳定在63万头，保持80万头生猪出栏的有效供给，</w:t>
      </w:r>
      <w:r>
        <w:rPr>
          <w:rFonts w:hint="eastAsia" w:ascii="仿宋" w:hAnsi="仿宋" w:eastAsia="仿宋" w:cs="仿宋"/>
          <w:color w:val="auto"/>
          <w:sz w:val="32"/>
          <w:szCs w:val="32"/>
          <w:highlight w:val="none"/>
          <w:lang w:val="en-US" w:eastAsia="zh-CN"/>
        </w:rPr>
        <w:t>实现年铜鹅出笼100万羽，存笼50万羽</w:t>
      </w:r>
      <w:r>
        <w:rPr>
          <w:rFonts w:hint="eastAsia" w:ascii="仿宋" w:hAnsi="仿宋" w:eastAsia="仿宋" w:cs="仿宋"/>
          <w:color w:val="auto"/>
          <w:szCs w:val="32"/>
          <w:highlight w:val="none"/>
        </w:rPr>
        <w:t>，铜鹅卤菜总产值突破50亿元</w:t>
      </w:r>
      <w:r>
        <w:rPr>
          <w:rFonts w:hint="eastAsia" w:ascii="仿宋" w:hAnsi="仿宋" w:eastAsia="仿宋" w:cs="仿宋"/>
          <w:color w:val="auto"/>
          <w:kern w:val="2"/>
          <w:sz w:val="32"/>
          <w:szCs w:val="32"/>
          <w:highlight w:val="none"/>
          <w:lang w:val="en-US" w:eastAsia="zh-CN" w:bidi="ar-SA"/>
        </w:rPr>
        <w:t>。</w:t>
      </w:r>
      <w:r>
        <w:rPr>
          <w:rFonts w:hint="eastAsia" w:ascii="仿宋" w:hAnsi="仿宋" w:eastAsia="仿宋" w:cs="仿宋"/>
          <w:b/>
          <w:color w:val="auto"/>
          <w:szCs w:val="32"/>
          <w:highlight w:val="none"/>
          <w:lang w:val="en-US" w:eastAsia="zh-CN"/>
        </w:rPr>
        <w:t>把种植业作为体系节点。</w:t>
      </w:r>
      <w:r>
        <w:rPr>
          <w:rFonts w:hint="eastAsia" w:ascii="仿宋" w:hAnsi="仿宋" w:eastAsia="仿宋" w:cs="仿宋"/>
          <w:color w:val="auto"/>
          <w:szCs w:val="32"/>
          <w:highlight w:val="none"/>
          <w:lang w:val="en-US" w:eastAsia="zh-CN"/>
        </w:rPr>
        <w:t>以科技带动，促进葛根产业深入占领绿色食品市场。种植葛根1万亩，引进精深食品加工企业3家。以建设卤菜原材料基地为核心，推进辣椒产业扩容提质创优，种植辣椒50000亩。融合带动，连片集中，打造中药材核心种植带，种植中药材15000亩。以邓元泰为核心辐射周边区域，种植脐橙2万亩。建设桑蚕基地，发展蚕丝加工，打造桑蚕产业。</w:t>
      </w:r>
    </w:p>
    <w:p w14:paraId="2663F16F">
      <w:pPr>
        <w:keepNext w:val="0"/>
        <w:keepLines w:val="0"/>
        <w:pageBreakBefore w:val="0"/>
        <w:widowControl w:val="0"/>
        <w:kinsoku/>
        <w:wordWrap/>
        <w:overflowPunct/>
        <w:topLinePunct w:val="0"/>
        <w:autoSpaceDE/>
        <w:autoSpaceDN/>
        <w:bidi w:val="0"/>
        <w:adjustRightInd/>
        <w:snapToGrid/>
        <w:spacing w:line="606" w:lineRule="exact"/>
        <w:ind w:firstLine="643" w:firstLineChars="200"/>
        <w:jc w:val="both"/>
        <w:textAlignment w:val="auto"/>
        <w:rPr>
          <w:rFonts w:hint="eastAsia" w:ascii="仿宋" w:hAnsi="仿宋" w:eastAsia="仿宋" w:cs="仿宋"/>
          <w:b/>
          <w:color w:val="auto"/>
          <w:szCs w:val="32"/>
          <w:highlight w:val="none"/>
        </w:rPr>
      </w:pPr>
      <w:r>
        <w:rPr>
          <w:rFonts w:hint="eastAsia" w:ascii="楷体" w:hAnsi="楷体" w:eastAsia="楷体" w:cs="楷体"/>
          <w:b/>
          <w:color w:val="auto"/>
          <w:szCs w:val="32"/>
          <w:highlight w:val="none"/>
          <w:lang w:val="en-US" w:eastAsia="zh-CN"/>
        </w:rPr>
        <w:t>培育扶持龙头企业。</w:t>
      </w:r>
      <w:r>
        <w:rPr>
          <w:rFonts w:hint="eastAsia" w:ascii="仿宋" w:hAnsi="仿宋" w:eastAsia="仿宋" w:cs="仿宋"/>
          <w:color w:val="auto"/>
          <w:szCs w:val="32"/>
          <w:highlight w:val="none"/>
        </w:rPr>
        <w:t>重点培育陈氏金福元、乡乡嘴食品、华鹏食品、百威英博等一批农业产业化龙头企业，大力推行“龙头企业+基地+农户”或“龙头企业+协会+农户”的农业产业化经营模式，加强对“订单农业”、“合同农业”的指导，采取龙头企业建立农产品收购风险基金等办法，建立稳定的购销关系，形成利益共享、风险同担的经营机制。建立农产品流通“绿色通道”，形成一批在国际国内市场具有竞争力的龙头企业和名牌产品，提高农产品加工水平，促进农产品加工业发展。</w:t>
      </w:r>
      <w:r>
        <w:rPr>
          <w:rFonts w:hint="eastAsia" w:ascii="仿宋" w:hAnsi="仿宋" w:eastAsia="仿宋" w:cs="仿宋"/>
          <w:color w:val="auto"/>
          <w:szCs w:val="32"/>
          <w:highlight w:val="none"/>
          <w:lang w:val="zh-CN"/>
        </w:rPr>
        <w:t>强力推进品牌兴农战略，到202</w:t>
      </w:r>
      <w:r>
        <w:rPr>
          <w:rFonts w:hint="eastAsia" w:ascii="仿宋" w:hAnsi="仿宋" w:eastAsia="仿宋" w:cs="仿宋"/>
          <w:color w:val="auto"/>
          <w:szCs w:val="32"/>
          <w:highlight w:val="none"/>
          <w:lang w:val="en-US" w:eastAsia="zh-CN"/>
        </w:rPr>
        <w:t>5</w:t>
      </w:r>
      <w:r>
        <w:rPr>
          <w:rFonts w:hint="eastAsia" w:ascii="仿宋" w:hAnsi="仿宋" w:eastAsia="仿宋" w:cs="仿宋"/>
          <w:color w:val="auto"/>
          <w:szCs w:val="32"/>
          <w:highlight w:val="none"/>
          <w:lang w:val="zh-CN"/>
        </w:rPr>
        <w:t>年，完成</w:t>
      </w:r>
      <w:r>
        <w:rPr>
          <w:rFonts w:hint="eastAsia" w:ascii="仿宋" w:hAnsi="仿宋" w:eastAsia="仿宋" w:cs="仿宋"/>
          <w:color w:val="auto"/>
          <w:szCs w:val="32"/>
          <w:highlight w:val="none"/>
          <w:lang w:val="en-US" w:eastAsia="zh-CN"/>
        </w:rPr>
        <w:t>10</w:t>
      </w:r>
      <w:r>
        <w:rPr>
          <w:rFonts w:hint="eastAsia" w:ascii="仿宋" w:hAnsi="仿宋" w:eastAsia="仿宋" w:cs="仿宋"/>
          <w:color w:val="auto"/>
          <w:szCs w:val="32"/>
          <w:highlight w:val="none"/>
          <w:lang w:val="zh-CN"/>
        </w:rPr>
        <w:t>个农产品品牌，打造</w:t>
      </w:r>
      <w:r>
        <w:rPr>
          <w:rFonts w:hint="eastAsia" w:ascii="仿宋" w:hAnsi="仿宋" w:eastAsia="仿宋" w:cs="仿宋"/>
          <w:color w:val="auto"/>
          <w:szCs w:val="32"/>
          <w:highlight w:val="none"/>
          <w:lang w:val="en-US" w:eastAsia="zh-CN"/>
        </w:rPr>
        <w:t>50</w:t>
      </w:r>
      <w:r>
        <w:rPr>
          <w:rFonts w:hint="eastAsia" w:ascii="仿宋" w:hAnsi="仿宋" w:eastAsia="仿宋" w:cs="仿宋"/>
          <w:color w:val="auto"/>
          <w:szCs w:val="32"/>
          <w:highlight w:val="none"/>
          <w:lang w:val="zh-CN"/>
        </w:rPr>
        <w:t>个三品一标认证产品。</w:t>
      </w:r>
      <w:r>
        <w:rPr>
          <w:rFonts w:hint="eastAsia" w:ascii="仿宋" w:hAnsi="仿宋" w:eastAsia="仿宋" w:cs="仿宋"/>
          <w:color w:val="auto"/>
          <w:szCs w:val="32"/>
          <w:highlight w:val="none"/>
        </w:rPr>
        <w:t>全市农产品加工企业发展到400家左右，其中规模以上企业100家，国家、省、邵阳市级龙头企业分别发展到1家、6家、40家。</w:t>
      </w:r>
    </w:p>
    <w:p w14:paraId="264E43A8">
      <w:pPr>
        <w:keepNext w:val="0"/>
        <w:keepLines w:val="0"/>
        <w:pageBreakBefore w:val="0"/>
        <w:widowControl w:val="0"/>
        <w:kinsoku/>
        <w:wordWrap/>
        <w:overflowPunct/>
        <w:topLinePunct w:val="0"/>
        <w:autoSpaceDE/>
        <w:autoSpaceDN/>
        <w:bidi w:val="0"/>
        <w:adjustRightInd/>
        <w:snapToGrid/>
        <w:spacing w:line="606" w:lineRule="exact"/>
        <w:ind w:firstLine="619" w:firstLineChars="200"/>
        <w:jc w:val="both"/>
        <w:textAlignment w:val="auto"/>
        <w:rPr>
          <w:rFonts w:hint="eastAsia" w:ascii="FangSong_GB2312" w:hAnsi="仿宋" w:cs="仿宋"/>
          <w:color w:val="auto"/>
          <w:szCs w:val="32"/>
          <w:highlight w:val="none"/>
        </w:rPr>
      </w:pPr>
      <w:r>
        <w:rPr>
          <w:rFonts w:hint="eastAsia" w:ascii="楷体" w:hAnsi="楷体" w:eastAsia="楷体" w:cs="楷体"/>
          <w:b/>
          <w:bCs/>
          <w:color w:val="auto"/>
          <w:spacing w:val="-6"/>
          <w:szCs w:val="32"/>
          <w:highlight w:val="none"/>
        </w:rPr>
        <w:t>发展旅游休闲农业。</w:t>
      </w:r>
      <w:r>
        <w:rPr>
          <w:rFonts w:hint="eastAsia" w:ascii="仿宋" w:hAnsi="仿宋" w:eastAsia="仿宋" w:cs="仿宋"/>
          <w:color w:val="auto"/>
          <w:spacing w:val="-6"/>
          <w:szCs w:val="32"/>
          <w:highlight w:val="none"/>
        </w:rPr>
        <w:t>充分发挥</w:t>
      </w:r>
      <w:r>
        <w:rPr>
          <w:rFonts w:hint="eastAsia" w:ascii="仿宋" w:hAnsi="仿宋" w:eastAsia="仿宋" w:cs="仿宋"/>
          <w:color w:val="auto"/>
          <w:spacing w:val="-6"/>
          <w:szCs w:val="32"/>
          <w:highlight w:val="none"/>
          <w:lang w:eastAsia="zh-CN"/>
        </w:rPr>
        <w:t>我</w:t>
      </w:r>
      <w:r>
        <w:rPr>
          <w:rFonts w:hint="eastAsia" w:ascii="仿宋" w:hAnsi="仿宋" w:eastAsia="仿宋" w:cs="仿宋"/>
          <w:color w:val="auto"/>
          <w:spacing w:val="-6"/>
          <w:szCs w:val="32"/>
          <w:highlight w:val="none"/>
        </w:rPr>
        <w:t>市的资源优势和地理区位优势，将民俗文化、饮食文化、历史文化和自然景观与现代生态农业相结合，打造“一环两轴六板块”的休闲农业与乡村旅游空间布局。充分挖掘乡村田园风光、生活风情、自然生态等旅游要素，大力支</w:t>
      </w:r>
      <w:r>
        <w:rPr>
          <w:rFonts w:hint="eastAsia" w:ascii="仿宋" w:hAnsi="仿宋" w:eastAsia="仿宋" w:cs="仿宋"/>
          <w:color w:val="auto"/>
          <w:szCs w:val="32"/>
          <w:highlight w:val="none"/>
        </w:rPr>
        <w:t>持和发展集农业生产、餐饮娱乐、乡村旅游、休闲度假、健康养生等功能于一体的休闲农业。到2025年末，力争建成</w:t>
      </w:r>
      <w:r>
        <w:rPr>
          <w:rFonts w:hint="eastAsia" w:ascii="仿宋" w:hAnsi="仿宋" w:eastAsia="仿宋" w:cs="仿宋"/>
          <w:color w:val="000000" w:themeColor="text1"/>
          <w:szCs w:val="32"/>
          <w:highlight w:val="none"/>
          <w:lang w:eastAsia="zh-CN"/>
          <w14:textFill>
            <w14:solidFill>
              <w14:schemeClr w14:val="tx1"/>
            </w14:solidFill>
          </w14:textFill>
        </w:rPr>
        <w:t>文明卫生乡镇（村）</w:t>
      </w:r>
      <w:r>
        <w:rPr>
          <w:rFonts w:hint="eastAsia" w:ascii="仿宋" w:hAnsi="仿宋" w:eastAsia="仿宋" w:cs="仿宋"/>
          <w:color w:val="000000" w:themeColor="text1"/>
          <w:szCs w:val="32"/>
          <w:highlight w:val="none"/>
          <w:lang w:val="en-US" w:eastAsia="zh-CN"/>
          <w14:textFill>
            <w14:solidFill>
              <w14:schemeClr w14:val="tx1"/>
            </w14:solidFill>
          </w14:textFill>
        </w:rPr>
        <w:t>15个，</w:t>
      </w:r>
      <w:r>
        <w:rPr>
          <w:rFonts w:hint="eastAsia" w:ascii="仿宋" w:hAnsi="仿宋" w:eastAsia="仿宋" w:cs="仿宋"/>
          <w:color w:val="000000" w:themeColor="text1"/>
          <w:szCs w:val="32"/>
          <w:highlight w:val="none"/>
          <w14:textFill>
            <w14:solidFill>
              <w14:schemeClr w14:val="tx1"/>
            </w14:solidFill>
          </w14:textFill>
        </w:rPr>
        <w:t>生态示范农庄15个，农业旅游示范</w:t>
      </w:r>
      <w:r>
        <w:rPr>
          <w:rFonts w:hint="eastAsia" w:ascii="仿宋" w:hAnsi="仿宋" w:eastAsia="仿宋" w:cs="仿宋"/>
          <w:color w:val="auto"/>
          <w:szCs w:val="32"/>
          <w:highlight w:val="none"/>
        </w:rPr>
        <w:t>产业园8个，星级农庄10家，打造6条特色乡村旅游精品路线，乡村旅游接待量年均增长率达到</w:t>
      </w:r>
      <w:r>
        <w:rPr>
          <w:rFonts w:hint="eastAsia" w:ascii="仿宋" w:hAnsi="仿宋" w:eastAsia="仿宋" w:cs="仿宋"/>
          <w:color w:val="auto"/>
          <w:szCs w:val="32"/>
          <w:highlight w:val="none"/>
          <w:lang w:val="en-US" w:eastAsia="zh-CN"/>
        </w:rPr>
        <w:t>15</w:t>
      </w:r>
      <w:r>
        <w:rPr>
          <w:rFonts w:hint="eastAsia" w:ascii="仿宋" w:hAnsi="仿宋" w:eastAsia="仿宋" w:cs="仿宋"/>
          <w:color w:val="auto"/>
          <w:szCs w:val="32"/>
          <w:highlight w:val="none"/>
        </w:rPr>
        <w:t>%以上。</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5CC6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noWrap w:val="0"/>
            <w:vAlign w:val="top"/>
          </w:tcPr>
          <w:p w14:paraId="2BEFE991">
            <w:pPr>
              <w:pageBreakBefore w:val="0"/>
              <w:widowControl w:val="0"/>
              <w:kinsoku/>
              <w:wordWrap/>
              <w:overflowPunct/>
              <w:bidi w:val="0"/>
              <w:spacing w:line="420" w:lineRule="auto"/>
              <w:jc w:val="center"/>
              <w:rPr>
                <w:rFonts w:hint="eastAsia" w:eastAsia="宋体"/>
                <w:bCs/>
                <w:color w:val="auto"/>
                <w:kern w:val="0"/>
                <w:sz w:val="28"/>
                <w:szCs w:val="28"/>
                <w:highlight w:val="none"/>
                <w:lang w:eastAsia="zh-CN"/>
              </w:rPr>
            </w:pPr>
            <w:bookmarkStart w:id="96" w:name="_Toc11561"/>
            <w:r>
              <w:rPr>
                <w:rFonts w:hint="eastAsia" w:ascii="宋体" w:hAnsi="宋体" w:eastAsia="宋体" w:cs="宋体"/>
                <w:b/>
                <w:bCs w:val="0"/>
                <w:color w:val="auto"/>
                <w:kern w:val="0"/>
                <w:sz w:val="28"/>
                <w:szCs w:val="28"/>
                <w:highlight w:val="none"/>
              </w:rPr>
              <w:t>专栏</w:t>
            </w:r>
            <w:r>
              <w:rPr>
                <w:rFonts w:hint="eastAsia" w:ascii="宋体" w:hAnsi="宋体" w:eastAsia="宋体" w:cs="宋体"/>
                <w:b/>
                <w:bCs w:val="0"/>
                <w:color w:val="auto"/>
                <w:kern w:val="0"/>
                <w:sz w:val="28"/>
                <w:szCs w:val="28"/>
                <w:highlight w:val="none"/>
                <w:lang w:val="en-US" w:eastAsia="zh-CN"/>
              </w:rPr>
              <w:t>14</w:t>
            </w:r>
            <w:r>
              <w:rPr>
                <w:rFonts w:hint="eastAsia" w:ascii="宋体" w:hAnsi="宋体" w:eastAsia="宋体" w:cs="宋体"/>
                <w:b/>
                <w:bCs w:val="0"/>
                <w:color w:val="auto"/>
                <w:kern w:val="0"/>
                <w:sz w:val="28"/>
                <w:szCs w:val="28"/>
                <w:highlight w:val="none"/>
              </w:rPr>
              <w:t>：农业</w:t>
            </w:r>
            <w:r>
              <w:rPr>
                <w:rFonts w:hint="eastAsia" w:ascii="宋体" w:hAnsi="宋体" w:eastAsia="宋体" w:cs="宋体"/>
                <w:b/>
                <w:bCs w:val="0"/>
                <w:color w:val="auto"/>
                <w:kern w:val="0"/>
                <w:sz w:val="28"/>
                <w:szCs w:val="28"/>
                <w:highlight w:val="none"/>
                <w:lang w:eastAsia="zh-CN"/>
              </w:rPr>
              <w:t>发展六大保障建设工程</w:t>
            </w:r>
          </w:p>
        </w:tc>
      </w:tr>
      <w:tr w14:paraId="2DE0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14:paraId="5F12A0EA">
            <w:pPr>
              <w:keepNext w:val="0"/>
              <w:keepLines w:val="0"/>
              <w:pageBreakBefore w:val="0"/>
              <w:kinsoku/>
              <w:wordWrap/>
              <w:overflowPunct/>
              <w:topLinePunct w:val="0"/>
              <w:autoSpaceDE/>
              <w:autoSpaceDN/>
              <w:bidi w:val="0"/>
              <w:adjustRightInd/>
              <w:snapToGrid/>
              <w:spacing w:after="120" w:line="620" w:lineRule="exact"/>
              <w:ind w:firstLine="562" w:firstLineChars="20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rPr>
              <w:t>1.优势特色产业提质升级工程</w:t>
            </w:r>
            <w:r>
              <w:rPr>
                <w:rFonts w:hint="eastAsia" w:ascii="仿宋" w:hAnsi="仿宋" w:eastAsia="仿宋" w:cs="仿宋"/>
                <w:b/>
                <w:bCs/>
                <w:color w:val="auto"/>
                <w:sz w:val="28"/>
                <w:szCs w:val="28"/>
                <w:highlight w:val="none"/>
                <w:lang w:val="en-US" w:eastAsia="zh-CN"/>
              </w:rPr>
              <w:t>:</w:t>
            </w:r>
            <w:r>
              <w:rPr>
                <w:rFonts w:hint="eastAsia" w:ascii="仿宋" w:hAnsi="仿宋" w:eastAsia="仿宋" w:cs="仿宋"/>
                <w:color w:val="auto"/>
                <w:sz w:val="28"/>
                <w:szCs w:val="28"/>
                <w:highlight w:val="none"/>
                <w:lang w:val="en-US" w:eastAsia="zh-CN"/>
              </w:rPr>
              <w:t>实施稳粮保猪促进工程，发展标准化养猪场，生猪规模化生产水平达到60%以上。推进“一县一特、一特一片”工程，打造铜鹅与卤制品、大豆、优质鱼类等优质特色农产品生产基地。以市区近郊为重点，大力实施专业蔬菜提升工程，推动建设一批优质蔬菜供应基地。</w:t>
            </w:r>
          </w:p>
          <w:p w14:paraId="554715A1">
            <w:pPr>
              <w:keepNext w:val="0"/>
              <w:keepLines w:val="0"/>
              <w:pageBreakBefore w:val="0"/>
              <w:widowControl w:val="0"/>
              <w:kinsoku/>
              <w:wordWrap/>
              <w:overflowPunct/>
              <w:topLinePunct w:val="0"/>
              <w:autoSpaceDE/>
              <w:autoSpaceDN/>
              <w:bidi w:val="0"/>
              <w:adjustRightInd/>
              <w:snapToGrid/>
              <w:spacing w:after="120" w:line="620" w:lineRule="exact"/>
              <w:ind w:firstLine="562" w:firstLineChars="200"/>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lang w:val="en-US" w:eastAsia="zh-CN"/>
              </w:rPr>
              <w:t>2.农业产业发展平台创建工程：</w:t>
            </w:r>
            <w:r>
              <w:rPr>
                <w:rFonts w:hint="eastAsia" w:ascii="仿宋" w:hAnsi="仿宋" w:eastAsia="仿宋" w:cs="仿宋"/>
                <w:color w:val="auto"/>
                <w:sz w:val="28"/>
                <w:szCs w:val="28"/>
                <w:highlight w:val="none"/>
                <w:lang w:val="en-US" w:eastAsia="zh-CN"/>
              </w:rPr>
              <w:t>实施区域公用品牌培育工程，大力培育湖南农业十大区域公用品牌、湖南十大农业企业品牌和湖南十大农业特色品牌；</w:t>
            </w:r>
            <w:r>
              <w:rPr>
                <w:rFonts w:hint="default" w:ascii="仿宋" w:hAnsi="仿宋" w:eastAsia="仿宋" w:cs="仿宋"/>
                <w:color w:val="auto"/>
                <w:sz w:val="28"/>
                <w:szCs w:val="28"/>
                <w:highlight w:val="none"/>
                <w:lang w:val="zh-CN" w:eastAsia="zh-CN" w:bidi="ar-SA"/>
              </w:rPr>
              <w:t>按照"1+6”模式</w:t>
            </w:r>
            <w:r>
              <w:rPr>
                <w:rFonts w:hint="eastAsia" w:ascii="仿宋" w:hAnsi="仿宋" w:eastAsia="仿宋" w:cs="仿宋"/>
                <w:color w:val="auto"/>
                <w:sz w:val="28"/>
                <w:szCs w:val="28"/>
                <w:highlight w:val="none"/>
                <w:lang w:val="en-US" w:eastAsia="zh-CN" w:bidi="ar-SA"/>
              </w:rPr>
              <w:t>(即现代农业科技园、优质淡水鱼生态养殖示范区、武冈铜鹅养殖示范区、现代种业示范区、温氏养鸡示范区、生猪养殖示范区、特色果蔬示范区)</w:t>
            </w:r>
            <w:r>
              <w:rPr>
                <w:rFonts w:hint="eastAsia" w:ascii="仿宋" w:hAnsi="仿宋" w:eastAsia="仿宋" w:cs="仿宋"/>
                <w:color w:val="auto"/>
                <w:sz w:val="28"/>
                <w:szCs w:val="28"/>
                <w:highlight w:val="none"/>
                <w:lang w:val="zh-CN" w:eastAsia="zh-CN" w:bidi="ar-SA"/>
              </w:rPr>
              <w:t>，</w:t>
            </w:r>
            <w:r>
              <w:rPr>
                <w:rFonts w:hint="default" w:ascii="仿宋" w:hAnsi="仿宋" w:eastAsia="仿宋" w:cs="仿宋"/>
                <w:color w:val="auto"/>
                <w:sz w:val="28"/>
                <w:szCs w:val="28"/>
                <w:highlight w:val="none"/>
                <w:lang w:val="zh-CN" w:eastAsia="zh-CN" w:bidi="ar-SA"/>
              </w:rPr>
              <w:t>总投资30亿元</w:t>
            </w:r>
            <w:r>
              <w:rPr>
                <w:rFonts w:hint="eastAsia" w:ascii="仿宋" w:hAnsi="仿宋" w:eastAsia="仿宋" w:cs="仿宋"/>
                <w:color w:val="auto"/>
                <w:sz w:val="28"/>
                <w:szCs w:val="28"/>
                <w:highlight w:val="none"/>
                <w:lang w:val="en-US" w:eastAsia="zh-CN" w:bidi="ar-SA"/>
              </w:rPr>
              <w:t>，</w:t>
            </w:r>
            <w:r>
              <w:rPr>
                <w:rFonts w:hint="default" w:ascii="仿宋" w:hAnsi="仿宋" w:eastAsia="仿宋" w:cs="仿宋"/>
                <w:color w:val="auto"/>
                <w:sz w:val="28"/>
                <w:szCs w:val="28"/>
                <w:highlight w:val="none"/>
                <w:lang w:val="zh-CN" w:eastAsia="zh-CN" w:bidi="ar-SA"/>
              </w:rPr>
              <w:t>建设</w:t>
            </w:r>
            <w:r>
              <w:rPr>
                <w:rFonts w:hint="eastAsia" w:ascii="仿宋" w:hAnsi="仿宋" w:eastAsia="仿宋" w:cs="仿宋"/>
                <w:color w:val="auto"/>
                <w:sz w:val="28"/>
                <w:szCs w:val="28"/>
                <w:highlight w:val="none"/>
                <w:lang w:val="zh-CN" w:eastAsia="zh-CN" w:bidi="ar-SA"/>
              </w:rPr>
              <w:t>武冈市</w:t>
            </w:r>
            <w:r>
              <w:rPr>
                <w:rFonts w:hint="default" w:ascii="仿宋" w:hAnsi="仿宋" w:eastAsia="仿宋" w:cs="仿宋"/>
                <w:color w:val="auto"/>
                <w:sz w:val="28"/>
                <w:szCs w:val="28"/>
                <w:highlight w:val="none"/>
                <w:lang w:val="zh-CN" w:eastAsia="zh-CN" w:bidi="ar-SA"/>
              </w:rPr>
              <w:t>现代农业科技园</w:t>
            </w:r>
            <w:r>
              <w:rPr>
                <w:rFonts w:hint="eastAsia" w:ascii="仿宋" w:hAnsi="仿宋" w:eastAsia="仿宋" w:cs="仿宋"/>
                <w:color w:val="auto"/>
                <w:sz w:val="28"/>
                <w:szCs w:val="28"/>
                <w:highlight w:val="none"/>
                <w:lang w:val="zh-CN" w:eastAsia="zh-CN" w:bidi="ar-SA"/>
              </w:rPr>
              <w:t>，</w:t>
            </w:r>
            <w:r>
              <w:rPr>
                <w:rFonts w:hint="eastAsia" w:ascii="仿宋" w:hAnsi="仿宋" w:eastAsia="仿宋" w:cs="仿宋"/>
                <w:color w:val="auto"/>
                <w:sz w:val="28"/>
                <w:szCs w:val="28"/>
                <w:highlight w:val="none"/>
                <w:lang w:val="en-US" w:eastAsia="zh-CN"/>
              </w:rPr>
              <w:t>打造产业发展园区共享平台；实施“互联网+”农业工程，推进信息化与农业现代化深度融合和信息共享；实施休闲农业与乡村旅游精品工程，建设一批以产业为支撑的设施完备、功能多样的休闲观光园区、森林人家、康养基地、乡村民宿，创建产业融合发展平台。</w:t>
            </w:r>
          </w:p>
          <w:p w14:paraId="436ED677">
            <w:pPr>
              <w:keepNext w:val="0"/>
              <w:keepLines w:val="0"/>
              <w:pageBreakBefore w:val="0"/>
              <w:widowControl/>
              <w:numPr>
                <w:ilvl w:val="-1"/>
                <w:numId w:val="0"/>
              </w:numPr>
              <w:kinsoku/>
              <w:wordWrap/>
              <w:overflowPunct/>
              <w:topLinePunct w:val="0"/>
              <w:autoSpaceDE/>
              <w:autoSpaceDN/>
              <w:bidi w:val="0"/>
              <w:adjustRightInd/>
              <w:snapToGrid/>
              <w:spacing w:after="120" w:line="620" w:lineRule="exact"/>
              <w:ind w:firstLine="562" w:firstLineChars="200"/>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val="en-US" w:eastAsia="zh-CN"/>
              </w:rPr>
              <w:t>3.农产品质量安全保障工程：</w:t>
            </w:r>
            <w:r>
              <w:rPr>
                <w:rFonts w:hint="eastAsia" w:ascii="仿宋" w:hAnsi="仿宋" w:eastAsia="仿宋" w:cs="仿宋"/>
                <w:color w:val="auto"/>
                <w:sz w:val="28"/>
                <w:szCs w:val="28"/>
                <w:highlight w:val="none"/>
                <w:lang w:val="en-US" w:eastAsia="zh-CN"/>
              </w:rPr>
              <w:t>推进农产品质量安全追溯体系、农产品质量安全监管体系建设，加强重大植物疫情预警体系和动物防疫体系等建设，建立标准化农产品生产基地，加强“三品一标”产品认证，争创农产品质量安全县，争取全市90%以上规模生产经营主体纳入农产品质量追溯信息平台信息库管理。</w:t>
            </w:r>
          </w:p>
          <w:p w14:paraId="6B7EBE24">
            <w:pPr>
              <w:keepNext w:val="0"/>
              <w:keepLines w:val="0"/>
              <w:pageBreakBefore w:val="0"/>
              <w:widowControl/>
              <w:numPr>
                <w:ilvl w:val="-1"/>
                <w:numId w:val="0"/>
              </w:numPr>
              <w:kinsoku/>
              <w:wordWrap/>
              <w:overflowPunct/>
              <w:topLinePunct w:val="0"/>
              <w:autoSpaceDE/>
              <w:autoSpaceDN/>
              <w:bidi w:val="0"/>
              <w:adjustRightInd/>
              <w:snapToGrid/>
              <w:spacing w:after="120" w:line="620" w:lineRule="exact"/>
              <w:ind w:firstLine="562"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rPr>
              <w:t>4.</w:t>
            </w:r>
            <w:r>
              <w:rPr>
                <w:rFonts w:hint="eastAsia" w:ascii="仿宋" w:hAnsi="仿宋" w:eastAsia="仿宋" w:cs="仿宋"/>
                <w:b/>
                <w:bCs/>
                <w:color w:val="auto"/>
                <w:sz w:val="28"/>
                <w:szCs w:val="28"/>
                <w:highlight w:val="none"/>
                <w:lang w:val="en-US" w:eastAsia="zh-CN"/>
              </w:rPr>
              <w:t>农业科技创新与技术应用示范工程</w:t>
            </w:r>
            <w:r>
              <w:rPr>
                <w:rFonts w:hint="eastAsia" w:ascii="仿宋" w:hAnsi="仿宋" w:eastAsia="仿宋" w:cs="仿宋"/>
                <w:b/>
                <w:bCs/>
                <w:color w:val="auto"/>
                <w:sz w:val="28"/>
                <w:szCs w:val="28"/>
                <w:highlight w:val="none"/>
              </w:rPr>
              <w:t>：</w:t>
            </w:r>
            <w:r>
              <w:rPr>
                <w:rFonts w:hint="eastAsia" w:ascii="仿宋" w:hAnsi="仿宋" w:eastAsia="仿宋" w:cs="仿宋"/>
                <w:color w:val="auto"/>
                <w:sz w:val="28"/>
                <w:szCs w:val="28"/>
                <w:highlight w:val="none"/>
                <w:lang w:val="en-US" w:eastAsia="zh-CN"/>
              </w:rPr>
              <w:t>实施科技创新示范工程，建设农业科技示范基地，培育农业科技示范户，扶持建设专业化骨干种业企业；以推动农机设施装备结构优化和提高农业全产业链机械化水平为重点，建设农作物生产全程机械化应用示范县，争创农业技术成果应用示范县，建设示范性农机专业服务组织。</w:t>
            </w:r>
          </w:p>
          <w:p w14:paraId="432509D2">
            <w:pPr>
              <w:keepNext w:val="0"/>
              <w:keepLines w:val="0"/>
              <w:pageBreakBefore w:val="0"/>
              <w:widowControl/>
              <w:kinsoku/>
              <w:wordWrap/>
              <w:overflowPunct/>
              <w:topLinePunct w:val="0"/>
              <w:autoSpaceDE/>
              <w:autoSpaceDN/>
              <w:bidi w:val="0"/>
              <w:adjustRightInd/>
              <w:snapToGrid/>
              <w:spacing w:after="120" w:line="620" w:lineRule="exact"/>
              <w:ind w:firstLine="562" w:firstLineChars="20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5.绿色循环农业示范工程：</w:t>
            </w:r>
            <w:r>
              <w:rPr>
                <w:rFonts w:hint="eastAsia" w:ascii="仿宋" w:hAnsi="仿宋" w:eastAsia="仿宋" w:cs="仿宋"/>
                <w:b w:val="0"/>
                <w:bCs w:val="0"/>
                <w:color w:val="auto"/>
                <w:sz w:val="28"/>
                <w:szCs w:val="28"/>
                <w:highlight w:val="none"/>
                <w:lang w:val="en-US" w:eastAsia="zh-CN"/>
              </w:rPr>
              <w:t>实施</w:t>
            </w:r>
            <w:r>
              <w:rPr>
                <w:rFonts w:hint="eastAsia" w:ascii="仿宋" w:hAnsi="仿宋" w:eastAsia="仿宋" w:cs="仿宋"/>
                <w:color w:val="auto"/>
                <w:sz w:val="28"/>
                <w:szCs w:val="28"/>
                <w:highlight w:val="none"/>
                <w:lang w:val="en-US" w:eastAsia="zh-CN"/>
              </w:rPr>
              <w:t>化肥、农药零增长工程，开展果菜茶有机肥替代化肥示范、稻渔综合种养、“猪沼果”、“林下种养”等生态循环模式示范；实施绿色生产示范工程，大力推进绿色防控、测土配方施肥、专业化统防统治服务、节水灌溉等新技术推广示范；开展农业生产废弃物资源化利用工程，实施粪污资源化利用和病死畜禽无害化处理，全面实施秸秆综合利用示范，开展防治地膜污染技术试验示范，加快可降解农膜应用，加快农药包装废弃物回收。</w:t>
            </w:r>
          </w:p>
          <w:p w14:paraId="2C069DB4">
            <w:pPr>
              <w:keepNext w:val="0"/>
              <w:keepLines w:val="0"/>
              <w:pageBreakBefore w:val="0"/>
              <w:kinsoku/>
              <w:wordWrap/>
              <w:overflowPunct/>
              <w:topLinePunct w:val="0"/>
              <w:autoSpaceDE/>
              <w:autoSpaceDN/>
              <w:bidi w:val="0"/>
              <w:adjustRightInd/>
              <w:snapToGrid/>
              <w:spacing w:after="120" w:line="620" w:lineRule="exact"/>
              <w:ind w:firstLine="562" w:firstLineChars="200"/>
              <w:jc w:val="both"/>
              <w:textAlignment w:val="auto"/>
              <w:rPr>
                <w:rFonts w:hint="eastAsia"/>
                <w:color w:val="auto"/>
                <w:highlight w:val="none"/>
                <w:lang w:val="en-US" w:eastAsia="zh-CN"/>
              </w:rPr>
            </w:pPr>
            <w:r>
              <w:rPr>
                <w:rFonts w:hint="eastAsia" w:ascii="仿宋" w:hAnsi="仿宋" w:eastAsia="仿宋" w:cs="仿宋"/>
                <w:b/>
                <w:bCs/>
                <w:color w:val="auto"/>
                <w:sz w:val="28"/>
                <w:szCs w:val="28"/>
                <w:highlight w:val="none"/>
                <w:lang w:val="en-US" w:eastAsia="zh-CN"/>
              </w:rPr>
              <w:t>6.新型农业经营主体培育工程:</w:t>
            </w:r>
            <w:r>
              <w:rPr>
                <w:rFonts w:hint="eastAsia" w:ascii="仿宋" w:hAnsi="仿宋" w:eastAsia="仿宋" w:cs="仿宋"/>
                <w:b w:val="0"/>
                <w:bCs/>
                <w:color w:val="auto"/>
                <w:sz w:val="28"/>
                <w:szCs w:val="28"/>
                <w:highlight w:val="none"/>
                <w:lang w:val="en-US" w:eastAsia="zh-CN"/>
              </w:rPr>
              <w:t>实施龙头企业培育工程,对接国家农产品加工业提升行动和省、邵有关政策，实施农产品产地初加工补助政策，扶持农产品产品加工企业发展壮大；实施“千社”培育工程，推进农业生产性服务组织向现代化农业发展。实施“万户”培育工程,积极扶持家庭农场、专业大户建设，引导农业产业适合规模化、集约化发展；深入推进“农户+合作社+企业”的融合发展方式，培育农业产业化龙头企业和联合体，鼓励农产品加工企业与上下游各类市场主体组建产业联盟，与农民建立稳定的订单和契约关系，让农民合理分享全产业链增值收益。</w:t>
            </w:r>
          </w:p>
        </w:tc>
      </w:tr>
    </w:tbl>
    <w:p w14:paraId="1701FDE7">
      <w:pPr>
        <w:pStyle w:val="4"/>
        <w:keepNext/>
        <w:keepLines/>
        <w:pageBreakBefore w:val="0"/>
        <w:widowControl w:val="0"/>
        <w:kinsoku/>
        <w:wordWrap/>
        <w:overflowPunct/>
        <w:bidi w:val="0"/>
        <w:spacing w:before="100" w:after="100" w:line="420" w:lineRule="auto"/>
        <w:jc w:val="center"/>
        <w:rPr>
          <w:rFonts w:hint="eastAsia" w:ascii="黑体" w:hAnsi="黑体" w:eastAsia="黑体" w:cs="黑体"/>
          <w:b w:val="0"/>
          <w:bCs/>
          <w:color w:val="auto"/>
          <w:szCs w:val="30"/>
          <w:highlight w:val="none"/>
          <w:lang w:val="en-US" w:eastAsia="zh-CN"/>
        </w:rPr>
      </w:pPr>
      <w:bookmarkStart w:id="97" w:name="_Toc1544"/>
      <w:r>
        <w:rPr>
          <w:rFonts w:hint="eastAsia" w:ascii="黑体" w:hAnsi="黑体" w:eastAsia="黑体" w:cs="黑体"/>
          <w:b w:val="0"/>
          <w:bCs/>
          <w:color w:val="auto"/>
          <w:kern w:val="44"/>
          <w:sz w:val="32"/>
          <w:szCs w:val="32"/>
          <w:highlight w:val="none"/>
          <w:lang w:val="en-US" w:eastAsia="zh-CN" w:bidi="ar-SA"/>
        </w:rPr>
        <w:t xml:space="preserve">第三节 </w:t>
      </w:r>
      <w:bookmarkEnd w:id="96"/>
      <w:r>
        <w:rPr>
          <w:rFonts w:hint="eastAsia" w:ascii="黑体" w:hAnsi="黑体" w:eastAsia="黑体" w:cs="黑体"/>
          <w:b w:val="0"/>
          <w:bCs/>
          <w:color w:val="auto"/>
          <w:kern w:val="44"/>
          <w:sz w:val="32"/>
          <w:szCs w:val="32"/>
          <w:highlight w:val="none"/>
          <w:lang w:val="en-US" w:eastAsia="zh-CN" w:bidi="ar-SA"/>
        </w:rPr>
        <w:t>实施乡村建设行动</w:t>
      </w:r>
      <w:bookmarkEnd w:id="97"/>
    </w:p>
    <w:p w14:paraId="7D1F2302">
      <w:pPr>
        <w:keepNext w:val="0"/>
        <w:keepLines w:val="0"/>
        <w:pageBreakBefore w:val="0"/>
        <w:widowControl w:val="0"/>
        <w:kinsoku/>
        <w:wordWrap/>
        <w:overflowPunct/>
        <w:topLinePunct w:val="0"/>
        <w:autoSpaceDE/>
        <w:autoSpaceDN/>
        <w:bidi w:val="0"/>
        <w:adjustRightInd/>
        <w:snapToGrid/>
        <w:spacing w:line="666" w:lineRule="exact"/>
        <w:ind w:firstLine="640" w:firstLineChars="200"/>
        <w:textAlignment w:val="auto"/>
        <w:rPr>
          <w:rFonts w:hint="eastAsia" w:ascii="仿宋" w:hAnsi="仿宋" w:eastAsia="仿宋" w:cs="仿宋"/>
          <w:b w:val="0"/>
          <w:bCs/>
          <w:color w:val="auto"/>
          <w:szCs w:val="30"/>
          <w:highlight w:val="none"/>
          <w:lang w:val="en-US" w:eastAsia="zh-CN"/>
        </w:rPr>
      </w:pPr>
      <w:r>
        <w:rPr>
          <w:rFonts w:hint="eastAsia" w:ascii="仿宋" w:hAnsi="仿宋" w:eastAsia="仿宋" w:cs="仿宋"/>
          <w:color w:val="auto"/>
          <w:sz w:val="32"/>
          <w:szCs w:val="32"/>
          <w:highlight w:val="none"/>
          <w:lang w:val="en-US" w:eastAsia="zh-CN"/>
        </w:rPr>
        <w:t>全域推进农村人居环境综合整治，着力补齐农村基础设施和公共服务短板，建设幸福美丽乡村。</w:t>
      </w:r>
    </w:p>
    <w:p w14:paraId="762DA11A">
      <w:pPr>
        <w:keepNext w:val="0"/>
        <w:keepLines w:val="0"/>
        <w:pageBreakBefore w:val="0"/>
        <w:widowControl w:val="0"/>
        <w:kinsoku/>
        <w:wordWrap/>
        <w:overflowPunct/>
        <w:topLinePunct w:val="0"/>
        <w:autoSpaceDE/>
        <w:autoSpaceDN/>
        <w:bidi w:val="0"/>
        <w:adjustRightInd/>
        <w:snapToGrid/>
        <w:spacing w:beforeLines="0" w:afterLines="0" w:line="666"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rPr>
        <w:t>顶层设计</w:t>
      </w:r>
      <w:r>
        <w:rPr>
          <w:rFonts w:hint="eastAsia" w:ascii="楷体" w:hAnsi="楷体" w:eastAsia="楷体" w:cs="楷体"/>
          <w:b/>
          <w:bCs/>
          <w:color w:val="auto"/>
          <w:highlight w:val="none"/>
          <w:lang w:val="en-US" w:eastAsia="zh-CN"/>
        </w:rPr>
        <w:t>引领</w:t>
      </w:r>
      <w:r>
        <w:rPr>
          <w:rFonts w:hint="eastAsia" w:ascii="楷体" w:hAnsi="楷体" w:eastAsia="楷体" w:cs="楷体"/>
          <w:b/>
          <w:bCs/>
          <w:color w:val="auto"/>
          <w:highlight w:val="none"/>
        </w:rPr>
        <w:t>。</w:t>
      </w:r>
      <w:r>
        <w:rPr>
          <w:rFonts w:hint="eastAsia" w:ascii="仿宋" w:hAnsi="仿宋" w:eastAsia="仿宋" w:cs="仿宋"/>
          <w:color w:val="auto"/>
          <w:highlight w:val="none"/>
        </w:rPr>
        <w:t>科学规划村镇建设、农田保护、村落分布、生态涵养等空间布局，努力形成“一村一景”发展格局。</w:t>
      </w:r>
      <w:r>
        <w:rPr>
          <w:rFonts w:hint="eastAsia" w:ascii="仿宋" w:hAnsi="仿宋" w:eastAsia="仿宋" w:cs="仿宋"/>
          <w:color w:val="auto"/>
          <w:highlight w:val="none"/>
          <w:lang w:val="zh-CN"/>
        </w:rPr>
        <w:t>借鉴先进地区成功经验，聘请国内一流、信誉度好、实力雄厚的规划设计单位，广泛征求意见建议，使乡村规划真正成为指导长远、务实管用的好规划。</w:t>
      </w:r>
      <w:r>
        <w:rPr>
          <w:rFonts w:hint="eastAsia" w:ascii="仿宋" w:hAnsi="仿宋" w:eastAsia="仿宋" w:cs="仿宋"/>
          <w:color w:val="auto"/>
          <w:highlight w:val="none"/>
        </w:rPr>
        <w:t>加强对传统古村落、历史文化名村、特色村寨、旅游名村的保护，深度发掘农耕传统、民族风情和民间技艺等乡土文化，</w:t>
      </w:r>
      <w:r>
        <w:rPr>
          <w:rFonts w:hint="eastAsia" w:ascii="仿宋" w:hAnsi="仿宋" w:eastAsia="仿宋" w:cs="仿宋"/>
          <w:color w:val="auto"/>
          <w:highlight w:val="none"/>
          <w:lang w:val="en-US" w:eastAsia="zh-CN"/>
        </w:rPr>
        <w:t>创建一批美丽乡村、秀美屋场、五美庭院。到2025年，</w:t>
      </w:r>
      <w:r>
        <w:rPr>
          <w:rFonts w:hint="eastAsia" w:ascii="仿宋" w:hAnsi="仿宋" w:eastAsia="仿宋" w:cs="仿宋"/>
          <w:color w:val="auto"/>
          <w:highlight w:val="none"/>
        </w:rPr>
        <w:t>打造25个美丽乡村示范村、100个美丽院落。</w:t>
      </w:r>
    </w:p>
    <w:p w14:paraId="0687D71E">
      <w:pPr>
        <w:keepNext w:val="0"/>
        <w:keepLines w:val="0"/>
        <w:pageBreakBefore w:val="0"/>
        <w:widowControl w:val="0"/>
        <w:kinsoku/>
        <w:wordWrap/>
        <w:overflowPunct/>
        <w:topLinePunct w:val="0"/>
        <w:autoSpaceDE/>
        <w:autoSpaceDN/>
        <w:bidi w:val="0"/>
        <w:adjustRightInd/>
        <w:snapToGrid/>
        <w:spacing w:line="666"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rPr>
        <w:t>基础设施</w:t>
      </w:r>
      <w:r>
        <w:rPr>
          <w:rFonts w:hint="eastAsia" w:ascii="楷体" w:hAnsi="楷体" w:eastAsia="楷体" w:cs="楷体"/>
          <w:b/>
          <w:bCs/>
          <w:color w:val="auto"/>
          <w:highlight w:val="none"/>
          <w:lang w:val="en-US" w:eastAsia="zh-CN"/>
        </w:rPr>
        <w:t>先行</w:t>
      </w:r>
      <w:r>
        <w:rPr>
          <w:rFonts w:hint="eastAsia" w:ascii="楷体" w:hAnsi="楷体" w:eastAsia="楷体" w:cs="楷体"/>
          <w:b/>
          <w:bCs/>
          <w:color w:val="auto"/>
          <w:highlight w:val="none"/>
        </w:rPr>
        <w:t>。</w:t>
      </w:r>
      <w:r>
        <w:rPr>
          <w:rFonts w:hint="eastAsia" w:ascii="仿宋" w:hAnsi="仿宋" w:eastAsia="仿宋" w:cs="仿宋"/>
          <w:color w:val="auto"/>
          <w:highlight w:val="none"/>
        </w:rPr>
        <w:t>健全农村基础设施投入长效机制，加快完善农村水、电、路、气、环卫、消防、宽带、物流等基础设施，完成</w:t>
      </w:r>
      <w:r>
        <w:rPr>
          <w:rFonts w:hint="eastAsia" w:ascii="仿宋" w:hAnsi="仿宋" w:eastAsia="仿宋" w:cs="仿宋"/>
          <w:color w:val="auto"/>
          <w:highlight w:val="none"/>
          <w:lang w:val="en-US" w:eastAsia="zh-CN"/>
        </w:rPr>
        <w:t>18</w:t>
      </w:r>
      <w:r>
        <w:rPr>
          <w:rFonts w:hint="eastAsia" w:ascii="仿宋" w:hAnsi="仿宋" w:eastAsia="仿宋" w:cs="仿宋"/>
          <w:color w:val="auto"/>
          <w:highlight w:val="none"/>
        </w:rPr>
        <w:t>个乡镇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街道</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所在地和150公里主干道沿线美化、绿化、亮化、硬化提质改造，绿化村庄600平方千米，安装路灯1</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000盏，切实改善农村生活条件。加强农村路网建设，完善配套服务设施，推进农村公路危桥加固改造，改善村内交通，以集中供水为主，对现有的农村安全饮水工程进行全面巩固提升，大力实施“宽带乡村”和农村通信基础设施完善工程</w:t>
      </w:r>
      <w:r>
        <w:rPr>
          <w:rFonts w:hint="eastAsia" w:ascii="仿宋" w:hAnsi="仿宋" w:eastAsia="仿宋" w:cs="仿宋"/>
          <w:color w:val="auto"/>
          <w:highlight w:val="none"/>
          <w:lang w:eastAsia="zh-CN"/>
        </w:rPr>
        <w:t>，逐步完成</w:t>
      </w:r>
      <w:r>
        <w:rPr>
          <w:rFonts w:hint="eastAsia" w:ascii="仿宋" w:hAnsi="仿宋" w:eastAsia="仿宋" w:cs="仿宋"/>
          <w:color w:val="auto"/>
          <w:highlight w:val="none"/>
          <w:lang w:val="en-US" w:eastAsia="zh-CN"/>
        </w:rPr>
        <w:t>100个新型特色乡村建设</w:t>
      </w:r>
      <w:r>
        <w:rPr>
          <w:rFonts w:hint="eastAsia" w:ascii="仿宋" w:hAnsi="仿宋" w:eastAsia="仿宋" w:cs="仿宋"/>
          <w:color w:val="auto"/>
          <w:highlight w:val="none"/>
        </w:rPr>
        <w:t>。</w:t>
      </w:r>
    </w:p>
    <w:p w14:paraId="6739D79E">
      <w:pPr>
        <w:keepNext w:val="0"/>
        <w:keepLines w:val="0"/>
        <w:pageBreakBefore w:val="0"/>
        <w:widowControl w:val="0"/>
        <w:kinsoku/>
        <w:wordWrap/>
        <w:overflowPunct/>
        <w:topLinePunct w:val="0"/>
        <w:autoSpaceDE/>
        <w:autoSpaceDN/>
        <w:bidi w:val="0"/>
        <w:adjustRightInd/>
        <w:snapToGrid/>
        <w:spacing w:line="666" w:lineRule="exact"/>
        <w:ind w:firstLine="643" w:firstLineChars="200"/>
        <w:jc w:val="both"/>
        <w:textAlignment w:val="auto"/>
        <w:rPr>
          <w:rFonts w:hint="eastAsia" w:ascii="仿宋" w:hAnsi="仿宋" w:eastAsia="仿宋" w:cs="仿宋"/>
          <w:color w:val="auto"/>
          <w:szCs w:val="32"/>
          <w:highlight w:val="none"/>
          <w:lang w:eastAsia="zh-CN"/>
        </w:rPr>
      </w:pPr>
      <w:r>
        <w:rPr>
          <w:rFonts w:hint="eastAsia" w:ascii="楷体" w:hAnsi="楷体" w:eastAsia="楷体" w:cs="楷体"/>
          <w:b/>
          <w:bCs/>
          <w:color w:val="auto"/>
          <w:highlight w:val="none"/>
        </w:rPr>
        <w:t>环境</w:t>
      </w:r>
      <w:r>
        <w:rPr>
          <w:rFonts w:hint="eastAsia" w:ascii="楷体" w:hAnsi="楷体" w:eastAsia="楷体" w:cs="楷体"/>
          <w:b/>
          <w:bCs/>
          <w:color w:val="auto"/>
          <w:highlight w:val="none"/>
          <w:lang w:val="en-US" w:eastAsia="zh-CN"/>
        </w:rPr>
        <w:t>整治发力</w:t>
      </w:r>
      <w:r>
        <w:rPr>
          <w:rFonts w:hint="eastAsia" w:ascii="楷体" w:hAnsi="楷体" w:eastAsia="楷体" w:cs="楷体"/>
          <w:b/>
          <w:bCs/>
          <w:color w:val="auto"/>
          <w:highlight w:val="none"/>
        </w:rPr>
        <w:t>。</w:t>
      </w:r>
      <w:r>
        <w:rPr>
          <w:rFonts w:hint="eastAsia" w:ascii="仿宋" w:hAnsi="仿宋" w:eastAsia="仿宋" w:cs="仿宋"/>
          <w:color w:val="auto"/>
          <w:szCs w:val="32"/>
          <w:highlight w:val="none"/>
          <w:lang w:eastAsia="zh-CN"/>
        </w:rPr>
        <w:t>充分发挥村保洁员作用，继续以“六治一提”为抓手，实施“十村美丽、百村整治”工程，深入推进以“三清一改”为重点的村庄清洁行动</w:t>
      </w:r>
      <w:r>
        <w:rPr>
          <w:rFonts w:hint="eastAsia" w:ascii="仿宋" w:hAnsi="仿宋" w:eastAsia="仿宋" w:cs="仿宋"/>
          <w:color w:val="auto"/>
          <w:szCs w:val="32"/>
          <w:highlight w:val="none"/>
        </w:rPr>
        <w:t>。完善农村生活垃圾收运处理体系</w:t>
      </w:r>
      <w:r>
        <w:rPr>
          <w:rFonts w:hint="eastAsia" w:ascii="仿宋" w:hAnsi="仿宋" w:eastAsia="仿宋" w:cs="仿宋"/>
          <w:color w:val="auto"/>
          <w:szCs w:val="32"/>
          <w:highlight w:val="none"/>
          <w:lang w:eastAsia="zh-CN"/>
        </w:rPr>
        <w:t>，建设</w:t>
      </w:r>
      <w:r>
        <w:rPr>
          <w:rFonts w:hint="eastAsia" w:ascii="仿宋" w:hAnsi="仿宋" w:eastAsia="仿宋" w:cs="仿宋"/>
          <w:color w:val="auto"/>
          <w:szCs w:val="32"/>
          <w:highlight w:val="none"/>
        </w:rPr>
        <w:t>垃圾集中收集点</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转运站</w:t>
      </w:r>
      <w:r>
        <w:rPr>
          <w:rFonts w:hint="eastAsia" w:ascii="仿宋" w:hAnsi="仿宋" w:eastAsia="仿宋" w:cs="仿宋"/>
          <w:color w:val="auto"/>
          <w:szCs w:val="32"/>
          <w:highlight w:val="none"/>
          <w:lang w:eastAsia="zh-CN"/>
        </w:rPr>
        <w:t>、分拣中心，</w:t>
      </w:r>
      <w:r>
        <w:rPr>
          <w:rFonts w:hint="eastAsia" w:ascii="仿宋" w:hAnsi="仿宋" w:eastAsia="仿宋" w:cs="仿宋"/>
          <w:color w:val="auto"/>
          <w:szCs w:val="32"/>
          <w:highlight w:val="none"/>
        </w:rPr>
        <w:t>提高农村生活垃圾无害化治理率</w:t>
      </w:r>
      <w:r>
        <w:rPr>
          <w:rFonts w:hint="eastAsia" w:ascii="仿宋" w:hAnsi="仿宋" w:eastAsia="仿宋" w:cs="仿宋"/>
          <w:color w:val="auto"/>
          <w:szCs w:val="32"/>
          <w:highlight w:val="none"/>
          <w:lang w:eastAsia="zh-CN"/>
        </w:rPr>
        <w:t>，积极创建省市级以上美丽乡村示范村，尽快打造一批示范乡镇，争创全国农村垃圾分类示范市</w:t>
      </w:r>
      <w:r>
        <w:rPr>
          <w:rFonts w:hint="eastAsia" w:ascii="仿宋" w:hAnsi="仿宋" w:eastAsia="仿宋" w:cs="仿宋"/>
          <w:color w:val="auto"/>
          <w:szCs w:val="32"/>
          <w:highlight w:val="none"/>
        </w:rPr>
        <w:t>。分类推进农村生活污水治理，加强农村生活污水管网和乡镇污水处理设施建设，实施</w:t>
      </w:r>
      <w:r>
        <w:rPr>
          <w:rFonts w:hint="eastAsia" w:ascii="仿宋" w:hAnsi="仿宋" w:eastAsia="仿宋" w:cs="仿宋"/>
          <w:color w:val="auto"/>
          <w:szCs w:val="32"/>
          <w:highlight w:val="none"/>
          <w:lang w:val="en-US" w:eastAsia="zh-CN"/>
        </w:rPr>
        <w:t>1</w:t>
      </w:r>
      <w:r>
        <w:rPr>
          <w:rFonts w:hint="eastAsia" w:ascii="仿宋" w:hAnsi="仿宋" w:eastAsia="仿宋" w:cs="仿宋"/>
          <w:color w:val="auto"/>
          <w:szCs w:val="32"/>
          <w:highlight w:val="none"/>
        </w:rPr>
        <w:t>89个村（居委会）生活污水治理，完成农户改厕</w:t>
      </w:r>
      <w:r>
        <w:rPr>
          <w:rFonts w:hint="eastAsia" w:ascii="仿宋" w:hAnsi="仿宋" w:eastAsia="仿宋" w:cs="仿宋"/>
          <w:color w:val="auto"/>
          <w:szCs w:val="32"/>
          <w:highlight w:val="none"/>
          <w:lang w:val="en-US" w:eastAsia="zh-CN"/>
        </w:rPr>
        <w:t>42</w:t>
      </w:r>
      <w:r>
        <w:rPr>
          <w:rFonts w:hint="eastAsia" w:ascii="仿宋" w:hAnsi="仿宋" w:eastAsia="仿宋" w:cs="仿宋"/>
          <w:color w:val="auto"/>
          <w:szCs w:val="32"/>
          <w:highlight w:val="none"/>
        </w:rPr>
        <w:t>000户，建设50t/d集中式污水处理系统612套，铺设污水管道3672千米，建设畜禽粪便集中化处理设施239套，实现厕所粪污、禽畜养殖废弃物处理并资源化利用。着力提升村容村貌</w:t>
      </w:r>
      <w:r>
        <w:rPr>
          <w:rFonts w:hint="eastAsia" w:ascii="仿宋" w:hAnsi="仿宋" w:eastAsia="仿宋" w:cs="仿宋"/>
          <w:color w:val="auto"/>
          <w:szCs w:val="32"/>
          <w:highlight w:val="none"/>
          <w:lang w:eastAsia="zh-CN"/>
        </w:rPr>
        <w:t>，25户以及100人以上自然村通水泥（沥青）路建设45.65km。</w:t>
      </w:r>
      <w:r>
        <w:rPr>
          <w:rFonts w:hint="eastAsia" w:ascii="仿宋" w:hAnsi="仿宋" w:eastAsia="仿宋" w:cs="仿宋"/>
          <w:color w:val="auto"/>
          <w:szCs w:val="32"/>
          <w:highlight w:val="none"/>
        </w:rPr>
        <w:t>加强水土流失综合治理，推进农村河道综合治理，建设生态清洁型小流域。</w:t>
      </w:r>
    </w:p>
    <w:p w14:paraId="408234FB">
      <w:pPr>
        <w:pStyle w:val="29"/>
        <w:keepNext w:val="0"/>
        <w:keepLines w:val="0"/>
        <w:pageBreakBefore w:val="0"/>
        <w:widowControl w:val="0"/>
        <w:kinsoku/>
        <w:wordWrap/>
        <w:overflowPunct/>
        <w:topLinePunct w:val="0"/>
        <w:autoSpaceDE/>
        <w:autoSpaceDN/>
        <w:bidi w:val="0"/>
        <w:adjustRightInd/>
        <w:snapToGrid/>
        <w:spacing w:line="666" w:lineRule="exact"/>
        <w:ind w:firstLine="643" w:firstLineChars="200"/>
        <w:jc w:val="both"/>
        <w:textAlignment w:val="auto"/>
        <w:rPr>
          <w:rFonts w:hint="eastAsia" w:ascii="仿宋" w:hAnsi="仿宋" w:eastAsia="仿宋" w:cs="仿宋"/>
          <w:b/>
          <w:color w:val="auto"/>
          <w:szCs w:val="30"/>
          <w:highlight w:val="none"/>
          <w:lang w:eastAsia="zh-CN"/>
        </w:rPr>
      </w:pPr>
      <w:r>
        <w:rPr>
          <w:rFonts w:hint="eastAsia" w:eastAsia="楷体"/>
          <w:b/>
          <w:color w:val="auto"/>
          <w:szCs w:val="30"/>
          <w:highlight w:val="none"/>
        </w:rPr>
        <w:t>基层</w:t>
      </w:r>
      <w:r>
        <w:rPr>
          <w:rFonts w:eastAsia="楷体"/>
          <w:b/>
          <w:color w:val="auto"/>
          <w:szCs w:val="30"/>
          <w:highlight w:val="none"/>
        </w:rPr>
        <w:t>治理</w:t>
      </w:r>
      <w:r>
        <w:rPr>
          <w:rFonts w:hint="eastAsia" w:eastAsia="楷体"/>
          <w:b/>
          <w:color w:val="auto"/>
          <w:szCs w:val="30"/>
          <w:highlight w:val="none"/>
        </w:rPr>
        <w:t>提升</w:t>
      </w:r>
      <w:r>
        <w:rPr>
          <w:rFonts w:eastAsia="楷体"/>
          <w:b/>
          <w:color w:val="auto"/>
          <w:szCs w:val="30"/>
          <w:highlight w:val="none"/>
        </w:rPr>
        <w:t>。</w:t>
      </w:r>
      <w:r>
        <w:rPr>
          <w:rFonts w:hint="eastAsia" w:ascii="仿宋" w:hAnsi="仿宋" w:eastAsia="仿宋" w:cs="仿宋"/>
          <w:b/>
          <w:bCs/>
          <w:color w:val="auto"/>
          <w:szCs w:val="30"/>
          <w:highlight w:val="none"/>
          <w:lang w:val="en-US" w:eastAsia="zh-CN"/>
        </w:rPr>
        <w:t>坚持党建为核。</w:t>
      </w:r>
      <w:r>
        <w:rPr>
          <w:rFonts w:hint="eastAsia" w:ascii="仿宋" w:hAnsi="仿宋" w:eastAsia="仿宋" w:cs="仿宋"/>
          <w:color w:val="auto"/>
          <w:szCs w:val="30"/>
          <w:highlight w:val="none"/>
        </w:rPr>
        <w:t>加强农村基层党组织体系，选优配强村“两委”班子，整顿软弱涣散村党组织。推进农村基层党员队伍建设，</w:t>
      </w:r>
      <w:r>
        <w:rPr>
          <w:rFonts w:hint="eastAsia" w:ascii="仿宋" w:hAnsi="仿宋" w:eastAsia="仿宋" w:cs="仿宋"/>
          <w:bCs/>
          <w:color w:val="auto"/>
          <w:szCs w:val="30"/>
          <w:highlight w:val="none"/>
        </w:rPr>
        <w:t>注重从青年农民、外出务工人员、妇女、非公有制经济组织、农村致富带头人、大学毕业青年、复</w:t>
      </w:r>
      <w:r>
        <w:rPr>
          <w:rFonts w:hint="eastAsia" w:ascii="仿宋" w:hAnsi="仿宋" w:eastAsia="仿宋" w:cs="仿宋"/>
          <w:bCs/>
          <w:color w:val="auto"/>
          <w:szCs w:val="30"/>
          <w:highlight w:val="none"/>
          <w:lang w:eastAsia="zh-CN"/>
        </w:rPr>
        <w:t>员</w:t>
      </w:r>
      <w:r>
        <w:rPr>
          <w:rFonts w:hint="eastAsia" w:ascii="仿宋" w:hAnsi="仿宋" w:eastAsia="仿宋" w:cs="仿宋"/>
          <w:bCs/>
          <w:color w:val="auto"/>
          <w:szCs w:val="30"/>
          <w:highlight w:val="none"/>
        </w:rPr>
        <w:t>退伍军人、农村专业合作社组织中发展党员，不断优化党员队伍年龄、文化、能力等结构。</w:t>
      </w:r>
      <w:r>
        <w:rPr>
          <w:rFonts w:hint="eastAsia" w:ascii="仿宋" w:hAnsi="仿宋" w:eastAsia="仿宋" w:cs="仿宋"/>
          <w:b/>
          <w:bCs/>
          <w:color w:val="auto"/>
          <w:szCs w:val="30"/>
          <w:highlight w:val="none"/>
          <w:lang w:val="zh-CN"/>
        </w:rPr>
        <w:t>坚持自治为</w:t>
      </w:r>
      <w:r>
        <w:rPr>
          <w:rFonts w:hint="eastAsia" w:ascii="仿宋" w:hAnsi="仿宋" w:eastAsia="仿宋" w:cs="仿宋"/>
          <w:b/>
          <w:bCs/>
          <w:color w:val="auto"/>
          <w:szCs w:val="30"/>
          <w:highlight w:val="none"/>
          <w:lang w:val="en-US" w:eastAsia="zh-CN"/>
        </w:rPr>
        <w:t>基</w:t>
      </w:r>
      <w:r>
        <w:rPr>
          <w:rFonts w:hint="eastAsia" w:ascii="仿宋" w:hAnsi="仿宋" w:eastAsia="仿宋" w:cs="仿宋"/>
          <w:b/>
          <w:bCs/>
          <w:color w:val="auto"/>
          <w:szCs w:val="30"/>
          <w:highlight w:val="none"/>
          <w:lang w:val="zh-CN"/>
        </w:rPr>
        <w:t>。</w:t>
      </w:r>
      <w:r>
        <w:rPr>
          <w:rFonts w:hint="eastAsia" w:ascii="仿宋" w:hAnsi="仿宋" w:eastAsia="仿宋" w:cs="仿宋"/>
          <w:color w:val="auto"/>
          <w:szCs w:val="30"/>
          <w:highlight w:val="none"/>
          <w:lang w:val="zh-CN"/>
        </w:rPr>
        <w:t>加强农村群众性自治组织建设，推动村党支部书记通过选举担任村委会主任。全面建立健全村务监督委员会，推行村级事务阳光工程，继续开展以村民小组或自然村为基本单元的村民自治试点工作，在村庄普遍建立网上服务网点，逐步形成完善的乡村便民服务体系。</w:t>
      </w:r>
      <w:r>
        <w:rPr>
          <w:rFonts w:hint="eastAsia" w:ascii="仿宋" w:hAnsi="仿宋" w:eastAsia="仿宋" w:cs="仿宋"/>
          <w:b/>
          <w:bCs/>
          <w:color w:val="auto"/>
          <w:szCs w:val="30"/>
          <w:highlight w:val="none"/>
          <w:lang w:val="zh-CN"/>
        </w:rPr>
        <w:t>坚持法治为</w:t>
      </w:r>
      <w:r>
        <w:rPr>
          <w:rFonts w:hint="eastAsia" w:ascii="仿宋" w:hAnsi="仿宋" w:eastAsia="仿宋" w:cs="仿宋"/>
          <w:b/>
          <w:bCs/>
          <w:color w:val="auto"/>
          <w:szCs w:val="30"/>
          <w:highlight w:val="none"/>
          <w:lang w:val="en-US" w:eastAsia="zh-CN"/>
        </w:rPr>
        <w:t>本</w:t>
      </w:r>
      <w:r>
        <w:rPr>
          <w:rFonts w:hint="eastAsia" w:ascii="仿宋" w:hAnsi="仿宋" w:eastAsia="仿宋" w:cs="仿宋"/>
          <w:b/>
          <w:bCs/>
          <w:color w:val="auto"/>
          <w:szCs w:val="30"/>
          <w:highlight w:val="none"/>
          <w:lang w:val="zh-CN"/>
        </w:rPr>
        <w:t>。</w:t>
      </w:r>
      <w:r>
        <w:rPr>
          <w:rFonts w:hint="eastAsia" w:ascii="仿宋" w:hAnsi="仿宋" w:eastAsia="仿宋" w:cs="仿宋"/>
          <w:color w:val="auto"/>
          <w:szCs w:val="30"/>
          <w:highlight w:val="none"/>
          <w:lang w:val="zh-CN"/>
        </w:rPr>
        <w:t>强化法律在乡村治理中的权威地位。完善农村法治服务，将政府涉农各项工作纳入法治化轨道。</w:t>
      </w:r>
      <w:r>
        <w:rPr>
          <w:rFonts w:hint="eastAsia" w:ascii="仿宋" w:hAnsi="仿宋" w:eastAsia="仿宋" w:cs="仿宋"/>
          <w:b/>
          <w:bCs/>
          <w:color w:val="auto"/>
          <w:szCs w:val="30"/>
          <w:highlight w:val="none"/>
          <w:lang w:val="en-US" w:eastAsia="zh-CN"/>
        </w:rPr>
        <w:t>坚持道德为媒。</w:t>
      </w:r>
      <w:r>
        <w:rPr>
          <w:rFonts w:hint="eastAsia" w:ascii="仿宋" w:hAnsi="仿宋" w:eastAsia="仿宋" w:cs="仿宋"/>
          <w:color w:val="auto"/>
          <w:szCs w:val="30"/>
          <w:highlight w:val="none"/>
          <w:lang w:val="zh-CN"/>
        </w:rPr>
        <w:t>建立道德激励约束机制，制定村民文明行为准则和道德模范评选标准，广泛开展“优秀家训、家规进万家”活动、“德孝文化”五进活动以及好媳妇、好儿女、好公婆等评选表彰活动，开展寻找最美乡村教师、文艺工作者、工匠、医生、村官、家庭等活动。</w:t>
      </w:r>
      <w:r>
        <w:rPr>
          <w:rFonts w:hint="eastAsia" w:ascii="仿宋" w:hAnsi="仿宋" w:eastAsia="仿宋" w:cs="仿宋"/>
          <w:color w:val="auto"/>
          <w:kern w:val="0"/>
          <w:szCs w:val="30"/>
          <w:highlight w:val="none"/>
          <w:shd w:val="clear" w:color="auto" w:fill="FFFFFF"/>
          <w:lang w:bidi="ar"/>
        </w:rPr>
        <w:t>形成“治理有效”共建共享的乡村文明新秩序，打造充满活力、和谐有序的善治乡村</w:t>
      </w:r>
      <w:r>
        <w:rPr>
          <w:rFonts w:hint="eastAsia" w:ascii="仿宋" w:hAnsi="仿宋" w:eastAsia="仿宋" w:cs="仿宋"/>
          <w:color w:val="auto"/>
          <w:kern w:val="0"/>
          <w:szCs w:val="30"/>
          <w:highlight w:val="none"/>
          <w:shd w:val="clear" w:color="auto" w:fill="FFFFFF"/>
          <w:lang w:eastAsia="zh-CN" w:bidi="ar"/>
        </w:rPr>
        <w:t>。</w:t>
      </w:r>
    </w:p>
    <w:p w14:paraId="36120602">
      <w:pPr>
        <w:pStyle w:val="29"/>
        <w:keepNext w:val="0"/>
        <w:keepLines w:val="0"/>
        <w:pageBreakBefore w:val="0"/>
        <w:widowControl w:val="0"/>
        <w:kinsoku/>
        <w:wordWrap/>
        <w:overflowPunct/>
        <w:topLinePunct w:val="0"/>
        <w:autoSpaceDE/>
        <w:autoSpaceDN/>
        <w:bidi w:val="0"/>
        <w:adjustRightInd/>
        <w:snapToGrid/>
        <w:spacing w:line="666" w:lineRule="exact"/>
        <w:ind w:firstLine="602"/>
        <w:jc w:val="both"/>
        <w:textAlignment w:val="auto"/>
        <w:rPr>
          <w:rFonts w:hint="eastAsia" w:ascii="仿宋" w:hAnsi="仿宋" w:eastAsia="仿宋" w:cs="仿宋"/>
          <w:b/>
          <w:bCs/>
          <w:color w:val="auto"/>
          <w:highlight w:val="none"/>
        </w:rPr>
      </w:pPr>
      <w:r>
        <w:rPr>
          <w:rFonts w:hint="eastAsia" w:eastAsia="楷体"/>
          <w:b/>
          <w:color w:val="auto"/>
          <w:szCs w:val="30"/>
          <w:highlight w:val="none"/>
        </w:rPr>
        <w:t>乡村人才</w:t>
      </w:r>
      <w:r>
        <w:rPr>
          <w:rFonts w:hint="eastAsia" w:eastAsia="楷体"/>
          <w:b/>
          <w:color w:val="auto"/>
          <w:szCs w:val="30"/>
          <w:highlight w:val="none"/>
          <w:lang w:val="en-US" w:eastAsia="zh-CN"/>
        </w:rPr>
        <w:t>助推</w:t>
      </w:r>
      <w:r>
        <w:rPr>
          <w:rFonts w:hint="eastAsia" w:eastAsia="楷体"/>
          <w:b/>
          <w:color w:val="auto"/>
          <w:szCs w:val="30"/>
          <w:highlight w:val="none"/>
        </w:rPr>
        <w:t>。</w:t>
      </w:r>
      <w:r>
        <w:rPr>
          <w:rFonts w:hint="eastAsia" w:ascii="仿宋" w:hAnsi="仿宋" w:eastAsia="仿宋" w:cs="仿宋"/>
          <w:bCs/>
          <w:color w:val="auto"/>
          <w:szCs w:val="30"/>
          <w:highlight w:val="none"/>
        </w:rPr>
        <w:t>加强乡村人才队伍建设，优化“三农”干部配备，</w:t>
      </w:r>
      <w:r>
        <w:rPr>
          <w:rFonts w:hint="eastAsia" w:ascii="仿宋" w:hAnsi="仿宋" w:eastAsia="仿宋" w:cs="仿宋"/>
          <w:color w:val="auto"/>
          <w:szCs w:val="30"/>
          <w:highlight w:val="none"/>
        </w:rPr>
        <w:t>全面提升基层干部领导“三农”工作的能力和责任感</w:t>
      </w:r>
      <w:r>
        <w:rPr>
          <w:rFonts w:hint="eastAsia" w:ascii="仿宋" w:hAnsi="仿宋" w:eastAsia="仿宋" w:cs="仿宋"/>
          <w:bCs/>
          <w:color w:val="auto"/>
          <w:szCs w:val="30"/>
          <w:highlight w:val="none"/>
        </w:rPr>
        <w:t>。</w:t>
      </w:r>
      <w:r>
        <w:rPr>
          <w:rFonts w:hint="eastAsia" w:ascii="仿宋" w:hAnsi="仿宋" w:eastAsia="仿宋" w:cs="仿宋"/>
          <w:color w:val="auto"/>
          <w:szCs w:val="30"/>
          <w:highlight w:val="none"/>
        </w:rPr>
        <w:t>加强农业农村人才队伍建设，</w:t>
      </w:r>
      <w:r>
        <w:rPr>
          <w:rFonts w:hint="eastAsia" w:ascii="仿宋" w:hAnsi="仿宋" w:eastAsia="仿宋" w:cs="仿宋"/>
          <w:color w:val="auto"/>
          <w:szCs w:val="30"/>
          <w:highlight w:val="none"/>
          <w:shd w:val="clear" w:color="auto" w:fill="FFFFFF"/>
        </w:rPr>
        <w:t>培养认定一批带动能力强、有一技之长的“土专家”、“田秀才”，扶持一批农业职业经理人、经纪人，培养一批技艺精湛、扎根农村、热爱乡土的乡村工匠、文化能人和非遗传承人。实施“乡贤返乡兴乡”计划，支持乡贤返乡创业兴业，强化多元主体联动，创建一批具有区域特色的返乡下乡人员创业创新园区（基地）。</w:t>
      </w:r>
      <w:r>
        <w:rPr>
          <w:rFonts w:hint="eastAsia" w:ascii="仿宋" w:hAnsi="仿宋" w:eastAsia="仿宋" w:cs="仿宋"/>
          <w:color w:val="auto"/>
          <w:highlight w:val="none"/>
        </w:rPr>
        <w:t>加强农民就业技能培训，实施新型职业农民培育工程，提升农民科技文化素质。</w:t>
      </w:r>
    </w:p>
    <w:p w14:paraId="205B4428">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color w:val="auto"/>
          <w:kern w:val="2"/>
          <w:sz w:val="32"/>
          <w:szCs w:val="30"/>
          <w:highlight w:val="none"/>
          <w:lang w:val="en-US" w:eastAsia="zh-CN" w:bidi="ar-SA"/>
        </w:rPr>
      </w:pPr>
      <w:bookmarkStart w:id="98" w:name="_Toc25438"/>
      <w:bookmarkStart w:id="99" w:name="_Toc32141"/>
      <w:r>
        <w:rPr>
          <w:rFonts w:hint="eastAsia" w:ascii="黑体" w:hAnsi="黑体" w:eastAsia="黑体" w:cs="黑体"/>
          <w:b w:val="0"/>
          <w:bCs/>
          <w:color w:val="auto"/>
          <w:kern w:val="44"/>
          <w:sz w:val="32"/>
          <w:szCs w:val="32"/>
          <w:highlight w:val="none"/>
          <w:lang w:val="en-US" w:eastAsia="zh-CN" w:bidi="ar-SA"/>
        </w:rPr>
        <w:t>第四节 持续深化农村改革</w:t>
      </w:r>
      <w:bookmarkEnd w:id="98"/>
    </w:p>
    <w:p w14:paraId="6F0BBF5C">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深化农村土地制度、农村集体产权制度改革，</w:t>
      </w:r>
      <w:r>
        <w:rPr>
          <w:rFonts w:hint="eastAsia" w:ascii="仿宋" w:hAnsi="仿宋" w:eastAsia="仿宋" w:cs="仿宋"/>
          <w:color w:val="auto"/>
          <w:highlight w:val="none"/>
        </w:rPr>
        <w:t>巩固和完善农村基本经营制度</w:t>
      </w:r>
      <w:r>
        <w:rPr>
          <w:rFonts w:hint="eastAsia" w:ascii="仿宋" w:hAnsi="仿宋" w:eastAsia="仿宋" w:cs="仿宋"/>
          <w:color w:val="auto"/>
          <w:highlight w:val="none"/>
          <w:lang w:eastAsia="zh-CN"/>
        </w:rPr>
        <w:t>，做好金融服务保障“三农”，</w:t>
      </w:r>
      <w:r>
        <w:rPr>
          <w:rFonts w:hint="eastAsia" w:ascii="仿宋" w:hAnsi="仿宋" w:eastAsia="仿宋" w:cs="仿宋"/>
          <w:color w:val="auto"/>
          <w:highlight w:val="none"/>
        </w:rPr>
        <w:t>健全促进农村集体经济发展长效机制</w:t>
      </w:r>
      <w:r>
        <w:rPr>
          <w:rFonts w:hint="eastAsia" w:ascii="仿宋" w:hAnsi="仿宋" w:eastAsia="仿宋" w:cs="仿宋"/>
          <w:color w:val="auto"/>
          <w:highlight w:val="none"/>
          <w:lang w:eastAsia="zh-CN"/>
        </w:rPr>
        <w:t>。</w:t>
      </w:r>
    </w:p>
    <w:p w14:paraId="455018F6">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rPr>
          <w:rFonts w:hint="eastAsia" w:ascii="仿宋" w:hAnsi="仿宋" w:eastAsia="仿宋" w:cs="仿宋"/>
          <w:color w:val="auto"/>
          <w:highlight w:val="none"/>
        </w:rPr>
      </w:pPr>
      <w:r>
        <w:rPr>
          <w:rFonts w:hint="eastAsia" w:eastAsia="楷体" w:cs="Times New Roman"/>
          <w:b/>
          <w:color w:val="auto"/>
          <w:kern w:val="2"/>
          <w:sz w:val="32"/>
          <w:szCs w:val="30"/>
          <w:highlight w:val="none"/>
          <w:lang w:val="en-US" w:eastAsia="zh-CN" w:bidi="ar-SA"/>
        </w:rPr>
        <w:t>落实</w:t>
      </w:r>
      <w:r>
        <w:rPr>
          <w:rFonts w:hint="eastAsia" w:ascii="Times New Roman" w:hAnsi="Times New Roman" w:eastAsia="楷体" w:cs="Times New Roman"/>
          <w:b/>
          <w:color w:val="auto"/>
          <w:kern w:val="2"/>
          <w:sz w:val="32"/>
          <w:szCs w:val="30"/>
          <w:highlight w:val="none"/>
          <w:lang w:val="en-US" w:eastAsia="zh-CN" w:bidi="ar-SA"/>
        </w:rPr>
        <w:t>土地改革</w:t>
      </w:r>
      <w:r>
        <w:rPr>
          <w:rFonts w:hint="eastAsia" w:eastAsia="楷体" w:cs="Times New Roman"/>
          <w:b/>
          <w:color w:val="auto"/>
          <w:kern w:val="2"/>
          <w:sz w:val="32"/>
          <w:szCs w:val="30"/>
          <w:highlight w:val="none"/>
          <w:lang w:val="en-US" w:eastAsia="zh-CN" w:bidi="ar-SA"/>
        </w:rPr>
        <w:t>政策</w:t>
      </w:r>
      <w:r>
        <w:rPr>
          <w:rFonts w:hint="eastAsia" w:ascii="Times New Roman" w:hAnsi="Times New Roman" w:eastAsia="楷体" w:cs="Times New Roman"/>
          <w:b/>
          <w:color w:val="auto"/>
          <w:kern w:val="2"/>
          <w:sz w:val="32"/>
          <w:szCs w:val="30"/>
          <w:highlight w:val="none"/>
          <w:lang w:val="en-US" w:eastAsia="zh-CN" w:bidi="ar-SA"/>
        </w:rPr>
        <w:t>。</w:t>
      </w:r>
      <w:r>
        <w:rPr>
          <w:rFonts w:hint="eastAsia" w:ascii="仿宋" w:hAnsi="仿宋" w:eastAsia="仿宋" w:cs="仿宋"/>
          <w:color w:val="auto"/>
          <w:highlight w:val="none"/>
          <w:lang w:val="en-US" w:eastAsia="zh-CN"/>
        </w:rPr>
        <w:t>守住土地公有制性质不改变、耕地红线不突破、农民利益不受损三条底线。</w:t>
      </w:r>
      <w:r>
        <w:rPr>
          <w:rFonts w:hint="eastAsia" w:ascii="仿宋" w:hAnsi="仿宋" w:eastAsia="仿宋" w:cs="仿宋"/>
          <w:color w:val="auto"/>
          <w:highlight w:val="none"/>
        </w:rPr>
        <w:t>落实第二轮土地承包到期后再延长三十年政策，加快培育农民合作社、家庭农场等新型农业经营主体，健全农业专业化社会化服务体系，发展多种形式适度规模经营，实现小农户和现代农业有机衔接。健全城乡统一的建设用地市场，积极探索实施农村集体经营性建设用地入市制度。</w:t>
      </w:r>
    </w:p>
    <w:p w14:paraId="5A00DEC3">
      <w:pPr>
        <w:keepNext w:val="0"/>
        <w:keepLines w:val="0"/>
        <w:pageBreakBefore w:val="0"/>
        <w:widowControl w:val="0"/>
        <w:kinsoku/>
        <w:wordWrap/>
        <w:overflowPunct/>
        <w:topLinePunct w:val="0"/>
        <w:autoSpaceDE/>
        <w:autoSpaceDN/>
        <w:bidi w:val="0"/>
        <w:adjustRightInd/>
        <w:snapToGrid/>
        <w:spacing w:line="620" w:lineRule="exact"/>
        <w:ind w:firstLine="643" w:firstLineChars="200"/>
        <w:jc w:val="both"/>
        <w:textAlignment w:val="auto"/>
        <w:rPr>
          <w:rFonts w:hint="eastAsia" w:ascii="仿宋" w:hAnsi="仿宋" w:eastAsia="仿宋" w:cs="仿宋"/>
          <w:color w:val="auto"/>
          <w:highlight w:val="none"/>
        </w:rPr>
      </w:pPr>
      <w:r>
        <w:rPr>
          <w:rFonts w:hint="eastAsia" w:ascii="Times New Roman" w:hAnsi="Times New Roman" w:eastAsia="楷体" w:cs="Times New Roman"/>
          <w:b/>
          <w:color w:val="auto"/>
          <w:kern w:val="2"/>
          <w:sz w:val="32"/>
          <w:szCs w:val="30"/>
          <w:highlight w:val="none"/>
          <w:lang w:val="en-US" w:eastAsia="zh-CN" w:bidi="ar-SA"/>
        </w:rPr>
        <w:t>抓实产权改革</w:t>
      </w:r>
      <w:r>
        <w:rPr>
          <w:rFonts w:hint="eastAsia" w:eastAsia="楷体" w:cs="Times New Roman"/>
          <w:b/>
          <w:color w:val="auto"/>
          <w:kern w:val="2"/>
          <w:sz w:val="32"/>
          <w:szCs w:val="30"/>
          <w:highlight w:val="none"/>
          <w:lang w:val="en-US" w:eastAsia="zh-CN" w:bidi="ar-SA"/>
        </w:rPr>
        <w:t>制度</w:t>
      </w:r>
      <w:r>
        <w:rPr>
          <w:rFonts w:hint="eastAsia" w:ascii="Times New Roman" w:hAnsi="Times New Roman" w:eastAsia="楷体" w:cs="Times New Roman"/>
          <w:b/>
          <w:color w:val="auto"/>
          <w:kern w:val="2"/>
          <w:sz w:val="32"/>
          <w:szCs w:val="30"/>
          <w:highlight w:val="none"/>
          <w:lang w:val="en-US" w:eastAsia="zh-CN" w:bidi="ar-SA"/>
        </w:rPr>
        <w:t>。</w:t>
      </w:r>
      <w:r>
        <w:rPr>
          <w:rFonts w:hint="eastAsia" w:ascii="仿宋" w:hAnsi="仿宋" w:eastAsia="仿宋" w:cs="仿宋"/>
          <w:color w:val="auto"/>
          <w:highlight w:val="none"/>
        </w:rPr>
        <w:t>探索宅基地所有权、资格权、使用权分置实现形式。</w:t>
      </w:r>
      <w:r>
        <w:rPr>
          <w:rFonts w:hint="eastAsia" w:ascii="仿宋" w:hAnsi="仿宋" w:eastAsia="仿宋" w:cs="仿宋"/>
          <w:color w:val="auto"/>
          <w:highlight w:val="none"/>
          <w:lang w:eastAsia="zh-CN"/>
        </w:rPr>
        <w:t>深入推进国家宅基地制度改革试点和供销合作社综合改革，完善农民新建房宅基地审批机制，开展城乡合作建房、农宅合作社改革试点。</w:t>
      </w:r>
      <w:r>
        <w:rPr>
          <w:rFonts w:hint="eastAsia" w:ascii="仿宋" w:hAnsi="仿宋" w:eastAsia="仿宋" w:cs="仿宋"/>
          <w:color w:val="auto"/>
          <w:highlight w:val="none"/>
        </w:rPr>
        <w:t>保障进城落户农民土地承包权、宅基地使用权、集体收益分配权，鼓励依法自愿有偿转让。构建归属清晰、权能完整、流转顺畅、保护严格的农村集体产权制度，建立健全促进农村集体经济发展长效机制，加强集体资产运行管理监督，落实集体收益分配机制，健全完善登记制度，巩固已有确权成果。</w:t>
      </w:r>
    </w:p>
    <w:p w14:paraId="532B9F9E">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color w:val="auto"/>
          <w:highlight w:val="none"/>
        </w:rPr>
      </w:pPr>
      <w:r>
        <w:rPr>
          <w:rFonts w:hint="eastAsia" w:ascii="Times New Roman" w:hAnsi="Times New Roman" w:eastAsia="楷体" w:cs="Times New Roman"/>
          <w:b/>
          <w:color w:val="auto"/>
          <w:kern w:val="2"/>
          <w:sz w:val="32"/>
          <w:szCs w:val="30"/>
          <w:highlight w:val="none"/>
          <w:lang w:val="en-US" w:eastAsia="zh-CN" w:bidi="ar-SA"/>
        </w:rPr>
        <w:t>做好金融服务保障。</w:t>
      </w:r>
      <w:r>
        <w:rPr>
          <w:rFonts w:hint="eastAsia" w:ascii="仿宋" w:hAnsi="仿宋" w:eastAsia="仿宋" w:cs="仿宋"/>
          <w:color w:val="auto"/>
          <w:highlight w:val="none"/>
        </w:rPr>
        <w:t>健全农业信贷担保费率补助和以奖代补机制，完善农业保险政策，推进稻谷、玉米成本保险和收入保险试点，扩大农业大灾保险试点。打通金融服务“三农”各个环节，切实降低“三农”信贷担保服务门槛，鼓励银行业金融机构加大对乡村振兴中长期信贷支持力度。持续深化供销社综合改革，完善体制机制，加快推动供销社成为服务农民生产生活的综合平台。</w:t>
      </w:r>
    </w:p>
    <w:p w14:paraId="1396B075">
      <w:pPr>
        <w:pStyle w:val="4"/>
        <w:keepNext/>
        <w:keepLines/>
        <w:pageBreakBefore w:val="0"/>
        <w:widowControl w:val="0"/>
        <w:kinsoku/>
        <w:wordWrap/>
        <w:overflowPunct/>
        <w:topLinePunct w:val="0"/>
        <w:autoSpaceDE/>
        <w:autoSpaceDN/>
        <w:bidi w:val="0"/>
        <w:adjustRightInd/>
        <w:snapToGrid/>
        <w:spacing w:before="100" w:after="100" w:line="600" w:lineRule="exact"/>
        <w:jc w:val="center"/>
        <w:textAlignment w:val="auto"/>
        <w:rPr>
          <w:rFonts w:hint="eastAsia" w:ascii="黑体" w:hAnsi="黑体" w:eastAsia="黑体" w:cs="黑体"/>
          <w:b w:val="0"/>
          <w:bCs/>
          <w:color w:val="auto"/>
          <w:highlight w:val="none"/>
        </w:rPr>
      </w:pPr>
      <w:bookmarkStart w:id="100" w:name="_Toc5626"/>
      <w:r>
        <w:rPr>
          <w:rFonts w:hint="eastAsia" w:ascii="黑体" w:hAnsi="黑体" w:eastAsia="黑体" w:cs="黑体"/>
          <w:b w:val="0"/>
          <w:bCs/>
          <w:color w:val="auto"/>
          <w:kern w:val="44"/>
          <w:sz w:val="32"/>
          <w:szCs w:val="32"/>
          <w:highlight w:val="none"/>
          <w:lang w:val="en-US" w:eastAsia="zh-CN" w:bidi="ar-SA"/>
        </w:rPr>
        <w:t>第五节 促进城乡融合发展</w:t>
      </w:r>
      <w:bookmarkEnd w:id="99"/>
      <w:bookmarkEnd w:id="100"/>
    </w:p>
    <w:p w14:paraId="52867C7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加强城乡统筹</w:t>
      </w:r>
      <w:r>
        <w:rPr>
          <w:rFonts w:hint="eastAsia" w:ascii="仿宋" w:hAnsi="仿宋" w:eastAsia="仿宋" w:cs="仿宋"/>
          <w:color w:val="auto"/>
          <w:highlight w:val="none"/>
          <w:lang w:eastAsia="zh-CN"/>
        </w:rPr>
        <w:t>，推动农业转移人口市民化，</w:t>
      </w:r>
      <w:r>
        <w:rPr>
          <w:rFonts w:hint="eastAsia" w:ascii="仿宋" w:hAnsi="仿宋" w:eastAsia="仿宋" w:cs="仿宋"/>
          <w:color w:val="auto"/>
          <w:highlight w:val="none"/>
        </w:rPr>
        <w:t>健全城乡发展一体化体制机制</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逐步缩小城乡差距。</w:t>
      </w:r>
    </w:p>
    <w:p w14:paraId="1DC6AF8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35"/>
          <w:rFonts w:hint="eastAsia" w:ascii="仿宋" w:hAnsi="仿宋" w:eastAsia="仿宋" w:cs="仿宋"/>
          <w:color w:val="auto"/>
          <w:sz w:val="32"/>
          <w:highlight w:val="none"/>
        </w:rPr>
      </w:pPr>
      <w:r>
        <w:rPr>
          <w:rFonts w:hint="eastAsia" w:ascii="Times New Roman" w:hAnsi="Times New Roman" w:eastAsia="楷体" w:cs="Times New Roman"/>
          <w:b/>
          <w:color w:val="auto"/>
          <w:kern w:val="2"/>
          <w:sz w:val="32"/>
          <w:szCs w:val="30"/>
          <w:highlight w:val="none"/>
          <w:lang w:val="en-US" w:eastAsia="zh-CN" w:bidi="ar-SA"/>
        </w:rPr>
        <w:t>推动农业转移人口市民化。</w:t>
      </w:r>
      <w:r>
        <w:rPr>
          <w:rFonts w:hint="eastAsia" w:ascii="仿宋" w:hAnsi="仿宋" w:eastAsia="仿宋" w:cs="仿宋"/>
          <w:color w:val="auto"/>
          <w:highlight w:val="none"/>
        </w:rPr>
        <w:t>建立归属清晰、权责明确、保护严格、流转顺畅的现代农村产权制度，让农民的各项权益不因居住地、职业的改变而受到侵害，完善征地程序，解决好被征地农民的就业和社会保障问题。建立健全以合法稳定就业和合法稳定住所（含租赁）为户口迁移基本条件、以经常居住地登记户口为基本形式、城乡统一的新型户籍制度，推动城镇基本公共服务逐级赋权，居住证持有人享有与当地户籍人口同等的劳动就业、基本公共教育、基本医疗卫生服务、计划生育服务、公共文化服务、证照办理服务等权利，以连续居住年限和参加社会保险年限等为条件，逐步享有与当地户籍人口同等的中等职业教育资助、就业扶持、住房保障、养老服务、社会福利、社会救助等权利。完善农业转移人口社会参与机制，鼓励农业转移人口参与社区公共活动、建设和管理，加强对农业转移人口及其随迁家属的人文关怀，丰富精神文化生活，增强责任感、认同感和归属感。</w:t>
      </w:r>
    </w:p>
    <w:p w14:paraId="4806363B">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color w:val="auto"/>
          <w:highlight w:val="none"/>
        </w:rPr>
      </w:pPr>
      <w:r>
        <w:rPr>
          <w:rFonts w:hint="eastAsia" w:ascii="Times New Roman" w:hAnsi="Times New Roman" w:eastAsia="楷体" w:cs="Times New Roman"/>
          <w:b/>
          <w:color w:val="auto"/>
          <w:kern w:val="2"/>
          <w:sz w:val="32"/>
          <w:szCs w:val="30"/>
          <w:highlight w:val="none"/>
          <w:lang w:val="en-US" w:eastAsia="zh-CN" w:bidi="ar-SA"/>
        </w:rPr>
        <w:t>统筹</w:t>
      </w:r>
      <w:r>
        <w:rPr>
          <w:rFonts w:ascii="Times New Roman" w:hAnsi="Times New Roman" w:eastAsia="楷体" w:cs="Times New Roman"/>
          <w:b/>
          <w:color w:val="auto"/>
          <w:kern w:val="2"/>
          <w:sz w:val="32"/>
          <w:szCs w:val="30"/>
          <w:highlight w:val="none"/>
          <w:lang w:val="en-US" w:eastAsia="zh-CN" w:bidi="ar-SA"/>
        </w:rPr>
        <w:t>城乡一体化发展。</w:t>
      </w:r>
      <w:r>
        <w:rPr>
          <w:rFonts w:hint="eastAsia" w:ascii="仿宋" w:hAnsi="仿宋" w:eastAsia="仿宋" w:cs="仿宋"/>
          <w:color w:val="auto"/>
          <w:highlight w:val="none"/>
        </w:rPr>
        <w:t>按照城乡规划同编、设施同建、产业同兴、环境同治、成果同享等理念，健全城乡发展一体化体制机制，促进城乡要素平等交换、合理配置，实现基本公共服务均等化。突出抓好主城区、中心镇、中心村和城乡结合部“四个节点”，以点带线、以线促面，加快城乡一体化进程。大力推动公共财政向农村倾斜、基础设施向农村延伸、生产要素向农村流动、公共服务向农村拓展，逐步建立城乡一体化的产业发展、基础设施、公共服务、社会管理和长效保障体系，不断缩小城乡发展差距，实现城乡良性互动、协调发展。</w:t>
      </w:r>
    </w:p>
    <w:p w14:paraId="73BCC275">
      <w:pPr>
        <w:pStyle w:val="4"/>
        <w:keepNext/>
        <w:keepLines/>
        <w:pageBreakBefore w:val="0"/>
        <w:widowControl w:val="0"/>
        <w:kinsoku/>
        <w:wordWrap/>
        <w:overflowPunct/>
        <w:topLinePunct w:val="0"/>
        <w:autoSpaceDE/>
        <w:autoSpaceDN/>
        <w:bidi w:val="0"/>
        <w:adjustRightInd/>
        <w:snapToGrid/>
        <w:spacing w:before="100" w:after="100" w:line="600" w:lineRule="exact"/>
        <w:jc w:val="center"/>
        <w:textAlignment w:val="auto"/>
        <w:rPr>
          <w:rFonts w:hint="eastAsia" w:ascii="黑体" w:hAnsi="黑体" w:eastAsia="黑体" w:cs="黑体"/>
          <w:b w:val="0"/>
          <w:bCs/>
          <w:color w:val="auto"/>
          <w:highlight w:val="none"/>
          <w:lang w:val="en-US" w:eastAsia="zh-CN"/>
        </w:rPr>
      </w:pPr>
      <w:bookmarkStart w:id="101" w:name="_Toc17082"/>
      <w:r>
        <w:rPr>
          <w:rFonts w:hint="eastAsia" w:ascii="黑体" w:hAnsi="黑体" w:eastAsia="黑体" w:cs="黑体"/>
          <w:b w:val="0"/>
          <w:bCs/>
          <w:color w:val="auto"/>
          <w:kern w:val="44"/>
          <w:sz w:val="32"/>
          <w:szCs w:val="32"/>
          <w:highlight w:val="none"/>
          <w:lang w:val="en-US" w:eastAsia="zh-CN" w:bidi="ar-SA"/>
        </w:rPr>
        <w:t>第六节 巩固脱贫攻坚成果</w:t>
      </w:r>
      <w:bookmarkEnd w:id="101"/>
    </w:p>
    <w:p w14:paraId="53732572">
      <w:pPr>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auto"/>
          <w:highlight w:val="none"/>
          <w:lang w:val="en-US" w:eastAsia="zh-CN"/>
        </w:rPr>
      </w:pPr>
      <w:r>
        <w:rPr>
          <w:rFonts w:hint="eastAsia" w:ascii="仿宋" w:hAnsi="仿宋" w:eastAsia="仿宋" w:cs="仿宋"/>
          <w:color w:val="auto"/>
          <w:highlight w:val="none"/>
          <w:lang w:val="en-US" w:eastAsia="zh-CN"/>
        </w:rPr>
        <w:t>健全促进乡村振兴的体制机制，建立</w:t>
      </w:r>
      <w:r>
        <w:rPr>
          <w:rFonts w:hint="eastAsia" w:ascii="仿宋" w:hAnsi="仿宋" w:eastAsia="仿宋" w:cs="仿宋"/>
          <w:b w:val="0"/>
          <w:bCs/>
          <w:color w:val="auto"/>
          <w:kern w:val="2"/>
          <w:sz w:val="32"/>
          <w:szCs w:val="30"/>
          <w:highlight w:val="none"/>
          <w:lang w:val="en-US" w:eastAsia="zh-CN" w:bidi="ar-SA"/>
        </w:rPr>
        <w:t>防返贫长效机制，巩固脱贫攻坚成果同乡村振兴有机衔接</w:t>
      </w:r>
      <w:r>
        <w:rPr>
          <w:rFonts w:hint="eastAsia" w:ascii="仿宋" w:hAnsi="仿宋" w:eastAsia="仿宋" w:cs="仿宋"/>
          <w:b w:val="0"/>
          <w:bCs/>
          <w:color w:val="auto"/>
          <w:sz w:val="32"/>
          <w:szCs w:val="32"/>
          <w:highlight w:val="none"/>
          <w:lang w:eastAsia="zh-CN"/>
        </w:rPr>
        <w:t>。</w:t>
      </w:r>
    </w:p>
    <w:p w14:paraId="06DBD0E7">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color w:val="auto"/>
          <w:highlight w:val="none"/>
        </w:rPr>
      </w:pPr>
      <w:r>
        <w:rPr>
          <w:rFonts w:hint="eastAsia" w:eastAsia="楷体" w:cs="Times New Roman"/>
          <w:b/>
          <w:bCs w:val="0"/>
          <w:color w:val="auto"/>
          <w:kern w:val="2"/>
          <w:sz w:val="32"/>
          <w:szCs w:val="30"/>
          <w:highlight w:val="none"/>
          <w:lang w:val="en-US" w:eastAsia="zh-CN" w:bidi="ar-SA"/>
        </w:rPr>
        <w:t>巩固</w:t>
      </w:r>
      <w:r>
        <w:rPr>
          <w:rFonts w:hint="eastAsia" w:ascii="Times New Roman" w:hAnsi="Times New Roman" w:eastAsia="楷体" w:cs="Times New Roman"/>
          <w:b/>
          <w:bCs w:val="0"/>
          <w:color w:val="auto"/>
          <w:kern w:val="2"/>
          <w:sz w:val="32"/>
          <w:szCs w:val="30"/>
          <w:highlight w:val="none"/>
          <w:lang w:val="en-US" w:eastAsia="zh-CN" w:bidi="ar-SA"/>
        </w:rPr>
        <w:t>脱贫攻坚</w:t>
      </w:r>
      <w:r>
        <w:rPr>
          <w:rFonts w:hint="eastAsia" w:eastAsia="楷体" w:cs="Times New Roman"/>
          <w:b/>
          <w:bCs w:val="0"/>
          <w:color w:val="auto"/>
          <w:kern w:val="2"/>
          <w:sz w:val="32"/>
          <w:szCs w:val="30"/>
          <w:highlight w:val="none"/>
          <w:lang w:val="en-US" w:eastAsia="zh-CN" w:bidi="ar-SA"/>
        </w:rPr>
        <w:t>成果同</w:t>
      </w:r>
      <w:r>
        <w:rPr>
          <w:rFonts w:hint="eastAsia" w:ascii="Times New Roman" w:hAnsi="Times New Roman" w:eastAsia="楷体" w:cs="Times New Roman"/>
          <w:b/>
          <w:bCs w:val="0"/>
          <w:color w:val="auto"/>
          <w:kern w:val="2"/>
          <w:sz w:val="32"/>
          <w:szCs w:val="30"/>
          <w:highlight w:val="none"/>
          <w:lang w:val="en-US" w:eastAsia="zh-CN" w:bidi="ar-SA"/>
        </w:rPr>
        <w:t>乡村振兴有机衔接</w:t>
      </w:r>
      <w:r>
        <w:rPr>
          <w:rFonts w:hint="eastAsia" w:ascii="FangSong_GB2312" w:hAnsi="FangSong_GB2312" w:eastAsia="宋体" w:cs="FangSong_GB2312"/>
          <w:b/>
          <w:bCs w:val="0"/>
          <w:color w:val="auto"/>
          <w:sz w:val="32"/>
          <w:szCs w:val="32"/>
          <w:highlight w:val="none"/>
          <w:lang w:eastAsia="zh-CN"/>
        </w:rPr>
        <w:t>。</w:t>
      </w:r>
      <w:r>
        <w:rPr>
          <w:rFonts w:hint="eastAsia" w:ascii="仿宋" w:hAnsi="仿宋" w:eastAsia="仿宋" w:cs="仿宋"/>
          <w:color w:val="auto"/>
          <w:highlight w:val="none"/>
          <w:lang w:val="en-US" w:eastAsia="zh-CN"/>
        </w:rPr>
        <w:t>不断健全促进乡村振兴的体制机制，巩固脱贫攻坚成果，做强做大</w:t>
      </w:r>
      <w:r>
        <w:rPr>
          <w:rFonts w:hint="eastAsia" w:ascii="仿宋" w:hAnsi="仿宋" w:eastAsia="仿宋" w:cs="仿宋"/>
          <w:color w:val="auto"/>
          <w:highlight w:val="none"/>
          <w:lang w:eastAsia="zh-CN"/>
        </w:rPr>
        <w:t>县域特色产业，</w:t>
      </w:r>
      <w:r>
        <w:rPr>
          <w:rFonts w:hint="eastAsia" w:ascii="仿宋" w:hAnsi="仿宋" w:eastAsia="仿宋" w:cs="仿宋"/>
          <w:color w:val="auto"/>
          <w:highlight w:val="none"/>
          <w:lang w:val="en-US" w:eastAsia="zh-CN"/>
        </w:rPr>
        <w:t>不断</w:t>
      </w:r>
      <w:r>
        <w:rPr>
          <w:rFonts w:hint="eastAsia" w:ascii="仿宋" w:hAnsi="仿宋" w:eastAsia="仿宋" w:cs="仿宋"/>
          <w:color w:val="auto"/>
          <w:highlight w:val="none"/>
          <w:lang w:eastAsia="zh-CN"/>
        </w:rPr>
        <w:t>延伸产业链条。</w:t>
      </w:r>
      <w:r>
        <w:rPr>
          <w:rFonts w:hint="eastAsia" w:ascii="仿宋" w:hAnsi="仿宋" w:eastAsia="仿宋" w:cs="仿宋"/>
          <w:color w:val="auto"/>
          <w:highlight w:val="none"/>
        </w:rPr>
        <w:t>鼓励</w:t>
      </w:r>
      <w:r>
        <w:rPr>
          <w:rFonts w:hint="eastAsia" w:ascii="仿宋" w:hAnsi="仿宋" w:eastAsia="仿宋" w:cs="仿宋"/>
          <w:color w:val="auto"/>
          <w:highlight w:val="none"/>
          <w:lang w:eastAsia="zh-CN"/>
        </w:rPr>
        <w:t>和支持</w:t>
      </w:r>
      <w:r>
        <w:rPr>
          <w:rFonts w:hint="eastAsia" w:ascii="仿宋" w:hAnsi="仿宋" w:eastAsia="仿宋" w:cs="仿宋"/>
          <w:color w:val="auto"/>
          <w:highlight w:val="none"/>
        </w:rPr>
        <w:t>符合条件的企业和个体经济组织建设扶贫车间</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充分发挥“一乡一商会”内联外引扶贫车间</w:t>
      </w:r>
      <w:r>
        <w:rPr>
          <w:rFonts w:hint="eastAsia" w:ascii="仿宋" w:hAnsi="仿宋" w:eastAsia="仿宋" w:cs="仿宋"/>
          <w:color w:val="auto"/>
          <w:highlight w:val="none"/>
          <w:lang w:eastAsia="zh-CN"/>
        </w:rPr>
        <w:t>和</w:t>
      </w:r>
      <w:r>
        <w:rPr>
          <w:rFonts w:hint="eastAsia" w:ascii="仿宋" w:hAnsi="仿宋" w:eastAsia="仿宋" w:cs="仿宋"/>
          <w:color w:val="auto"/>
          <w:highlight w:val="none"/>
        </w:rPr>
        <w:t>扶贫车间在吸纳富余劳动力就近就地就业、稳定增收致富中的重要作用，出台培育扶持扶贫车间发展壮大的政策措施。培养致富带头人，加快村级产业发展助力扶贫车间持续稳定巩固提升脱贫质效，大力推进消费扶贫工作，增强贫困地区“造血”功能，激发乡村内生发展动力。</w:t>
      </w:r>
    </w:p>
    <w:p w14:paraId="4D841451">
      <w:pPr>
        <w:keepNext w:val="0"/>
        <w:keepLines w:val="0"/>
        <w:pageBreakBefore w:val="0"/>
        <w:widowControl w:val="0"/>
        <w:kinsoku/>
        <w:wordWrap/>
        <w:overflowPunct/>
        <w:topLinePunct w:val="0"/>
        <w:autoSpaceDE/>
        <w:autoSpaceDN/>
        <w:bidi w:val="0"/>
        <w:adjustRightInd/>
        <w:snapToGrid/>
        <w:spacing w:after="157" w:afterLines="50" w:line="600" w:lineRule="exact"/>
        <w:ind w:firstLine="643" w:firstLineChars="200"/>
        <w:jc w:val="both"/>
        <w:textAlignment w:val="auto"/>
        <w:rPr>
          <w:rFonts w:hint="eastAsia" w:ascii="仿宋" w:hAnsi="仿宋" w:eastAsia="仿宋" w:cs="仿宋"/>
          <w:color w:val="auto"/>
          <w:highlight w:val="none"/>
        </w:rPr>
      </w:pPr>
      <w:r>
        <w:rPr>
          <w:rFonts w:hint="eastAsia" w:eastAsia="楷体" w:cs="Times New Roman"/>
          <w:b/>
          <w:bCs w:val="0"/>
          <w:color w:val="auto"/>
          <w:kern w:val="2"/>
          <w:sz w:val="32"/>
          <w:szCs w:val="30"/>
          <w:highlight w:val="none"/>
          <w:lang w:val="en-US" w:eastAsia="zh-CN" w:bidi="ar-SA"/>
        </w:rPr>
        <w:t>健全防返贫长效机制。</w:t>
      </w:r>
      <w:r>
        <w:rPr>
          <w:rFonts w:hint="eastAsia" w:ascii="仿宋" w:hAnsi="仿宋" w:eastAsia="仿宋" w:cs="仿宋"/>
          <w:color w:val="auto"/>
          <w:highlight w:val="none"/>
        </w:rPr>
        <w:t>严格落实“四个不摘”要求，持续推进“四个只增不减”，</w:t>
      </w:r>
      <w:r>
        <w:rPr>
          <w:rFonts w:hint="eastAsia" w:ascii="仿宋" w:hAnsi="仿宋" w:eastAsia="仿宋" w:cs="仿宋"/>
          <w:color w:val="auto"/>
          <w:highlight w:val="none"/>
          <w:lang w:eastAsia="zh-CN"/>
        </w:rPr>
        <w:t>拓展建立巩固扩展脱贫攻坚成果和防治返贫监测帮扶长效机制，推动政策定位由脱贫攻坚期阶段性行动，向乡村振兴战略常态化政策方向提档升级，促进已脱贫人口持续稳定增收。</w:t>
      </w:r>
      <w:r>
        <w:rPr>
          <w:rFonts w:hint="eastAsia" w:ascii="仿宋" w:hAnsi="仿宋" w:eastAsia="仿宋" w:cs="仿宋"/>
          <w:color w:val="auto"/>
          <w:highlight w:val="none"/>
        </w:rPr>
        <w:t>继续实行动态管理常态化，将脱贫不稳定户和边缘易致贫户纳入常态化管理，实行跟踪监测，做好</w:t>
      </w:r>
      <w:r>
        <w:rPr>
          <w:rFonts w:hint="eastAsia" w:ascii="仿宋" w:hAnsi="仿宋" w:eastAsia="仿宋" w:cs="仿宋"/>
          <w:color w:val="auto"/>
          <w:highlight w:val="none"/>
          <w:lang w:eastAsia="zh-CN"/>
        </w:rPr>
        <w:t>易</w:t>
      </w:r>
      <w:r>
        <w:rPr>
          <w:rFonts w:hint="eastAsia" w:ascii="仿宋" w:hAnsi="仿宋" w:eastAsia="仿宋" w:cs="仿宋"/>
          <w:color w:val="auto"/>
          <w:highlight w:val="none"/>
        </w:rPr>
        <w:t>地扶贫搬迁后续帮扶工作。</w:t>
      </w:r>
      <w:r>
        <w:rPr>
          <w:rFonts w:hint="eastAsia" w:ascii="仿宋" w:hAnsi="仿宋" w:eastAsia="仿宋" w:cs="仿宋"/>
          <w:i w:val="0"/>
          <w:caps w:val="0"/>
          <w:color w:val="auto"/>
          <w:spacing w:val="0"/>
          <w:sz w:val="32"/>
          <w:szCs w:val="32"/>
          <w:highlight w:val="none"/>
        </w:rPr>
        <w:t>健全农村低收入人口常态化帮扶机制，分层分类做好帮扶救助，切实保障好基本生活，</w:t>
      </w:r>
      <w:r>
        <w:rPr>
          <w:rFonts w:hint="eastAsia" w:ascii="仿宋" w:hAnsi="仿宋" w:eastAsia="仿宋" w:cs="仿宋"/>
          <w:color w:val="auto"/>
          <w:highlight w:val="none"/>
          <w:lang w:eastAsia="zh-CN"/>
        </w:rPr>
        <w:t>继续</w:t>
      </w:r>
      <w:r>
        <w:rPr>
          <w:rFonts w:hint="eastAsia" w:ascii="仿宋" w:hAnsi="仿宋" w:eastAsia="仿宋" w:cs="仿宋"/>
          <w:color w:val="auto"/>
          <w:highlight w:val="none"/>
        </w:rPr>
        <w:t>选派</w:t>
      </w:r>
      <w:r>
        <w:rPr>
          <w:rFonts w:hint="eastAsia" w:ascii="仿宋" w:hAnsi="仿宋" w:eastAsia="仿宋" w:cs="仿宋"/>
          <w:color w:val="auto"/>
          <w:highlight w:val="none"/>
          <w:lang w:eastAsia="zh-CN"/>
        </w:rPr>
        <w:t>驻村</w:t>
      </w:r>
      <w:r>
        <w:rPr>
          <w:rFonts w:hint="eastAsia" w:ascii="仿宋" w:hAnsi="仿宋" w:eastAsia="仿宋" w:cs="仿宋"/>
          <w:color w:val="auto"/>
          <w:highlight w:val="none"/>
        </w:rPr>
        <w:t>第一书记</w:t>
      </w:r>
      <w:r>
        <w:rPr>
          <w:rFonts w:hint="eastAsia" w:ascii="仿宋" w:hAnsi="仿宋" w:eastAsia="仿宋" w:cs="仿宋"/>
          <w:color w:val="auto"/>
          <w:highlight w:val="none"/>
          <w:lang w:eastAsia="zh-CN"/>
        </w:rPr>
        <w:t>，完善对口帮扶机制</w:t>
      </w:r>
      <w:r>
        <w:rPr>
          <w:rFonts w:hint="eastAsia" w:ascii="仿宋" w:hAnsi="仿宋" w:eastAsia="仿宋" w:cs="仿宋"/>
          <w:color w:val="auto"/>
          <w:highlight w:val="none"/>
        </w:rPr>
        <w:t>。</w:t>
      </w:r>
      <w:bookmarkStart w:id="102" w:name="_Toc21389"/>
      <w:bookmarkStart w:id="103" w:name="_Toc1841"/>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2181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14:paraId="111F6E68">
            <w:pPr>
              <w:pageBreakBefore w:val="0"/>
              <w:widowControl w:val="0"/>
              <w:kinsoku/>
              <w:wordWrap/>
              <w:overflowPunct/>
              <w:bidi w:val="0"/>
              <w:spacing w:line="420" w:lineRule="auto"/>
              <w:jc w:val="center"/>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专栏</w:t>
            </w:r>
            <w:r>
              <w:rPr>
                <w:rFonts w:hint="eastAsia" w:ascii="宋体" w:hAnsi="宋体" w:eastAsia="宋体" w:cs="宋体"/>
                <w:b/>
                <w:bCs w:val="0"/>
                <w:color w:val="auto"/>
                <w:kern w:val="0"/>
                <w:sz w:val="28"/>
                <w:szCs w:val="28"/>
                <w:highlight w:val="none"/>
                <w:lang w:val="en-US" w:eastAsia="zh-CN"/>
              </w:rPr>
              <w:t>15</w:t>
            </w:r>
            <w:r>
              <w:rPr>
                <w:rFonts w:hint="eastAsia" w:ascii="宋体" w:hAnsi="宋体" w:eastAsia="宋体" w:cs="宋体"/>
                <w:b/>
                <w:bCs w:val="0"/>
                <w:color w:val="auto"/>
                <w:kern w:val="0"/>
                <w:sz w:val="28"/>
                <w:szCs w:val="28"/>
                <w:highlight w:val="none"/>
              </w:rPr>
              <w:t>：</w:t>
            </w:r>
            <w:r>
              <w:rPr>
                <w:rFonts w:hint="eastAsia" w:ascii="宋体" w:hAnsi="宋体" w:eastAsia="宋体" w:cs="宋体"/>
                <w:b/>
                <w:bCs w:val="0"/>
                <w:color w:val="auto"/>
                <w:kern w:val="0"/>
                <w:sz w:val="28"/>
                <w:szCs w:val="28"/>
                <w:highlight w:val="none"/>
                <w:lang w:eastAsia="zh-CN"/>
              </w:rPr>
              <w:t>农业农村发展</w:t>
            </w:r>
            <w:r>
              <w:rPr>
                <w:rFonts w:hint="eastAsia" w:ascii="宋体" w:hAnsi="宋体" w:eastAsia="宋体" w:cs="宋体"/>
                <w:b/>
                <w:bCs w:val="0"/>
                <w:color w:val="auto"/>
                <w:kern w:val="0"/>
                <w:sz w:val="28"/>
                <w:szCs w:val="28"/>
                <w:highlight w:val="none"/>
              </w:rPr>
              <w:t>重点项目</w:t>
            </w:r>
          </w:p>
        </w:tc>
      </w:tr>
      <w:tr w14:paraId="7A08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top"/>
          </w:tcPr>
          <w:p w14:paraId="48BEE559">
            <w:pPr>
              <w:keepNext w:val="0"/>
              <w:keepLines w:val="0"/>
              <w:pageBreakBefore w:val="0"/>
              <w:widowControl w:val="0"/>
              <w:kinsoku/>
              <w:wordWrap/>
              <w:overflowPunct/>
              <w:topLinePunct w:val="0"/>
              <w:autoSpaceDE/>
              <w:autoSpaceDN/>
              <w:bidi w:val="0"/>
              <w:adjustRightInd/>
              <w:snapToGrid/>
              <w:spacing w:line="486" w:lineRule="exact"/>
              <w:ind w:firstLine="562" w:firstLineChars="200"/>
              <w:jc w:val="both"/>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bCs/>
                <w:color w:val="auto"/>
                <w:sz w:val="28"/>
                <w:szCs w:val="28"/>
                <w:highlight w:val="none"/>
              </w:rPr>
              <w:t>1.种植业：</w:t>
            </w:r>
            <w:r>
              <w:rPr>
                <w:rFonts w:hint="eastAsia" w:ascii="仿宋" w:hAnsi="仿宋" w:eastAsia="仿宋" w:cs="仿宋"/>
                <w:b w:val="0"/>
                <w:bCs w:val="0"/>
                <w:color w:val="auto"/>
                <w:sz w:val="28"/>
                <w:szCs w:val="28"/>
                <w:highlight w:val="none"/>
              </w:rPr>
              <w:t>特色种植基地、油茶基地</w:t>
            </w:r>
            <w:r>
              <w:rPr>
                <w:rFonts w:hint="eastAsia" w:ascii="仿宋" w:hAnsi="仿宋" w:eastAsia="仿宋" w:cs="仿宋"/>
                <w:b w:val="0"/>
                <w:bCs w:val="0"/>
                <w:color w:val="auto"/>
                <w:sz w:val="28"/>
                <w:szCs w:val="28"/>
                <w:highlight w:val="none"/>
                <w:lang w:eastAsia="zh-CN"/>
              </w:rPr>
              <w:t>、现代种业产业园及国家级杂交水稻全程机械化制种基地建设、油菜产业、竹木产业发展项目。</w:t>
            </w:r>
          </w:p>
          <w:p w14:paraId="40B35F04">
            <w:pPr>
              <w:pStyle w:val="9"/>
              <w:keepNext w:val="0"/>
              <w:keepLines w:val="0"/>
              <w:pageBreakBefore w:val="0"/>
              <w:widowControl w:val="0"/>
              <w:kinsoku/>
              <w:wordWrap/>
              <w:overflowPunct/>
              <w:topLinePunct w:val="0"/>
              <w:autoSpaceDE/>
              <w:autoSpaceDN/>
              <w:bidi w:val="0"/>
              <w:adjustRightInd/>
              <w:snapToGrid/>
              <w:spacing w:line="486" w:lineRule="exact"/>
              <w:ind w:firstLine="562" w:firstLineChars="200"/>
              <w:jc w:val="both"/>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bCs/>
                <w:color w:val="auto"/>
                <w:kern w:val="2"/>
                <w:sz w:val="28"/>
                <w:szCs w:val="28"/>
                <w:highlight w:val="none"/>
                <w:lang w:val="en-US" w:eastAsia="zh-CN" w:bidi="ar-SA"/>
              </w:rPr>
              <w:t>2.养殖业：</w:t>
            </w:r>
            <w:r>
              <w:rPr>
                <w:rFonts w:hint="eastAsia" w:ascii="仿宋" w:hAnsi="仿宋" w:eastAsia="仿宋" w:cs="仿宋"/>
                <w:b w:val="0"/>
                <w:bCs w:val="0"/>
                <w:color w:val="auto"/>
                <w:sz w:val="28"/>
                <w:szCs w:val="28"/>
                <w:highlight w:val="none"/>
              </w:rPr>
              <w:t>温氏股份现代养殖业精准扶贫示范基地</w:t>
            </w:r>
            <w:r>
              <w:rPr>
                <w:rFonts w:hint="eastAsia" w:ascii="仿宋" w:hAnsi="仿宋" w:eastAsia="仿宋" w:cs="仿宋"/>
                <w:b w:val="0"/>
                <w:bCs w:val="0"/>
                <w:color w:val="auto"/>
                <w:sz w:val="28"/>
                <w:szCs w:val="28"/>
                <w:highlight w:val="none"/>
                <w:lang w:eastAsia="zh-CN"/>
              </w:rPr>
              <w:t>、生猪养殖项目、</w:t>
            </w:r>
            <w:r>
              <w:rPr>
                <w:rFonts w:hint="eastAsia" w:ascii="仿宋" w:hAnsi="仿宋" w:eastAsia="仿宋" w:cs="仿宋"/>
                <w:b w:val="0"/>
                <w:bCs w:val="0"/>
                <w:color w:val="auto"/>
                <w:sz w:val="28"/>
                <w:szCs w:val="28"/>
                <w:highlight w:val="none"/>
              </w:rPr>
              <w:t>铜鹅种质提升和产业化发展、优质肉牛产业发展示范工程</w:t>
            </w:r>
            <w:r>
              <w:rPr>
                <w:rFonts w:hint="eastAsia" w:ascii="仿宋" w:hAnsi="仿宋" w:eastAsia="仿宋" w:cs="仿宋"/>
                <w:b w:val="0"/>
                <w:bCs w:val="0"/>
                <w:color w:val="auto"/>
                <w:sz w:val="28"/>
                <w:szCs w:val="28"/>
                <w:highlight w:val="none"/>
                <w:lang w:eastAsia="zh-CN"/>
              </w:rPr>
              <w:t>、家家康特色农业产业园建设、养殖特色产业园。</w:t>
            </w:r>
          </w:p>
          <w:p w14:paraId="67E39D21">
            <w:pPr>
              <w:pStyle w:val="9"/>
              <w:keepNext w:val="0"/>
              <w:keepLines w:val="0"/>
              <w:pageBreakBefore w:val="0"/>
              <w:widowControl w:val="0"/>
              <w:kinsoku/>
              <w:wordWrap/>
              <w:overflowPunct/>
              <w:topLinePunct w:val="0"/>
              <w:autoSpaceDE/>
              <w:autoSpaceDN/>
              <w:bidi w:val="0"/>
              <w:adjustRightInd/>
              <w:snapToGrid/>
              <w:spacing w:line="486"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kern w:val="2"/>
                <w:sz w:val="28"/>
                <w:szCs w:val="28"/>
                <w:highlight w:val="none"/>
                <w:lang w:val="en-US" w:eastAsia="zh-CN" w:bidi="ar-SA"/>
              </w:rPr>
              <w:t>3.农产品深加工：</w:t>
            </w:r>
            <w:r>
              <w:rPr>
                <w:rFonts w:hint="eastAsia" w:ascii="仿宋" w:hAnsi="仿宋" w:eastAsia="仿宋" w:cs="仿宋"/>
                <w:b w:val="0"/>
                <w:bCs w:val="0"/>
                <w:color w:val="auto"/>
                <w:sz w:val="28"/>
                <w:szCs w:val="28"/>
                <w:highlight w:val="none"/>
              </w:rPr>
              <w:t>武冈市畜禽屠宰加工厂、优质油料加工基地、特色农产品加工。</w:t>
            </w:r>
          </w:p>
          <w:p w14:paraId="54E36D67">
            <w:pPr>
              <w:keepNext w:val="0"/>
              <w:keepLines w:val="0"/>
              <w:pageBreakBefore w:val="0"/>
              <w:widowControl w:val="0"/>
              <w:kinsoku/>
              <w:wordWrap/>
              <w:overflowPunct/>
              <w:topLinePunct w:val="0"/>
              <w:autoSpaceDE/>
              <w:autoSpaceDN/>
              <w:bidi w:val="0"/>
              <w:adjustRightInd/>
              <w:snapToGrid/>
              <w:spacing w:line="486" w:lineRule="exact"/>
              <w:ind w:firstLine="562" w:firstLineChars="200"/>
              <w:jc w:val="both"/>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bCs/>
                <w:color w:val="auto"/>
                <w:sz w:val="28"/>
                <w:szCs w:val="28"/>
                <w:highlight w:val="none"/>
              </w:rPr>
              <w:t>4.农村一二三产业融合发展：</w:t>
            </w:r>
            <w:r>
              <w:rPr>
                <w:rFonts w:hint="eastAsia" w:ascii="仿宋" w:hAnsi="仿宋" w:eastAsia="仿宋" w:cs="仿宋"/>
                <w:b w:val="0"/>
                <w:bCs w:val="0"/>
                <w:color w:val="auto"/>
                <w:sz w:val="28"/>
                <w:szCs w:val="28"/>
                <w:highlight w:val="none"/>
              </w:rPr>
              <w:t>现代农业科技园、大北农种养循环生态农业、</w:t>
            </w:r>
            <w:r>
              <w:rPr>
                <w:rFonts w:hint="eastAsia" w:ascii="仿宋" w:hAnsi="仿宋" w:eastAsia="仿宋" w:cs="仿宋"/>
                <w:b w:val="0"/>
                <w:bCs w:val="0"/>
                <w:color w:val="auto"/>
                <w:sz w:val="28"/>
                <w:szCs w:val="28"/>
                <w:highlight w:val="none"/>
                <w:lang w:eastAsia="zh-CN"/>
              </w:rPr>
              <w:t>渔业发展项目</w:t>
            </w:r>
            <w:r>
              <w:rPr>
                <w:rFonts w:hint="eastAsia" w:ascii="仿宋" w:hAnsi="仿宋" w:eastAsia="仿宋" w:cs="仿宋"/>
                <w:b w:val="0"/>
                <w:bCs w:val="0"/>
                <w:color w:val="auto"/>
                <w:sz w:val="28"/>
                <w:szCs w:val="28"/>
                <w:highlight w:val="none"/>
              </w:rPr>
              <w:t>、桑蚕种养及加工产业园建设</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大甸生态休闲农业产业园</w:t>
            </w:r>
            <w:r>
              <w:rPr>
                <w:rFonts w:hint="eastAsia" w:ascii="仿宋" w:hAnsi="仿宋" w:eastAsia="仿宋" w:cs="仿宋"/>
                <w:b w:val="0"/>
                <w:bCs w:val="0"/>
                <w:color w:val="auto"/>
                <w:sz w:val="28"/>
                <w:szCs w:val="28"/>
                <w:highlight w:val="none"/>
                <w:lang w:eastAsia="zh-CN"/>
              </w:rPr>
              <w:t>。</w:t>
            </w:r>
          </w:p>
          <w:p w14:paraId="70F4CD14">
            <w:pPr>
              <w:keepNext w:val="0"/>
              <w:keepLines w:val="0"/>
              <w:pageBreakBefore w:val="0"/>
              <w:widowControl w:val="0"/>
              <w:kinsoku/>
              <w:wordWrap/>
              <w:overflowPunct/>
              <w:topLinePunct w:val="0"/>
              <w:autoSpaceDE/>
              <w:autoSpaceDN/>
              <w:bidi w:val="0"/>
              <w:adjustRightInd/>
              <w:snapToGrid/>
              <w:spacing w:line="486" w:lineRule="exact"/>
              <w:ind w:firstLine="562" w:firstLineChars="20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5.农业基础设施：</w:t>
            </w:r>
            <w:r>
              <w:rPr>
                <w:rFonts w:hint="eastAsia" w:ascii="仿宋" w:hAnsi="仿宋" w:eastAsia="仿宋" w:cs="仿宋"/>
                <w:b w:val="0"/>
                <w:bCs w:val="0"/>
                <w:color w:val="auto"/>
                <w:sz w:val="28"/>
                <w:szCs w:val="28"/>
                <w:highlight w:val="none"/>
                <w:lang w:val="en-US" w:eastAsia="zh-CN"/>
              </w:rPr>
              <w:t>高标准农田示范工程、补充耕地、农村“空心房”整治暨城乡建设用地增减挂钩。</w:t>
            </w:r>
          </w:p>
        </w:tc>
      </w:tr>
    </w:tbl>
    <w:p w14:paraId="0C8173BD">
      <w:pPr>
        <w:pStyle w:val="3"/>
        <w:keepNext/>
        <w:keepLines/>
        <w:pageBreakBefore w:val="0"/>
        <w:widowControl w:val="0"/>
        <w:kinsoku/>
        <w:wordWrap/>
        <w:overflowPunct/>
        <w:topLinePunct w:val="0"/>
        <w:autoSpaceDE/>
        <w:autoSpaceDN/>
        <w:bidi w:val="0"/>
        <w:adjustRightInd/>
        <w:snapToGrid/>
        <w:spacing w:before="0" w:after="0" w:line="420" w:lineRule="auto"/>
        <w:jc w:val="center"/>
        <w:textAlignment w:val="auto"/>
        <w:rPr>
          <w:rFonts w:hint="eastAsia" w:ascii="黑体" w:hAnsi="黑体" w:eastAsia="黑体" w:cs="黑体"/>
          <w:bCs/>
          <w:color w:val="auto"/>
          <w:szCs w:val="32"/>
          <w:highlight w:val="none"/>
          <w:lang w:eastAsia="zh-CN"/>
        </w:rPr>
      </w:pPr>
      <w:bookmarkStart w:id="104" w:name="_Toc16748"/>
      <w:r>
        <w:rPr>
          <w:rFonts w:hint="eastAsia" w:ascii="黑体" w:hAnsi="黑体" w:eastAsia="黑体" w:cs="黑体"/>
          <w:bCs/>
          <w:color w:val="auto"/>
          <w:szCs w:val="32"/>
          <w:highlight w:val="none"/>
        </w:rPr>
        <w:t>第八章  推进新型城镇化，打造</w:t>
      </w:r>
      <w:bookmarkEnd w:id="102"/>
      <w:r>
        <w:rPr>
          <w:rFonts w:hint="eastAsia" w:ascii="黑体" w:hAnsi="黑体" w:eastAsia="黑体" w:cs="黑体"/>
          <w:bCs/>
          <w:color w:val="auto"/>
          <w:szCs w:val="32"/>
          <w:highlight w:val="none"/>
          <w:lang w:eastAsia="zh-CN"/>
        </w:rPr>
        <w:t>邵阳西部区域增长极</w:t>
      </w:r>
      <w:bookmarkEnd w:id="104"/>
    </w:p>
    <w:p w14:paraId="5128EA11">
      <w:pPr>
        <w:pStyle w:val="6"/>
        <w:pageBreakBefore w:val="0"/>
        <w:widowControl w:val="0"/>
        <w:kinsoku/>
        <w:wordWrap/>
        <w:overflowPunct/>
        <w:topLinePunct w:val="0"/>
        <w:autoSpaceDE/>
        <w:autoSpaceDN/>
        <w:bidi w:val="0"/>
        <w:adjustRightInd/>
        <w:snapToGrid/>
        <w:spacing w:line="626" w:lineRule="exact"/>
        <w:jc w:val="both"/>
        <w:textAlignment w:val="auto"/>
        <w:rPr>
          <w:color w:val="auto"/>
          <w:highlight w:val="none"/>
        </w:rPr>
      </w:pPr>
      <w:r>
        <w:rPr>
          <w:rFonts w:hint="eastAsia" w:ascii="仿宋" w:hAnsi="仿宋" w:eastAsia="仿宋" w:cs="仿宋"/>
          <w:color w:val="auto"/>
          <w:kern w:val="2"/>
          <w:sz w:val="32"/>
          <w:szCs w:val="32"/>
          <w:highlight w:val="none"/>
          <w:lang w:val="en-US" w:eastAsia="zh-CN" w:bidi="ar-SA"/>
        </w:rPr>
        <w:t>坚持以人为核心，以</w:t>
      </w:r>
      <w:r>
        <w:rPr>
          <w:rFonts w:hint="eastAsia" w:ascii="仿宋" w:hAnsi="仿宋" w:eastAsia="仿宋" w:cs="仿宋"/>
          <w:color w:val="auto"/>
          <w:sz w:val="32"/>
          <w:szCs w:val="32"/>
          <w:highlight w:val="none"/>
        </w:rPr>
        <w:t>提高质量为导向</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kern w:val="2"/>
          <w:sz w:val="32"/>
          <w:szCs w:val="32"/>
          <w:highlight w:val="none"/>
          <w:lang w:val="en-US" w:eastAsia="zh-CN" w:bidi="ar-SA"/>
        </w:rPr>
        <w:t>围绕“五个中心”城市建设目标，走精明增长、内涵式发展道路，以城区为龙头、乡镇为重点、农村为基础，</w:t>
      </w:r>
      <w:r>
        <w:rPr>
          <w:rFonts w:hint="eastAsia" w:ascii="仿宋" w:hAnsi="仿宋" w:eastAsia="仿宋" w:cs="仿宋"/>
          <w:color w:val="auto"/>
          <w:highlight w:val="none"/>
          <w:lang w:val="en-US" w:eastAsia="zh-CN"/>
        </w:rPr>
        <w:t>统筹城镇发展空间结构布局</w:t>
      </w:r>
      <w:r>
        <w:rPr>
          <w:rFonts w:hint="eastAsia" w:ascii="仿宋" w:hAnsi="仿宋" w:eastAsia="仿宋" w:cs="仿宋"/>
          <w:color w:val="auto"/>
          <w:sz w:val="32"/>
          <w:szCs w:val="32"/>
          <w:highlight w:val="none"/>
        </w:rPr>
        <w:t>，推动形成主体功能分区，加快形成区域战略清晰、空间重点突出、城乡发展一体的区域发展格局。</w:t>
      </w:r>
      <w:r>
        <w:rPr>
          <w:rFonts w:hint="eastAsia" w:ascii="仿宋" w:hAnsi="仿宋" w:eastAsia="仿宋" w:cs="仿宋"/>
          <w:color w:val="auto"/>
          <w:highlight w:val="none"/>
          <w:lang w:val="en-US" w:eastAsia="zh-CN"/>
        </w:rPr>
        <w:t>提升城区发展能级，立足武冈古城焕发新面貌、新城更加宜业宜居、推进西部生态圈核心城区建设，以“五大片区”城市建设为抓手，打造湘西南明珠城市和邵阳西部生态圈中心城市</w:t>
      </w:r>
      <w:r>
        <w:rPr>
          <w:rFonts w:hint="eastAsia" w:ascii="Times New Roman" w:hAnsi="Times New Roman" w:cs="Times New Roman"/>
          <w:color w:val="auto"/>
          <w:highlight w:val="none"/>
          <w:lang w:val="en-US" w:eastAsia="zh-CN"/>
        </w:rPr>
        <w:t>。</w:t>
      </w:r>
    </w:p>
    <w:p w14:paraId="3377EDB2">
      <w:pPr>
        <w:pStyle w:val="4"/>
        <w:keepNext/>
        <w:keepLines/>
        <w:pageBreakBefore w:val="0"/>
        <w:widowControl w:val="0"/>
        <w:kinsoku/>
        <w:wordWrap/>
        <w:overflowPunct/>
        <w:topLinePunct w:val="0"/>
        <w:autoSpaceDE/>
        <w:autoSpaceDN/>
        <w:bidi w:val="0"/>
        <w:adjustRightInd/>
        <w:snapToGrid/>
        <w:spacing w:before="100" w:after="100" w:line="626" w:lineRule="exact"/>
        <w:jc w:val="center"/>
        <w:textAlignment w:val="auto"/>
        <w:rPr>
          <w:rFonts w:hint="eastAsia" w:ascii="黑体" w:hAnsi="黑体" w:eastAsia="黑体" w:cs="黑体"/>
          <w:b w:val="0"/>
          <w:bCs/>
          <w:color w:val="auto"/>
          <w:highlight w:val="none"/>
          <w:lang w:val="en-US" w:eastAsia="zh-CN"/>
        </w:rPr>
      </w:pPr>
      <w:bookmarkStart w:id="105" w:name="_Toc32370"/>
      <w:bookmarkStart w:id="106" w:name="_Toc30005"/>
      <w:r>
        <w:rPr>
          <w:rFonts w:hint="eastAsia" w:ascii="黑体" w:hAnsi="黑体" w:eastAsia="黑体" w:cs="黑体"/>
          <w:b w:val="0"/>
          <w:bCs/>
          <w:color w:val="auto"/>
          <w:kern w:val="44"/>
          <w:sz w:val="32"/>
          <w:szCs w:val="32"/>
          <w:highlight w:val="none"/>
          <w:lang w:val="en-US" w:eastAsia="zh-CN" w:bidi="ar-SA"/>
        </w:rPr>
        <w:t>第一节 对接区域发展战略</w:t>
      </w:r>
      <w:bookmarkEnd w:id="105"/>
    </w:p>
    <w:p w14:paraId="44B766FE">
      <w:pPr>
        <w:pageBreakBefore w:val="0"/>
        <w:widowControl w:val="0"/>
        <w:kinsoku/>
        <w:wordWrap/>
        <w:overflowPunct/>
        <w:topLinePunct w:val="0"/>
        <w:autoSpaceDE/>
        <w:autoSpaceDN/>
        <w:bidi w:val="0"/>
        <w:adjustRightInd/>
        <w:snapToGrid/>
        <w:spacing w:line="626" w:lineRule="exact"/>
        <w:ind w:firstLine="64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立足武冈自身资源禀赋和产业基础，积极承接粤港澳大湾区和长三角地区产业转移，深度融入大湘西、桂林两大国际旅游圈，推进飞地园区建设。</w:t>
      </w:r>
    </w:p>
    <w:p w14:paraId="79D18FDA">
      <w:pPr>
        <w:pageBreakBefore w:val="0"/>
        <w:widowControl w:val="0"/>
        <w:kinsoku/>
        <w:wordWrap/>
        <w:overflowPunct/>
        <w:topLinePunct w:val="0"/>
        <w:autoSpaceDE/>
        <w:autoSpaceDN/>
        <w:bidi w:val="0"/>
        <w:adjustRightInd/>
        <w:snapToGrid/>
        <w:spacing w:line="626" w:lineRule="exact"/>
        <w:ind w:firstLine="643" w:firstLineChars="200"/>
        <w:jc w:val="both"/>
        <w:textAlignment w:val="auto"/>
        <w:rPr>
          <w:rFonts w:hint="eastAsia" w:ascii="仿宋" w:hAnsi="仿宋" w:eastAsia="仿宋" w:cs="仿宋"/>
          <w:color w:val="auto"/>
          <w:highlight w:val="none"/>
          <w:lang w:val="en-US" w:eastAsia="zh-CN"/>
        </w:rPr>
      </w:pPr>
      <w:r>
        <w:rPr>
          <w:rFonts w:hint="eastAsia" w:ascii="楷体" w:hAnsi="楷体" w:eastAsia="楷体" w:cs="楷体"/>
          <w:b/>
          <w:bCs/>
          <w:color w:val="auto"/>
          <w:highlight w:val="none"/>
          <w:lang w:val="en-US" w:eastAsia="zh-CN"/>
        </w:rPr>
        <w:t>对接粤港澳大湾区和长三角两大经济圈，融入区域产业供应链。</w:t>
      </w:r>
      <w:r>
        <w:rPr>
          <w:rFonts w:hint="eastAsia" w:ascii="仿宋" w:hAnsi="仿宋" w:eastAsia="仿宋" w:cs="仿宋"/>
          <w:color w:val="auto"/>
          <w:highlight w:val="none"/>
          <w:lang w:val="en-US" w:eastAsia="zh-CN"/>
        </w:rPr>
        <w:t>立足武冈自身资源禀赋和产业基础，积极承接粤港澳大湾区和长三角地区产业转移，加强互利合作，努力成为区域产业供应链中的重要一环。其中战略新兴产业承接发展重点为智能制造业、电子信息产业、现代中药材产业，传统优势产业承接发展重点为现代农业、农产品深加工和食品制造业、新型建材产业，现代服务业承接发展重点为文化旅游、现代物流、健康养老。</w:t>
      </w:r>
    </w:p>
    <w:p w14:paraId="27F4881E">
      <w:pPr>
        <w:pageBreakBefore w:val="0"/>
        <w:widowControl w:val="0"/>
        <w:kinsoku/>
        <w:wordWrap/>
        <w:overflowPunct/>
        <w:topLinePunct w:val="0"/>
        <w:autoSpaceDE/>
        <w:autoSpaceDN/>
        <w:bidi w:val="0"/>
        <w:adjustRightInd/>
        <w:snapToGrid/>
        <w:spacing w:line="626" w:lineRule="exact"/>
        <w:ind w:firstLine="643" w:firstLineChars="200"/>
        <w:jc w:val="both"/>
        <w:textAlignment w:val="auto"/>
        <w:rPr>
          <w:rFonts w:hint="eastAsia" w:ascii="仿宋" w:hAnsi="仿宋" w:eastAsia="仿宋" w:cs="仿宋"/>
          <w:color w:val="auto"/>
          <w:sz w:val="32"/>
          <w:szCs w:val="32"/>
          <w:highlight w:val="none"/>
        </w:rPr>
      </w:pPr>
      <w:r>
        <w:rPr>
          <w:rFonts w:hint="eastAsia" w:ascii="Times New Roman" w:hAnsi="Times New Roman" w:eastAsia="楷体" w:cs="Times New Roman"/>
          <w:b/>
          <w:color w:val="auto"/>
          <w:kern w:val="2"/>
          <w:sz w:val="32"/>
          <w:szCs w:val="30"/>
          <w:highlight w:val="none"/>
          <w:lang w:val="en-US" w:eastAsia="zh-CN" w:bidi="ar-SA"/>
        </w:rPr>
        <w:t xml:space="preserve">对接南山与崀山两张国家级名片，融入大湘西和桂林两大国际旅游圈。 </w:t>
      </w:r>
      <w:r>
        <w:rPr>
          <w:rFonts w:hint="eastAsia" w:ascii="仿宋" w:hAnsi="仿宋" w:eastAsia="仿宋" w:cs="仿宋"/>
          <w:color w:val="auto"/>
          <w:kern w:val="0"/>
          <w:sz w:val="32"/>
          <w:szCs w:val="32"/>
          <w:highlight w:val="none"/>
          <w:lang w:val="en-US" w:eastAsia="zh-CN" w:bidi="ar"/>
        </w:rPr>
        <w:t>依托张海高铁大通道，以“千年古城、福地武冈”，携手南山、崀山组建“大崀山”旅游圈，深度融入大湘西、桂林两大国际旅游圈，加快旅游经济发展。</w:t>
      </w:r>
    </w:p>
    <w:p w14:paraId="00D28CAF">
      <w:pPr>
        <w:keepNext w:val="0"/>
        <w:keepLines w:val="0"/>
        <w:pageBreakBefore w:val="0"/>
        <w:widowControl w:val="0"/>
        <w:suppressLineNumbers w:val="0"/>
        <w:kinsoku/>
        <w:wordWrap/>
        <w:overflowPunct/>
        <w:topLinePunct w:val="0"/>
        <w:autoSpaceDE/>
        <w:autoSpaceDN/>
        <w:bidi w:val="0"/>
        <w:adjustRightInd/>
        <w:snapToGrid/>
        <w:spacing w:line="626" w:lineRule="exact"/>
        <w:ind w:firstLine="643" w:firstLineChars="200"/>
        <w:jc w:val="both"/>
        <w:textAlignment w:val="auto"/>
        <w:rPr>
          <w:rFonts w:hint="eastAsia" w:ascii="仿宋" w:hAnsi="仿宋" w:eastAsia="仿宋" w:cs="仿宋"/>
          <w:color w:val="auto"/>
          <w:kern w:val="0"/>
          <w:sz w:val="32"/>
          <w:szCs w:val="32"/>
          <w:highlight w:val="none"/>
          <w:lang w:val="en-US" w:eastAsia="zh-CN" w:bidi="ar"/>
        </w:rPr>
      </w:pPr>
      <w:r>
        <w:rPr>
          <w:rFonts w:hint="eastAsia" w:ascii="Times New Roman" w:hAnsi="Times New Roman" w:eastAsia="楷体" w:cs="Times New Roman"/>
          <w:b/>
          <w:color w:val="auto"/>
          <w:kern w:val="2"/>
          <w:sz w:val="32"/>
          <w:szCs w:val="30"/>
          <w:highlight w:val="none"/>
          <w:lang w:val="en-US" w:eastAsia="zh-CN" w:bidi="ar-SA"/>
        </w:rPr>
        <w:t>对接长株潭与邵阳两个核心区，推进飞地</w:t>
      </w:r>
      <w:r>
        <w:rPr>
          <w:rFonts w:hint="eastAsia" w:eastAsia="楷体" w:cs="Times New Roman"/>
          <w:b/>
          <w:color w:val="auto"/>
          <w:kern w:val="2"/>
          <w:sz w:val="32"/>
          <w:szCs w:val="30"/>
          <w:highlight w:val="none"/>
          <w:lang w:val="en-US" w:eastAsia="zh-CN" w:bidi="ar-SA"/>
        </w:rPr>
        <w:t>园区建设</w:t>
      </w:r>
      <w:r>
        <w:rPr>
          <w:rFonts w:hint="eastAsia" w:ascii="Times New Roman" w:hAnsi="Times New Roman" w:eastAsia="楷体" w:cs="Times New Roman"/>
          <w:b/>
          <w:color w:val="auto"/>
          <w:kern w:val="2"/>
          <w:sz w:val="32"/>
          <w:szCs w:val="30"/>
          <w:highlight w:val="none"/>
          <w:lang w:val="en-US" w:eastAsia="zh-CN" w:bidi="ar-SA"/>
        </w:rPr>
        <w:t>。</w:t>
      </w:r>
      <w:r>
        <w:rPr>
          <w:rFonts w:hint="eastAsia" w:ascii="仿宋" w:hAnsi="仿宋" w:eastAsia="仿宋" w:cs="仿宋"/>
          <w:color w:val="auto"/>
          <w:kern w:val="0"/>
          <w:sz w:val="32"/>
          <w:szCs w:val="32"/>
          <w:highlight w:val="none"/>
          <w:lang w:val="en-US" w:eastAsia="zh-CN" w:bidi="ar"/>
        </w:rPr>
        <w:t>争取长邵城际铁路，缩短与长株潭城市群的距离，以武冈保税仓为载体融入中国（湖南）自由贸易示范区，降低外贸企业成本，建立武冈与国际市场互通平台。以湖南武冈经开区为主要载体，加强合作开发，推动长株潭在武冈建立飞地园区，互利共赢。</w:t>
      </w:r>
    </w:p>
    <w:p w14:paraId="6CD6C639">
      <w:pPr>
        <w:pStyle w:val="4"/>
        <w:keepNext/>
        <w:keepLines/>
        <w:pageBreakBefore w:val="0"/>
        <w:widowControl w:val="0"/>
        <w:kinsoku/>
        <w:wordWrap/>
        <w:overflowPunct/>
        <w:topLinePunct w:val="0"/>
        <w:autoSpaceDE/>
        <w:autoSpaceDN/>
        <w:bidi w:val="0"/>
        <w:adjustRightInd/>
        <w:snapToGrid/>
        <w:spacing w:before="100" w:after="100" w:line="626" w:lineRule="exact"/>
        <w:jc w:val="center"/>
        <w:textAlignment w:val="auto"/>
        <w:rPr>
          <w:rFonts w:hint="eastAsia" w:ascii="黑体" w:hAnsi="黑体" w:eastAsia="黑体" w:cs="黑体"/>
          <w:b w:val="0"/>
          <w:bCs/>
          <w:color w:val="auto"/>
          <w:highlight w:val="none"/>
          <w:lang w:val="en-US" w:eastAsia="zh-CN"/>
        </w:rPr>
      </w:pPr>
      <w:bookmarkStart w:id="107" w:name="_Toc1084"/>
      <w:r>
        <w:rPr>
          <w:rFonts w:hint="eastAsia" w:ascii="黑体" w:hAnsi="黑体" w:eastAsia="黑体" w:cs="黑体"/>
          <w:b w:val="0"/>
          <w:bCs/>
          <w:color w:val="auto"/>
          <w:kern w:val="44"/>
          <w:sz w:val="32"/>
          <w:szCs w:val="32"/>
          <w:highlight w:val="none"/>
          <w:lang w:val="en-US" w:eastAsia="zh-CN" w:bidi="ar-SA"/>
        </w:rPr>
        <w:t>第二节 优化国土空间格局</w:t>
      </w:r>
      <w:bookmarkEnd w:id="107"/>
    </w:p>
    <w:p w14:paraId="0D100F7A">
      <w:pPr>
        <w:pageBreakBefore w:val="0"/>
        <w:widowControl w:val="0"/>
        <w:kinsoku/>
        <w:wordWrap/>
        <w:overflowPunct/>
        <w:topLinePunct w:val="0"/>
        <w:autoSpaceDE/>
        <w:autoSpaceDN/>
        <w:bidi w:val="0"/>
        <w:adjustRightInd/>
        <w:snapToGrid/>
        <w:spacing w:line="626" w:lineRule="exact"/>
        <w:ind w:firstLine="640" w:firstLineChars="200"/>
        <w:textAlignment w:val="auto"/>
        <w:rPr>
          <w:rFonts w:ascii="宋体" w:hAnsi="宋体" w:eastAsia="FangSong_GB2312" w:cs="宋体"/>
          <w:b/>
          <w:bCs/>
          <w:color w:val="auto"/>
          <w:sz w:val="32"/>
          <w:szCs w:val="32"/>
          <w:highlight w:val="none"/>
        </w:rPr>
      </w:pPr>
      <w:r>
        <w:rPr>
          <w:rFonts w:hint="eastAsia" w:ascii="仿宋" w:hAnsi="仿宋" w:eastAsia="仿宋" w:cs="仿宋"/>
          <w:color w:val="auto"/>
          <w:sz w:val="32"/>
          <w:szCs w:val="32"/>
          <w:highlight w:val="none"/>
          <w:lang w:val="en-US" w:eastAsia="zh-CN"/>
        </w:rPr>
        <w:t>坚持规划引领，统筹一张图，布局多层次，监管多维度，</w:t>
      </w:r>
      <w:r>
        <w:rPr>
          <w:rFonts w:hint="eastAsia" w:ascii="仿宋" w:hAnsi="仿宋" w:eastAsia="仿宋" w:cs="仿宋"/>
          <w:color w:val="auto"/>
          <w:sz w:val="32"/>
          <w:szCs w:val="32"/>
          <w:highlight w:val="none"/>
        </w:rPr>
        <w:t>逐步形成城市化地区、农产品主产区、生态功能区三大空间格局，优化重大基础设施、重大生产力和公共资源布局</w:t>
      </w:r>
      <w:r>
        <w:rPr>
          <w:rFonts w:hint="eastAsia" w:ascii="宋体" w:hAnsi="宋体" w:eastAsia="FangSong_GB2312" w:cs="宋体"/>
          <w:color w:val="auto"/>
          <w:sz w:val="32"/>
          <w:szCs w:val="32"/>
          <w:highlight w:val="none"/>
        </w:rPr>
        <w:t>。</w:t>
      </w:r>
    </w:p>
    <w:p w14:paraId="71A6EB85">
      <w:pPr>
        <w:pStyle w:val="2"/>
        <w:pageBreakBefore w:val="0"/>
        <w:widowControl w:val="0"/>
        <w:kinsoku/>
        <w:wordWrap/>
        <w:overflowPunct/>
        <w:topLinePunct w:val="0"/>
        <w:autoSpaceDE/>
        <w:autoSpaceDN/>
        <w:bidi w:val="0"/>
        <w:adjustRightInd/>
        <w:snapToGrid/>
        <w:spacing w:line="626" w:lineRule="exact"/>
        <w:ind w:firstLine="643" w:firstLineChars="200"/>
        <w:textAlignment w:val="auto"/>
        <w:rPr>
          <w:rFonts w:hint="eastAsia" w:ascii="仿宋" w:hAnsi="仿宋" w:eastAsia="仿宋" w:cs="仿宋"/>
          <w:color w:val="auto"/>
          <w:kern w:val="0"/>
          <w:sz w:val="32"/>
          <w:szCs w:val="32"/>
          <w:highlight w:val="none"/>
          <w:lang w:val="en-US" w:eastAsia="zh-CN" w:bidi="ar"/>
        </w:rPr>
      </w:pPr>
      <w:r>
        <w:rPr>
          <w:rFonts w:hint="eastAsia" w:ascii="楷体" w:hAnsi="楷体" w:eastAsia="楷体" w:cs="楷体"/>
          <w:b/>
          <w:bCs/>
          <w:color w:val="auto"/>
          <w:kern w:val="2"/>
          <w:sz w:val="32"/>
          <w:szCs w:val="24"/>
          <w:highlight w:val="none"/>
          <w:lang w:val="en-US" w:eastAsia="zh-CN" w:bidi="ar-SA"/>
        </w:rPr>
        <w:t>统筹一张图。</w:t>
      </w:r>
      <w:r>
        <w:rPr>
          <w:rFonts w:hint="eastAsia" w:ascii="仿宋" w:hAnsi="仿宋" w:eastAsia="仿宋" w:cs="仿宋"/>
          <w:color w:val="auto"/>
          <w:kern w:val="0"/>
          <w:sz w:val="32"/>
          <w:szCs w:val="32"/>
          <w:highlight w:val="none"/>
          <w:lang w:val="en-US" w:eastAsia="zh-CN" w:bidi="ar"/>
        </w:rPr>
        <w:t>坚持“多规合一”，强化顶层设计，全面完成“三级三类”国土空间规划编制，科学确定国土空间开发、保护和整治的总体战略，实现主体功能区规划、土地利用规划、城乡规划有机融合。科学划定“生态保护红线、永久基本农田、城镇开发边界”三条控制线，优化资源要素利用，节约集约土地资源，统筹绘制全市国土空间发展“一张图”。</w:t>
      </w:r>
    </w:p>
    <w:p w14:paraId="3DF32317">
      <w:pPr>
        <w:pStyle w:val="2"/>
        <w:pageBreakBefore w:val="0"/>
        <w:widowControl w:val="0"/>
        <w:kinsoku/>
        <w:wordWrap/>
        <w:overflowPunct/>
        <w:topLinePunct w:val="0"/>
        <w:autoSpaceDE/>
        <w:autoSpaceDN/>
        <w:bidi w:val="0"/>
        <w:adjustRightInd/>
        <w:snapToGrid/>
        <w:spacing w:line="626" w:lineRule="exact"/>
        <w:ind w:firstLine="643" w:firstLineChars="200"/>
        <w:textAlignment w:val="auto"/>
        <w:rPr>
          <w:rFonts w:hint="eastAsia" w:ascii="仿宋" w:hAnsi="仿宋" w:eastAsia="仿宋" w:cs="仿宋"/>
          <w:color w:val="auto"/>
          <w:kern w:val="0"/>
          <w:sz w:val="32"/>
          <w:szCs w:val="32"/>
          <w:highlight w:val="none"/>
          <w:lang w:val="en-US" w:eastAsia="zh-CN" w:bidi="ar"/>
        </w:rPr>
      </w:pPr>
      <w:r>
        <w:rPr>
          <w:rFonts w:hint="eastAsia" w:ascii="楷体" w:hAnsi="楷体" w:eastAsia="楷体" w:cs="楷体"/>
          <w:b/>
          <w:bCs/>
          <w:color w:val="auto"/>
          <w:kern w:val="2"/>
          <w:sz w:val="32"/>
          <w:szCs w:val="24"/>
          <w:highlight w:val="none"/>
          <w:lang w:val="en-US" w:eastAsia="zh-CN" w:bidi="ar-SA"/>
        </w:rPr>
        <w:t>布局多层次。</w:t>
      </w:r>
      <w:r>
        <w:rPr>
          <w:rFonts w:hint="eastAsia" w:ascii="仿宋" w:hAnsi="仿宋" w:eastAsia="仿宋" w:cs="仿宋"/>
          <w:color w:val="auto"/>
          <w:kern w:val="0"/>
          <w:sz w:val="32"/>
          <w:szCs w:val="32"/>
          <w:highlight w:val="none"/>
          <w:lang w:val="en-US" w:eastAsia="zh-CN" w:bidi="ar"/>
        </w:rPr>
        <w:t>紧紧围绕湘西南明珠城市和西部生态圈中心城市建设目标，落实“生产空间集约高效、生活空间宜居适度、生态空间山清水秀”的国土空间开发格局优化要求，有序统筹布局生态、农业、城镇等功能空间，重点优化重大基础设施、重大生产力和公共资源布局。</w:t>
      </w:r>
    </w:p>
    <w:p w14:paraId="53CE4737">
      <w:pPr>
        <w:pStyle w:val="2"/>
        <w:pageBreakBefore w:val="0"/>
        <w:widowControl w:val="0"/>
        <w:kinsoku/>
        <w:wordWrap/>
        <w:overflowPunct/>
        <w:topLinePunct w:val="0"/>
        <w:autoSpaceDE/>
        <w:autoSpaceDN/>
        <w:bidi w:val="0"/>
        <w:adjustRightInd/>
        <w:snapToGrid/>
        <w:spacing w:line="626" w:lineRule="exact"/>
        <w:ind w:firstLine="643" w:firstLineChars="200"/>
        <w:textAlignment w:val="auto"/>
        <w:rPr>
          <w:rFonts w:hint="eastAsia" w:ascii="仿宋" w:hAnsi="仿宋" w:eastAsia="仿宋" w:cs="仿宋"/>
          <w:color w:val="auto"/>
          <w:kern w:val="0"/>
          <w:sz w:val="32"/>
          <w:szCs w:val="32"/>
          <w:highlight w:val="none"/>
          <w:lang w:val="en-US" w:eastAsia="zh-CN" w:bidi="ar"/>
        </w:rPr>
      </w:pPr>
      <w:r>
        <w:rPr>
          <w:rFonts w:hint="eastAsia" w:ascii="楷体" w:hAnsi="楷体" w:eastAsia="楷体" w:cs="楷体"/>
          <w:b/>
          <w:bCs/>
          <w:color w:val="auto"/>
          <w:kern w:val="2"/>
          <w:sz w:val="32"/>
          <w:szCs w:val="24"/>
          <w:highlight w:val="none"/>
          <w:lang w:val="en-US" w:eastAsia="zh-CN" w:bidi="ar-SA"/>
        </w:rPr>
        <w:t>监管多维度</w:t>
      </w:r>
      <w:r>
        <w:rPr>
          <w:rFonts w:hint="eastAsia" w:ascii="FangSong_GB2312" w:hAnsi="FangSong_GB2312" w:cs="FangSong_GB2312"/>
          <w:b/>
          <w:bCs/>
          <w:color w:val="auto"/>
          <w:kern w:val="0"/>
          <w:sz w:val="32"/>
          <w:szCs w:val="32"/>
          <w:highlight w:val="none"/>
          <w:lang w:val="en-US" w:eastAsia="zh-CN" w:bidi="ar"/>
        </w:rPr>
        <w:t>。</w:t>
      </w:r>
      <w:r>
        <w:rPr>
          <w:rFonts w:hint="eastAsia" w:ascii="仿宋" w:hAnsi="仿宋" w:eastAsia="仿宋" w:cs="仿宋"/>
          <w:color w:val="auto"/>
          <w:kern w:val="0"/>
          <w:sz w:val="32"/>
          <w:szCs w:val="32"/>
          <w:highlight w:val="none"/>
          <w:lang w:val="en-US" w:eastAsia="zh-CN" w:bidi="ar"/>
        </w:rPr>
        <w:t>在保护和开发的过程中，认真落实国土空间用途管制制度；在区域层面上，加强对各级行政区域范围内城镇建设、农业生产和生态保护三类国土空间的综合监管；在功能区层面上，加强对各类功能区内开发与保护现状的监管。在地块层面上，重视对项目落地实施情况的监管。</w:t>
      </w:r>
    </w:p>
    <w:p w14:paraId="6E8D20C7">
      <w:pPr>
        <w:pStyle w:val="4"/>
        <w:keepNext/>
        <w:keepLines/>
        <w:pageBreakBefore w:val="0"/>
        <w:widowControl w:val="0"/>
        <w:kinsoku/>
        <w:wordWrap/>
        <w:overflowPunct/>
        <w:topLinePunct w:val="0"/>
        <w:autoSpaceDE/>
        <w:autoSpaceDN/>
        <w:bidi w:val="0"/>
        <w:adjustRightInd/>
        <w:snapToGrid/>
        <w:spacing w:before="100" w:after="100" w:line="626" w:lineRule="exact"/>
        <w:jc w:val="center"/>
        <w:textAlignment w:val="auto"/>
        <w:rPr>
          <w:rFonts w:hint="eastAsia" w:ascii="黑体" w:hAnsi="黑体" w:eastAsia="黑体" w:cs="黑体"/>
          <w:b w:val="0"/>
          <w:bCs/>
          <w:color w:val="auto"/>
          <w:highlight w:val="none"/>
          <w:lang w:val="en-US" w:eastAsia="zh-CN"/>
        </w:rPr>
      </w:pPr>
      <w:bookmarkStart w:id="108" w:name="_Toc15435"/>
      <w:r>
        <w:rPr>
          <w:rFonts w:hint="eastAsia" w:ascii="黑体" w:hAnsi="黑体" w:eastAsia="黑体" w:cs="黑体"/>
          <w:b w:val="0"/>
          <w:bCs/>
          <w:color w:val="auto"/>
          <w:kern w:val="44"/>
          <w:sz w:val="32"/>
          <w:szCs w:val="32"/>
          <w:highlight w:val="none"/>
          <w:lang w:val="en-US" w:eastAsia="zh-CN" w:bidi="ar-SA"/>
        </w:rPr>
        <w:t>第三节 推进区域协调发展</w:t>
      </w:r>
      <w:bookmarkEnd w:id="108"/>
    </w:p>
    <w:p w14:paraId="2AC8EAEB">
      <w:pPr>
        <w:pageBreakBefore w:val="0"/>
        <w:widowControl w:val="0"/>
        <w:kinsoku/>
        <w:wordWrap/>
        <w:overflowPunct/>
        <w:topLinePunct w:val="0"/>
        <w:autoSpaceDE/>
        <w:autoSpaceDN/>
        <w:bidi w:val="0"/>
        <w:adjustRightInd/>
        <w:snapToGrid/>
        <w:spacing w:line="626" w:lineRule="exact"/>
        <w:ind w:firstLine="64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kern w:val="2"/>
          <w:sz w:val="32"/>
          <w:szCs w:val="24"/>
          <w:highlight w:val="none"/>
          <w:lang w:val="en-US" w:eastAsia="zh-CN" w:bidi="ar-SA"/>
        </w:rPr>
        <w:t>统筹主体功能区战略和区域发展总体战略，持续深化“一核两翼三中心镇五示范镇百特色村”城乡发展布局，</w:t>
      </w:r>
      <w:r>
        <w:rPr>
          <w:rFonts w:hint="eastAsia" w:ascii="仿宋" w:hAnsi="仿宋" w:eastAsia="仿宋" w:cs="仿宋"/>
          <w:color w:val="auto"/>
          <w:kern w:val="2"/>
          <w:sz w:val="32"/>
          <w:szCs w:val="32"/>
          <w:highlight w:val="none"/>
          <w:lang w:val="en-US" w:eastAsia="zh-CN" w:bidi="ar-SA"/>
        </w:rPr>
        <w:t>推动区域协调发展。</w:t>
      </w:r>
    </w:p>
    <w:p w14:paraId="6573C6B1">
      <w:pPr>
        <w:pageBreakBefore w:val="0"/>
        <w:widowControl w:val="0"/>
        <w:kinsoku/>
        <w:wordWrap/>
        <w:overflowPunct/>
        <w:topLinePunct w:val="0"/>
        <w:autoSpaceDE/>
        <w:autoSpaceDN/>
        <w:bidi w:val="0"/>
        <w:adjustRightInd/>
        <w:snapToGrid/>
        <w:spacing w:line="626" w:lineRule="exact"/>
        <w:ind w:firstLine="643" w:firstLineChars="200"/>
        <w:textAlignment w:val="auto"/>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“一核”</w:t>
      </w:r>
      <w:r>
        <w:rPr>
          <w:rFonts w:hint="eastAsia" w:ascii="仿宋" w:hAnsi="仿宋" w:eastAsia="仿宋" w:cs="仿宋"/>
          <w:color w:val="auto"/>
          <w:sz w:val="32"/>
          <w:szCs w:val="32"/>
          <w:highlight w:val="none"/>
        </w:rPr>
        <w:t>，指武冈市中心城区，是市域经济社会发展的主要增长极。突出中心城市的核心地位，全面提升城市要素吸引力、综合承载力和辐射带动力</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完善城市基础设施，优化公共服务功能。</w:t>
      </w:r>
    </w:p>
    <w:p w14:paraId="61D14F30">
      <w:pPr>
        <w:pageBreakBefore w:val="0"/>
        <w:widowControl w:val="0"/>
        <w:kinsoku/>
        <w:wordWrap/>
        <w:overflowPunct/>
        <w:topLinePunct w:val="0"/>
        <w:autoSpaceDE/>
        <w:autoSpaceDN/>
        <w:bidi w:val="0"/>
        <w:adjustRightInd/>
        <w:snapToGrid/>
        <w:spacing w:line="626" w:lineRule="exact"/>
        <w:ind w:firstLine="643"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b/>
          <w:bCs/>
          <w:color w:val="auto"/>
          <w:sz w:val="32"/>
          <w:szCs w:val="32"/>
          <w:highlight w:val="none"/>
        </w:rPr>
        <w:t>“两翼”</w:t>
      </w:r>
      <w:r>
        <w:rPr>
          <w:rFonts w:hint="eastAsia" w:ascii="仿宋" w:hAnsi="仿宋" w:eastAsia="仿宋" w:cs="仿宋"/>
          <w:color w:val="auto"/>
          <w:sz w:val="32"/>
          <w:szCs w:val="32"/>
          <w:highlight w:val="none"/>
        </w:rPr>
        <w:t>，一翼即东边工业园区，另一翼即西边临空经济区</w:t>
      </w:r>
      <w:r>
        <w:rPr>
          <w:rFonts w:hint="eastAsia" w:ascii="仿宋" w:hAnsi="仿宋" w:eastAsia="仿宋" w:cs="仿宋"/>
          <w:color w:val="auto"/>
          <w:sz w:val="32"/>
          <w:szCs w:val="32"/>
          <w:highlight w:val="none"/>
          <w:lang w:eastAsia="zh-CN"/>
        </w:rPr>
        <w:t>。做大做强工业园，打造先进制造业集群聚集区，依托武冈机场，建设临空经济区，打通航空物流和跨境电商，打造湘西南改革开放高地。</w:t>
      </w:r>
    </w:p>
    <w:p w14:paraId="2F487D54">
      <w:pPr>
        <w:pageBreakBefore w:val="0"/>
        <w:widowControl w:val="0"/>
        <w:kinsoku/>
        <w:wordWrap/>
        <w:overflowPunct/>
        <w:topLinePunct w:val="0"/>
        <w:autoSpaceDE/>
        <w:autoSpaceDN/>
        <w:bidi w:val="0"/>
        <w:adjustRightInd/>
        <w:snapToGrid/>
        <w:spacing w:line="626" w:lineRule="exact"/>
        <w:ind w:firstLine="643" w:firstLineChars="200"/>
        <w:textAlignment w:val="auto"/>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rPr>
        <w:t>“三中心镇”</w:t>
      </w:r>
      <w:r>
        <w:rPr>
          <w:rFonts w:hint="eastAsia" w:ascii="仿宋" w:hAnsi="仿宋" w:eastAsia="仿宋" w:cs="仿宋"/>
          <w:color w:val="auto"/>
          <w:sz w:val="32"/>
          <w:szCs w:val="32"/>
          <w:highlight w:val="none"/>
        </w:rPr>
        <w:t>，全力加快邓家铺、湾头桥、邓元泰三个中心大镇发展壮大。</w:t>
      </w:r>
      <w:r>
        <w:rPr>
          <w:rFonts w:hint="eastAsia" w:ascii="仿宋" w:hAnsi="仿宋" w:eastAsia="仿宋" w:cs="仿宋"/>
          <w:color w:val="auto"/>
          <w:sz w:val="32"/>
          <w:szCs w:val="32"/>
          <w:highlight w:val="none"/>
          <w:lang w:eastAsia="zh-CN"/>
        </w:rPr>
        <w:t>充分发挥</w:t>
      </w:r>
      <w:r>
        <w:rPr>
          <w:rFonts w:hint="eastAsia" w:ascii="仿宋" w:hAnsi="仿宋" w:eastAsia="仿宋" w:cs="仿宋"/>
          <w:color w:val="auto"/>
          <w:sz w:val="32"/>
          <w:szCs w:val="32"/>
          <w:highlight w:val="none"/>
        </w:rPr>
        <w:t>中心镇承载产业集聚、分担</w:t>
      </w:r>
      <w:r>
        <w:rPr>
          <w:rFonts w:hint="eastAsia" w:ascii="仿宋" w:hAnsi="仿宋" w:eastAsia="仿宋" w:cs="仿宋"/>
          <w:color w:val="auto"/>
          <w:sz w:val="32"/>
          <w:szCs w:val="32"/>
          <w:highlight w:val="none"/>
          <w:lang w:eastAsia="zh-CN"/>
        </w:rPr>
        <w:t>城市</w:t>
      </w:r>
      <w:r>
        <w:rPr>
          <w:rFonts w:hint="eastAsia" w:ascii="仿宋" w:hAnsi="仿宋" w:eastAsia="仿宋" w:cs="仿宋"/>
          <w:color w:val="auto"/>
          <w:sz w:val="32"/>
          <w:szCs w:val="32"/>
          <w:highlight w:val="none"/>
        </w:rPr>
        <w:t>功能、支撑</w:t>
      </w:r>
      <w:r>
        <w:rPr>
          <w:rFonts w:hint="eastAsia" w:ascii="仿宋" w:hAnsi="仿宋" w:eastAsia="仿宋" w:cs="仿宋"/>
          <w:color w:val="auto"/>
          <w:sz w:val="32"/>
          <w:szCs w:val="32"/>
          <w:highlight w:val="none"/>
          <w:lang w:eastAsia="zh-CN"/>
        </w:rPr>
        <w:t>市</w:t>
      </w:r>
      <w:r>
        <w:rPr>
          <w:rFonts w:hint="eastAsia" w:ascii="仿宋" w:hAnsi="仿宋" w:eastAsia="仿宋" w:cs="仿宋"/>
          <w:color w:val="auto"/>
          <w:sz w:val="32"/>
          <w:szCs w:val="32"/>
          <w:highlight w:val="none"/>
        </w:rPr>
        <w:t>域发展的重要作用</w:t>
      </w:r>
      <w:r>
        <w:rPr>
          <w:rFonts w:hint="eastAsia" w:ascii="仿宋" w:hAnsi="仿宋" w:eastAsia="仿宋" w:cs="仿宋"/>
          <w:color w:val="auto"/>
          <w:sz w:val="32"/>
          <w:szCs w:val="32"/>
          <w:highlight w:val="none"/>
          <w:lang w:val="en-US" w:eastAsia="zh-CN"/>
        </w:rPr>
        <w:t>，支持中心镇做大做强，推动中心镇发展成为市域次中心，带动周边乡镇发展。</w:t>
      </w:r>
    </w:p>
    <w:p w14:paraId="298F5493">
      <w:pPr>
        <w:pageBreakBefore w:val="0"/>
        <w:widowControl w:val="0"/>
        <w:kinsoku/>
        <w:wordWrap/>
        <w:overflowPunct/>
        <w:topLinePunct w:val="0"/>
        <w:autoSpaceDE/>
        <w:autoSpaceDN/>
        <w:bidi w:val="0"/>
        <w:adjustRightInd/>
        <w:snapToGrid/>
        <w:spacing w:line="626" w:lineRule="exact"/>
        <w:ind w:firstLine="643"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b/>
          <w:bCs/>
          <w:color w:val="auto"/>
          <w:sz w:val="32"/>
          <w:szCs w:val="32"/>
          <w:highlight w:val="none"/>
        </w:rPr>
        <w:t>“五示范镇”</w:t>
      </w:r>
      <w:r>
        <w:rPr>
          <w:rFonts w:hint="eastAsia" w:ascii="仿宋" w:hAnsi="仿宋" w:eastAsia="仿宋" w:cs="仿宋"/>
          <w:color w:val="auto"/>
          <w:sz w:val="32"/>
          <w:szCs w:val="32"/>
          <w:highlight w:val="none"/>
        </w:rPr>
        <w:t>，即重点建设秦桥、荆竹、文坪、双牌、司马冲示范镇</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增强</w:t>
      </w:r>
      <w:r>
        <w:rPr>
          <w:rFonts w:hint="eastAsia" w:ascii="仿宋" w:hAnsi="仿宋" w:eastAsia="仿宋" w:cs="仿宋"/>
          <w:color w:val="auto"/>
          <w:sz w:val="32"/>
          <w:szCs w:val="32"/>
          <w:highlight w:val="none"/>
          <w:lang w:eastAsia="zh-CN"/>
        </w:rPr>
        <w:t>示范镇</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val="en-US" w:eastAsia="zh-CN"/>
        </w:rPr>
        <w:t>产业支撑、</w:t>
      </w:r>
      <w:r>
        <w:rPr>
          <w:rFonts w:hint="eastAsia" w:ascii="仿宋" w:hAnsi="仿宋" w:eastAsia="仿宋" w:cs="仿宋"/>
          <w:color w:val="auto"/>
          <w:sz w:val="32"/>
          <w:szCs w:val="32"/>
          <w:highlight w:val="none"/>
        </w:rPr>
        <w:t>生活服务和生态保护功能，加强基础设施和公共设施建设，发展成为辐射带动周边乡村地区的就业中心和公共服务中心</w:t>
      </w:r>
      <w:r>
        <w:rPr>
          <w:rFonts w:hint="eastAsia" w:ascii="仿宋" w:hAnsi="仿宋" w:eastAsia="仿宋" w:cs="仿宋"/>
          <w:color w:val="auto"/>
          <w:sz w:val="32"/>
          <w:szCs w:val="32"/>
          <w:highlight w:val="none"/>
          <w:lang w:eastAsia="zh-CN"/>
        </w:rPr>
        <w:t>。</w:t>
      </w:r>
    </w:p>
    <w:p w14:paraId="370BC20C">
      <w:pPr>
        <w:pageBreakBefore w:val="0"/>
        <w:widowControl w:val="0"/>
        <w:kinsoku/>
        <w:wordWrap/>
        <w:overflowPunct/>
        <w:topLinePunct w:val="0"/>
        <w:autoSpaceDE/>
        <w:autoSpaceDN/>
        <w:bidi w:val="0"/>
        <w:adjustRightInd/>
        <w:snapToGrid/>
        <w:spacing w:line="626" w:lineRule="exact"/>
        <w:ind w:firstLine="643"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b/>
          <w:bCs/>
          <w:color w:val="auto"/>
          <w:sz w:val="32"/>
          <w:szCs w:val="32"/>
          <w:highlight w:val="none"/>
        </w:rPr>
        <w:t>“百特色村”</w:t>
      </w:r>
      <w:r>
        <w:rPr>
          <w:rFonts w:hint="eastAsia" w:ascii="仿宋" w:hAnsi="仿宋" w:eastAsia="仿宋" w:cs="仿宋"/>
          <w:color w:val="auto"/>
          <w:sz w:val="32"/>
          <w:szCs w:val="32"/>
          <w:highlight w:val="none"/>
        </w:rPr>
        <w:t>，重点</w:t>
      </w:r>
      <w:r>
        <w:rPr>
          <w:rFonts w:hint="eastAsia" w:ascii="仿宋" w:hAnsi="仿宋" w:eastAsia="仿宋" w:cs="仿宋"/>
          <w:color w:val="auto"/>
          <w:sz w:val="32"/>
          <w:szCs w:val="32"/>
          <w:highlight w:val="none"/>
          <w:lang w:eastAsia="zh-CN"/>
        </w:rPr>
        <w:t>推进</w:t>
      </w:r>
      <w:r>
        <w:rPr>
          <w:rFonts w:hint="eastAsia" w:ascii="仿宋" w:hAnsi="仿宋" w:eastAsia="仿宋" w:cs="仿宋"/>
          <w:color w:val="auto"/>
          <w:sz w:val="32"/>
          <w:szCs w:val="32"/>
          <w:highlight w:val="none"/>
        </w:rPr>
        <w:t>100个</w:t>
      </w:r>
      <w:r>
        <w:rPr>
          <w:rFonts w:hint="eastAsia" w:ascii="仿宋" w:hAnsi="仿宋" w:eastAsia="仿宋" w:cs="仿宋"/>
          <w:color w:val="auto"/>
          <w:sz w:val="32"/>
          <w:szCs w:val="32"/>
          <w:highlight w:val="none"/>
          <w:lang w:eastAsia="zh-CN"/>
        </w:rPr>
        <w:t>新型乡</w:t>
      </w:r>
      <w:r>
        <w:rPr>
          <w:rFonts w:hint="eastAsia" w:ascii="仿宋" w:hAnsi="仿宋" w:eastAsia="仿宋" w:cs="仿宋"/>
          <w:color w:val="auto"/>
          <w:sz w:val="32"/>
          <w:szCs w:val="32"/>
          <w:highlight w:val="none"/>
        </w:rPr>
        <w:t>村</w:t>
      </w:r>
      <w:r>
        <w:rPr>
          <w:rFonts w:hint="eastAsia" w:ascii="仿宋" w:hAnsi="仿宋" w:eastAsia="仿宋" w:cs="仿宋"/>
          <w:color w:val="auto"/>
          <w:sz w:val="32"/>
          <w:szCs w:val="32"/>
          <w:highlight w:val="none"/>
          <w:lang w:eastAsia="zh-CN"/>
        </w:rPr>
        <w:t>建设。全面实施乡村振兴战略，</w:t>
      </w:r>
      <w:r>
        <w:rPr>
          <w:rFonts w:hint="eastAsia" w:ascii="仿宋" w:hAnsi="仿宋" w:eastAsia="仿宋" w:cs="仿宋"/>
          <w:color w:val="auto"/>
          <w:sz w:val="32"/>
          <w:szCs w:val="32"/>
          <w:highlight w:val="none"/>
        </w:rPr>
        <w:t>因地制宜大力发展特色产业，</w:t>
      </w:r>
      <w:bookmarkEnd w:id="106"/>
      <w:r>
        <w:rPr>
          <w:rFonts w:hint="eastAsia" w:ascii="仿宋" w:hAnsi="仿宋" w:eastAsia="仿宋" w:cs="仿宋"/>
          <w:color w:val="auto"/>
          <w:sz w:val="32"/>
          <w:szCs w:val="32"/>
          <w:highlight w:val="none"/>
          <w:lang w:val="en-US" w:eastAsia="zh-CN"/>
        </w:rPr>
        <w:t>强基础、强示范、强三产融合，</w:t>
      </w:r>
      <w:r>
        <w:rPr>
          <w:rFonts w:hint="eastAsia" w:ascii="仿宋" w:hAnsi="仿宋" w:eastAsia="仿宋" w:cs="仿宋"/>
          <w:color w:val="auto"/>
          <w:sz w:val="32"/>
          <w:szCs w:val="32"/>
          <w:highlight w:val="none"/>
        </w:rPr>
        <w:t>建设美丽乡村</w:t>
      </w:r>
      <w:r>
        <w:rPr>
          <w:rFonts w:hint="eastAsia" w:ascii="仿宋" w:hAnsi="仿宋" w:eastAsia="仿宋" w:cs="仿宋"/>
          <w:color w:val="auto"/>
          <w:sz w:val="32"/>
          <w:szCs w:val="32"/>
          <w:highlight w:val="none"/>
          <w:lang w:eastAsia="zh-CN"/>
        </w:rPr>
        <w:t>，打造乡村振兴样板示范。</w:t>
      </w:r>
    </w:p>
    <w:p w14:paraId="02F4373A">
      <w:pPr>
        <w:pStyle w:val="4"/>
        <w:keepNext/>
        <w:keepLines/>
        <w:pageBreakBefore w:val="0"/>
        <w:widowControl w:val="0"/>
        <w:kinsoku/>
        <w:wordWrap/>
        <w:overflowPunct/>
        <w:topLinePunct w:val="0"/>
        <w:autoSpaceDE/>
        <w:autoSpaceDN/>
        <w:bidi w:val="0"/>
        <w:adjustRightInd/>
        <w:snapToGrid/>
        <w:spacing w:before="100" w:after="100" w:line="626" w:lineRule="exact"/>
        <w:jc w:val="center"/>
        <w:textAlignment w:val="auto"/>
        <w:rPr>
          <w:rFonts w:hint="eastAsia" w:ascii="黑体" w:hAnsi="黑体" w:eastAsia="黑体" w:cs="黑体"/>
          <w:b w:val="0"/>
          <w:bCs/>
          <w:color w:val="auto"/>
          <w:highlight w:val="none"/>
          <w:lang w:eastAsia="zh-CN"/>
        </w:rPr>
      </w:pPr>
      <w:bookmarkStart w:id="109" w:name="_Toc31150"/>
      <w:bookmarkStart w:id="110" w:name="_Toc28760"/>
      <w:bookmarkStart w:id="111" w:name="_Toc29344"/>
      <w:r>
        <w:rPr>
          <w:rFonts w:hint="eastAsia" w:ascii="黑体" w:hAnsi="黑体" w:eastAsia="黑体" w:cs="黑体"/>
          <w:b w:val="0"/>
          <w:bCs/>
          <w:color w:val="auto"/>
          <w:kern w:val="44"/>
          <w:sz w:val="32"/>
          <w:szCs w:val="32"/>
          <w:highlight w:val="none"/>
          <w:lang w:val="en-US" w:eastAsia="zh-CN" w:bidi="ar-SA"/>
        </w:rPr>
        <w:t>第四节 抓好中心城区</w:t>
      </w:r>
      <w:bookmarkEnd w:id="109"/>
      <w:r>
        <w:rPr>
          <w:rFonts w:hint="eastAsia" w:ascii="黑体" w:hAnsi="黑体" w:eastAsia="黑体" w:cs="黑体"/>
          <w:b w:val="0"/>
          <w:bCs/>
          <w:color w:val="auto"/>
          <w:kern w:val="44"/>
          <w:sz w:val="32"/>
          <w:szCs w:val="32"/>
          <w:highlight w:val="none"/>
          <w:lang w:val="en-US" w:eastAsia="zh-CN" w:bidi="ar-SA"/>
        </w:rPr>
        <w:t>建设</w:t>
      </w:r>
      <w:bookmarkEnd w:id="110"/>
    </w:p>
    <w:p w14:paraId="29403064">
      <w:pPr>
        <w:pStyle w:val="9"/>
        <w:pageBreakBefore w:val="0"/>
        <w:widowControl w:val="0"/>
        <w:kinsoku/>
        <w:wordWrap/>
        <w:overflowPunct/>
        <w:topLinePunct w:val="0"/>
        <w:autoSpaceDE/>
        <w:autoSpaceDN/>
        <w:bidi w:val="0"/>
        <w:adjustRightInd/>
        <w:snapToGrid/>
        <w:spacing w:line="626" w:lineRule="exact"/>
        <w:ind w:firstLine="640" w:firstLineChars="200"/>
        <w:jc w:val="both"/>
        <w:textAlignment w:val="auto"/>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充分发挥中心城区核心引领带动作用，强化规模集聚和功能提升，完善城市基础设施，提升城市精细化管理水平，推进新型城镇化，打造宜居宜业城市。</w:t>
      </w:r>
    </w:p>
    <w:p w14:paraId="45CA40C3">
      <w:pPr>
        <w:pStyle w:val="9"/>
        <w:keepNext w:val="0"/>
        <w:keepLines w:val="0"/>
        <w:pageBreakBefore w:val="0"/>
        <w:widowControl w:val="0"/>
        <w:kinsoku/>
        <w:wordWrap/>
        <w:overflowPunct/>
        <w:topLinePunct w:val="0"/>
        <w:autoSpaceDE/>
        <w:autoSpaceDN/>
        <w:bidi w:val="0"/>
        <w:adjustRightInd/>
        <w:snapToGrid/>
        <w:spacing w:line="636" w:lineRule="exact"/>
        <w:ind w:firstLine="643"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sz w:val="32"/>
          <w:szCs w:val="32"/>
          <w:highlight w:val="none"/>
          <w:lang w:val="en-US" w:eastAsia="zh-CN"/>
        </w:rPr>
        <w:t>加快国家历史文化名城创建。</w:t>
      </w:r>
      <w:r>
        <w:rPr>
          <w:rFonts w:hint="eastAsia" w:ascii="仿宋" w:hAnsi="仿宋" w:eastAsia="仿宋" w:cs="仿宋"/>
          <w:color w:val="auto"/>
          <w:kern w:val="2"/>
          <w:sz w:val="32"/>
          <w:szCs w:val="32"/>
          <w:highlight w:val="none"/>
          <w:lang w:val="en-US" w:eastAsia="zh-CN" w:bidi="ar-SA"/>
        </w:rPr>
        <w:t>依托武冈2200余年建城史，坚持遵循科学规划、严格保护、传承发展的原则，加强历史文化遗产保护，深入挖掘武冈丰厚的历史文化底蕴和文化内涵，到2025年，建成国家历史文化名城并挂牌。突出争创工作的重点，加快对历史建筑建档、挂牌保护的工作进程；加快西直街与穿城河风光带仿古改造，维修并保护好古巷、古院、古井、古桥等，尽快修复花塔、南塔；加快老城区棚户区改造、防洪堤建设、文物保护、古城核心区修复、市政基础设施建设等项目进程；修建文化名人纪念园，将屈原、陶渊明等与武冈有历史渊源的文化名人事迹、吟诵武冈的诗文刊刻在园中；大力实施“项目战略”，结合武冈的实际情况，建议可以打造突显王城文化的穿城河历史文化街区、突显传统产业传承的和合街历史文化街区、突显传统院落的西直街历史文化街区、突显传统街坊的木货街历史文化街区和突显码头文化的太平门历史文化街区。对黄埔军校第二分校旧址</w:t>
      </w:r>
      <w:r>
        <w:rPr>
          <w:rFonts w:hint="eastAsia" w:ascii="仿宋" w:hAnsi="仿宋" w:cs="仿宋"/>
          <w:color w:val="auto"/>
          <w:szCs w:val="32"/>
          <w:highlight w:val="none"/>
          <w:lang w:eastAsia="zh-CN"/>
        </w:rPr>
        <w:t>（中山堂及附属建筑、法相岩</w:t>
      </w:r>
      <w:r>
        <w:rPr>
          <w:rFonts w:hint="eastAsia" w:ascii="仿宋" w:hAnsi="仿宋" w:cs="仿宋"/>
          <w:color w:val="auto"/>
          <w:szCs w:val="32"/>
          <w:highlight w:val="none"/>
        </w:rPr>
        <w:t>、李明灏故居</w:t>
      </w:r>
      <w:r>
        <w:rPr>
          <w:rFonts w:hint="eastAsia" w:ascii="仿宋" w:hAnsi="仿宋" w:cs="仿宋"/>
          <w:color w:val="auto"/>
          <w:szCs w:val="32"/>
          <w:highlight w:val="none"/>
          <w:lang w:eastAsia="zh-CN"/>
        </w:rPr>
        <w:t>）</w:t>
      </w:r>
      <w:r>
        <w:rPr>
          <w:rFonts w:hint="eastAsia" w:ascii="仿宋" w:hAnsi="仿宋" w:cs="仿宋"/>
          <w:color w:val="auto"/>
          <w:szCs w:val="32"/>
          <w:highlight w:val="none"/>
        </w:rPr>
        <w:t>、木瓜桥</w:t>
      </w:r>
      <w:r>
        <w:rPr>
          <w:rFonts w:hint="eastAsia" w:ascii="仿宋" w:hAnsi="仿宋" w:cs="仿宋"/>
          <w:color w:val="auto"/>
          <w:szCs w:val="32"/>
          <w:highlight w:val="none"/>
          <w:lang w:eastAsia="zh-CN"/>
        </w:rPr>
        <w:t>、蔡家塘农民协会旧址、武冈文庙等</w:t>
      </w:r>
      <w:r>
        <w:rPr>
          <w:rFonts w:hint="eastAsia" w:ascii="仿宋" w:hAnsi="仿宋" w:cs="仿宋"/>
          <w:color w:val="auto"/>
          <w:szCs w:val="32"/>
          <w:highlight w:val="none"/>
        </w:rPr>
        <w:t>为代表的红色</w:t>
      </w:r>
      <w:r>
        <w:rPr>
          <w:rFonts w:hint="eastAsia" w:ascii="仿宋" w:hAnsi="仿宋" w:cs="仿宋"/>
          <w:color w:val="auto"/>
          <w:szCs w:val="32"/>
          <w:highlight w:val="none"/>
          <w:lang w:eastAsia="zh-CN"/>
        </w:rPr>
        <w:t>文物保护单位</w:t>
      </w:r>
      <w:r>
        <w:rPr>
          <w:rFonts w:hint="eastAsia" w:ascii="仿宋" w:hAnsi="仿宋" w:cs="仿宋"/>
          <w:color w:val="auto"/>
          <w:szCs w:val="32"/>
          <w:highlight w:val="none"/>
        </w:rPr>
        <w:t>进行</w:t>
      </w:r>
      <w:r>
        <w:rPr>
          <w:rFonts w:hint="eastAsia" w:ascii="仿宋" w:hAnsi="仿宋" w:cs="仿宋"/>
          <w:color w:val="auto"/>
          <w:szCs w:val="32"/>
          <w:highlight w:val="none"/>
          <w:lang w:eastAsia="zh-CN"/>
        </w:rPr>
        <w:t>修缮</w:t>
      </w:r>
      <w:r>
        <w:rPr>
          <w:rFonts w:hint="eastAsia" w:ascii="仿宋" w:hAnsi="仿宋" w:cs="仿宋"/>
          <w:color w:val="auto"/>
          <w:szCs w:val="32"/>
          <w:highlight w:val="none"/>
        </w:rPr>
        <w:t>，建成红色文化基地。</w:t>
      </w:r>
    </w:p>
    <w:p w14:paraId="40457EC2">
      <w:pPr>
        <w:keepNext w:val="0"/>
        <w:keepLines w:val="0"/>
        <w:pageBreakBefore w:val="0"/>
        <w:widowControl w:val="0"/>
        <w:kinsoku/>
        <w:wordWrap/>
        <w:overflowPunct/>
        <w:topLinePunct w:val="0"/>
        <w:autoSpaceDE/>
        <w:autoSpaceDN/>
        <w:bidi w:val="0"/>
        <w:adjustRightInd/>
        <w:snapToGrid/>
        <w:spacing w:line="636" w:lineRule="exact"/>
        <w:ind w:firstLine="643"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highlight w:val="none"/>
          <w:lang w:val="en-US" w:eastAsia="zh-CN"/>
        </w:rPr>
        <w:t>完善城市基础设施。</w:t>
      </w:r>
      <w:r>
        <w:rPr>
          <w:rFonts w:hint="eastAsia" w:ascii="仿宋" w:hAnsi="仿宋" w:eastAsia="仿宋" w:cs="仿宋"/>
          <w:color w:val="auto"/>
          <w:sz w:val="32"/>
          <w:szCs w:val="32"/>
          <w:highlight w:val="none"/>
          <w:lang w:val="en-US" w:eastAsia="zh-CN"/>
        </w:rPr>
        <w:t>到</w:t>
      </w:r>
      <w:r>
        <w:rPr>
          <w:rFonts w:hint="eastAsia" w:ascii="仿宋" w:hAnsi="仿宋" w:eastAsia="仿宋" w:cs="仿宋"/>
          <w:color w:val="auto"/>
          <w:sz w:val="32"/>
          <w:szCs w:val="32"/>
          <w:highlight w:val="none"/>
        </w:rPr>
        <w:t>2025年城镇化水平为5</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%；市区城市人口规模达到35万，建成区面积达到35平方公里。市区城镇人均住宅建筑面积达到36平方米，城镇家庭住房成套比例98%以上</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推进城市基础建设，</w:t>
      </w:r>
      <w:r>
        <w:rPr>
          <w:rFonts w:hint="eastAsia" w:ascii="仿宋" w:hAnsi="仿宋" w:eastAsia="仿宋" w:cs="仿宋"/>
          <w:color w:val="auto"/>
          <w:sz w:val="32"/>
          <w:szCs w:val="32"/>
          <w:highlight w:val="none"/>
        </w:rPr>
        <w:t>新建狮子山路、丰仁路、春园西路、富田路，改造武强路、春园路、春光南路、都梁南路、西直街、陶侃西路、</w:t>
      </w:r>
      <w:r>
        <w:rPr>
          <w:rFonts w:hint="eastAsia" w:ascii="仿宋" w:hAnsi="仿宋" w:eastAsia="仿宋" w:cs="仿宋"/>
          <w:color w:val="auto"/>
          <w:sz w:val="32"/>
          <w:szCs w:val="32"/>
          <w:highlight w:val="none"/>
          <w:lang w:val="en-US" w:eastAsia="zh-CN"/>
        </w:rPr>
        <w:t>G241</w:t>
      </w:r>
      <w:r>
        <w:rPr>
          <w:rFonts w:hint="eastAsia" w:ascii="仿宋" w:hAnsi="仿宋" w:eastAsia="仿宋" w:cs="仿宋"/>
          <w:color w:val="auto"/>
          <w:sz w:val="32"/>
          <w:szCs w:val="32"/>
          <w:highlight w:val="none"/>
        </w:rPr>
        <w:t>(黄木冲-五里牌段）、乐洋西路等主次干道，打造“</w:t>
      </w:r>
      <w:r>
        <w:rPr>
          <w:rFonts w:hint="eastAsia" w:ascii="仿宋" w:hAnsi="仿宋" w:eastAsia="仿宋" w:cs="仿宋"/>
          <w:color w:val="auto"/>
          <w:sz w:val="32"/>
          <w:szCs w:val="32"/>
          <w:highlight w:val="none"/>
          <w:lang w:eastAsia="zh-CN"/>
        </w:rPr>
        <w:t>九纵九横一环</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城市路网。</w:t>
      </w:r>
      <w:r>
        <w:rPr>
          <w:rFonts w:hint="eastAsia" w:ascii="仿宋" w:hAnsi="仿宋" w:eastAsia="仿宋" w:cs="仿宋"/>
          <w:color w:val="auto"/>
          <w:sz w:val="32"/>
          <w:szCs w:val="32"/>
          <w:highlight w:val="none"/>
        </w:rPr>
        <w:t>实施绿色照明节能改建工程、城市夜景照明工程、城区主次干道路灯安装工程，对城区路灯进行提质改造，实现城区路灯“无盲区”。对武威路等9处背街小巷、步行街及铜宝商业步行街进行道路、给排水、灯化等改造。根据“海绵城市”要求增设公共停车位、建设休闲广场和人行道，提标改造城市农贸市场，配套</w:t>
      </w:r>
      <w:r>
        <w:rPr>
          <w:rFonts w:hint="eastAsia" w:ascii="仿宋" w:hAnsi="仿宋" w:eastAsia="仿宋" w:cs="仿宋"/>
          <w:color w:val="auto"/>
          <w:sz w:val="32"/>
          <w:szCs w:val="32"/>
          <w:highlight w:val="none"/>
          <w:lang w:eastAsia="zh-CN"/>
        </w:rPr>
        <w:t>建设</w:t>
      </w:r>
      <w:r>
        <w:rPr>
          <w:rFonts w:hint="eastAsia" w:ascii="仿宋" w:hAnsi="仿宋" w:eastAsia="仿宋" w:cs="仿宋"/>
          <w:color w:val="auto"/>
          <w:sz w:val="32"/>
          <w:szCs w:val="32"/>
          <w:highlight w:val="none"/>
        </w:rPr>
        <w:t>便民市场、养老、托幼等服务设施</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推进旧城变新工程，</w:t>
      </w:r>
      <w:r>
        <w:rPr>
          <w:rFonts w:hint="eastAsia" w:ascii="仿宋" w:hAnsi="仿宋" w:eastAsia="仿宋" w:cs="仿宋"/>
          <w:color w:val="auto"/>
          <w:sz w:val="32"/>
          <w:szCs w:val="32"/>
          <w:highlight w:val="none"/>
        </w:rPr>
        <w:t>全面完成城区100余个老旧小区改造任务，增强人民群众的幸福感。</w:t>
      </w:r>
    </w:p>
    <w:p w14:paraId="31BFE1E4">
      <w:pPr>
        <w:pStyle w:val="9"/>
        <w:keepNext w:val="0"/>
        <w:keepLines w:val="0"/>
        <w:pageBreakBefore w:val="0"/>
        <w:widowControl w:val="0"/>
        <w:kinsoku/>
        <w:wordWrap/>
        <w:overflowPunct/>
        <w:topLinePunct w:val="0"/>
        <w:autoSpaceDE/>
        <w:autoSpaceDN/>
        <w:bidi w:val="0"/>
        <w:adjustRightInd/>
        <w:snapToGrid/>
        <w:spacing w:line="636" w:lineRule="exact"/>
        <w:ind w:firstLine="643" w:firstLineChars="200"/>
        <w:jc w:val="both"/>
        <w:textAlignment w:val="auto"/>
        <w:rPr>
          <w:rFonts w:hint="eastAsia" w:ascii="仿宋" w:hAnsi="仿宋" w:eastAsia="仿宋" w:cs="仿宋"/>
          <w:b/>
          <w:bCs/>
          <w:color w:val="auto"/>
          <w:highlight w:val="none"/>
          <w:lang w:val="en-US" w:eastAsia="zh-CN"/>
        </w:rPr>
      </w:pPr>
      <w:r>
        <w:rPr>
          <w:rFonts w:hint="eastAsia" w:ascii="楷体" w:hAnsi="楷体" w:eastAsia="楷体" w:cs="楷体"/>
          <w:b/>
          <w:bCs/>
          <w:color w:val="auto"/>
          <w:highlight w:val="none"/>
          <w:lang w:val="en-US" w:eastAsia="zh-CN"/>
        </w:rPr>
        <w:t>打造西部生态核心区。</w:t>
      </w:r>
      <w:r>
        <w:rPr>
          <w:rFonts w:hint="eastAsia" w:ascii="仿宋" w:hAnsi="仿宋" w:eastAsia="仿宋" w:cs="仿宋"/>
          <w:color w:val="auto"/>
          <w:sz w:val="32"/>
          <w:szCs w:val="32"/>
          <w:highlight w:val="none"/>
          <w:lang w:val="en-US" w:eastAsia="zh-CN"/>
        </w:rPr>
        <w:t>武冈作为邵阳西部城镇点轴发展区的组织中心，湘西南重要城市之一，作为邵阳西部生态圈经济、文化中心和交通枢纽，要紧紧依托现有的森林、河流、湖泊、湿地、自然保护区等基础，打造邵阳西部生态核心区。到</w:t>
      </w:r>
      <w:r>
        <w:rPr>
          <w:rFonts w:hint="eastAsia" w:ascii="仿宋" w:hAnsi="仿宋" w:eastAsia="仿宋" w:cs="仿宋"/>
          <w:color w:val="auto"/>
          <w:sz w:val="32"/>
          <w:szCs w:val="32"/>
          <w:highlight w:val="none"/>
        </w:rPr>
        <w:t>2025年武冈市建成区绿地面积1000公顷，绿地率40.3%以上，人均绿地面积14㎡</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加强园林绿化建设，完成云山大道等14条道路绿化，新建16处小游园及1处滨江游园，拓展绿地面积36公顷。</w:t>
      </w:r>
      <w:r>
        <w:rPr>
          <w:rFonts w:hint="eastAsia" w:ascii="仿宋" w:hAnsi="仿宋" w:eastAsia="仿宋" w:cs="仿宋"/>
          <w:color w:val="auto"/>
          <w:sz w:val="32"/>
          <w:szCs w:val="32"/>
          <w:highlight w:val="none"/>
          <w:lang w:eastAsia="zh-CN"/>
        </w:rPr>
        <w:t>推进狮子湖</w:t>
      </w:r>
      <w:r>
        <w:rPr>
          <w:rFonts w:hint="eastAsia" w:ascii="仿宋" w:hAnsi="仿宋" w:eastAsia="仿宋" w:cs="仿宋"/>
          <w:color w:val="auto"/>
          <w:szCs w:val="30"/>
          <w:highlight w:val="none"/>
          <w:lang w:eastAsia="zh-CN"/>
        </w:rPr>
        <w:t>影视文化</w:t>
      </w:r>
      <w:r>
        <w:rPr>
          <w:rFonts w:hint="eastAsia" w:ascii="仿宋" w:hAnsi="仿宋" w:eastAsia="仿宋" w:cs="仿宋"/>
          <w:color w:val="auto"/>
          <w:szCs w:val="30"/>
          <w:highlight w:val="none"/>
        </w:rPr>
        <w:t>生态园</w:t>
      </w:r>
      <w:r>
        <w:rPr>
          <w:rFonts w:hint="eastAsia" w:ascii="仿宋" w:hAnsi="仿宋" w:eastAsia="仿宋" w:cs="仿宋"/>
          <w:color w:val="auto"/>
          <w:sz w:val="32"/>
          <w:szCs w:val="32"/>
          <w:highlight w:val="none"/>
        </w:rPr>
        <w:t>、周家垅公园建设，实施新东公园及七里公园建设，加强城区公共绿地养护。</w:t>
      </w:r>
      <w:r>
        <w:rPr>
          <w:rFonts w:hint="eastAsia" w:ascii="仿宋" w:hAnsi="仿宋" w:eastAsia="仿宋" w:cs="仿宋"/>
          <w:color w:val="auto"/>
          <w:sz w:val="32"/>
          <w:szCs w:val="32"/>
          <w:highlight w:val="none"/>
          <w:lang w:val="en-US" w:eastAsia="zh-CN"/>
        </w:rPr>
        <w:t>着力打造</w:t>
      </w:r>
      <w:r>
        <w:rPr>
          <w:rFonts w:hint="eastAsia" w:ascii="仿宋" w:hAnsi="仿宋" w:eastAsia="仿宋" w:cs="仿宋"/>
          <w:color w:val="auto"/>
          <w:kern w:val="2"/>
          <w:sz w:val="32"/>
          <w:szCs w:val="32"/>
          <w:highlight w:val="none"/>
          <w:lang w:val="zh-CN" w:eastAsia="zh-CN" w:bidi="ar-SA"/>
        </w:rPr>
        <w:t>赧水风光带，城市滨水风光休闲景观带。</w:t>
      </w:r>
      <w:r>
        <w:rPr>
          <w:rFonts w:hint="eastAsia" w:ascii="仿宋" w:hAnsi="仿宋" w:eastAsia="仿宋" w:cs="仿宋"/>
          <w:color w:val="auto"/>
          <w:sz w:val="32"/>
          <w:szCs w:val="32"/>
          <w:highlight w:val="none"/>
        </w:rPr>
        <w:t>实施一系列污水处理、污泥处置工程，改善人居环境。对城区内总长2.26km的河水系（穿城河）进行整治。</w:t>
      </w:r>
    </w:p>
    <w:p w14:paraId="1FDCCD0E">
      <w:pPr>
        <w:pStyle w:val="20"/>
        <w:keepNext w:val="0"/>
        <w:keepLines w:val="0"/>
        <w:pageBreakBefore w:val="0"/>
        <w:widowControl w:val="0"/>
        <w:kinsoku/>
        <w:wordWrap/>
        <w:overflowPunct/>
        <w:topLinePunct w:val="0"/>
        <w:autoSpaceDE/>
        <w:autoSpaceDN/>
        <w:bidi w:val="0"/>
        <w:adjustRightInd/>
        <w:snapToGrid/>
        <w:spacing w:line="636" w:lineRule="exact"/>
        <w:ind w:left="0" w:leftChars="0" w:firstLine="643"/>
        <w:jc w:val="both"/>
        <w:textAlignment w:val="auto"/>
        <w:rPr>
          <w:rFonts w:hint="eastAsia" w:ascii="仿宋" w:hAnsi="仿宋" w:eastAsia="仿宋" w:cs="仿宋"/>
          <w:color w:val="auto"/>
          <w:spacing w:val="6"/>
          <w:sz w:val="32"/>
          <w:szCs w:val="32"/>
          <w:highlight w:val="none"/>
        </w:rPr>
      </w:pPr>
      <w:r>
        <w:rPr>
          <w:rFonts w:hint="eastAsia" w:ascii="楷体" w:hAnsi="楷体" w:eastAsia="楷体" w:cs="楷体"/>
          <w:b/>
          <w:bCs/>
          <w:color w:val="auto"/>
          <w:highlight w:val="none"/>
          <w:lang w:val="en-US" w:eastAsia="zh-CN"/>
        </w:rPr>
        <w:t>提升城市管理水平。</w:t>
      </w:r>
      <w:r>
        <w:rPr>
          <w:rFonts w:hint="eastAsia" w:ascii="仿宋" w:hAnsi="仿宋" w:eastAsia="仿宋" w:cs="仿宋"/>
          <w:color w:val="auto"/>
          <w:sz w:val="32"/>
          <w:szCs w:val="32"/>
          <w:highlight w:val="none"/>
          <w:lang w:val="en-US" w:eastAsia="zh-CN"/>
        </w:rPr>
        <w:t>2025年，</w:t>
      </w:r>
      <w:r>
        <w:rPr>
          <w:rFonts w:hint="eastAsia" w:ascii="仿宋" w:hAnsi="仿宋" w:eastAsia="仿宋" w:cs="仿宋"/>
          <w:color w:val="auto"/>
          <w:sz w:val="32"/>
          <w:szCs w:val="32"/>
          <w:highlight w:val="none"/>
        </w:rPr>
        <w:t>城市集中式饮用水水源地水质达标率稳定保持在100%水平；市区生活污水集中处理率达到95%；市区生活垃圾分类收集覆盖率达到100%，城市生活垃圾无害</w:t>
      </w:r>
      <w:r>
        <w:rPr>
          <w:rFonts w:hint="eastAsia" w:ascii="仿宋" w:hAnsi="仿宋" w:eastAsia="仿宋" w:cs="仿宋"/>
          <w:color w:val="auto"/>
          <w:sz w:val="32"/>
          <w:szCs w:val="32"/>
          <w:highlight w:val="none"/>
          <w:lang w:eastAsia="zh-CN"/>
        </w:rPr>
        <w:t>化</w:t>
      </w:r>
      <w:r>
        <w:rPr>
          <w:rFonts w:hint="eastAsia" w:ascii="仿宋" w:hAnsi="仿宋" w:eastAsia="仿宋" w:cs="仿宋"/>
          <w:color w:val="auto"/>
          <w:sz w:val="32"/>
          <w:szCs w:val="32"/>
          <w:highlight w:val="none"/>
        </w:rPr>
        <w:t>处理率达到100%。突出智慧城市建设，打造数字城管，实现数字化管理，实现与省级云平台无缝对接。实施城市地下综合管廊建设项目，建设约60公里的管廊工程。开展城市厕所革命，改造升级城区厕所</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规范建筑垃圾处置，新建建筑垃圾填埋场，摸索建筑垃圾资源化利用。开展餐厨垃圾处理，新建一</w:t>
      </w:r>
      <w:r>
        <w:rPr>
          <w:rFonts w:hint="eastAsia" w:ascii="仿宋" w:hAnsi="仿宋" w:eastAsia="仿宋" w:cs="仿宋"/>
          <w:color w:val="auto"/>
          <w:spacing w:val="6"/>
          <w:sz w:val="32"/>
          <w:szCs w:val="32"/>
          <w:highlight w:val="none"/>
        </w:rPr>
        <w:t>个占地30亩的餐厨垃圾处理中心，引进专业公司对餐厨废弃物等城镇低值废弃物集聚化、规模化处理和资源化利用。实施生活垃圾收</w:t>
      </w:r>
      <w:r>
        <w:rPr>
          <w:rFonts w:hint="eastAsia" w:ascii="仿宋" w:hAnsi="仿宋" w:eastAsia="仿宋" w:cs="仿宋"/>
          <w:color w:val="auto"/>
          <w:spacing w:val="6"/>
          <w:sz w:val="32"/>
          <w:szCs w:val="32"/>
          <w:highlight w:val="none"/>
          <w:lang w:eastAsia="zh-CN"/>
        </w:rPr>
        <w:t>集</w:t>
      </w:r>
      <w:r>
        <w:rPr>
          <w:rFonts w:hint="eastAsia" w:ascii="仿宋" w:hAnsi="仿宋" w:eastAsia="仿宋" w:cs="仿宋"/>
          <w:color w:val="auto"/>
          <w:spacing w:val="6"/>
          <w:sz w:val="32"/>
          <w:szCs w:val="32"/>
          <w:highlight w:val="none"/>
        </w:rPr>
        <w:t>转运系统工程，</w:t>
      </w:r>
      <w:r>
        <w:rPr>
          <w:rFonts w:hint="eastAsia" w:ascii="仿宋" w:hAnsi="仿宋" w:eastAsia="仿宋" w:cs="仿宋"/>
          <w:color w:val="auto"/>
          <w:spacing w:val="6"/>
          <w:sz w:val="32"/>
          <w:szCs w:val="32"/>
          <w:highlight w:val="none"/>
          <w:lang w:eastAsia="zh-CN"/>
        </w:rPr>
        <w:t>提倡垃圾分类投放，实现生活垃圾焚烧发电处置，提高生活垃圾资源化利用率，</w:t>
      </w:r>
      <w:r>
        <w:rPr>
          <w:rFonts w:hint="eastAsia" w:ascii="仿宋" w:hAnsi="仿宋" w:eastAsia="仿宋" w:cs="仿宋"/>
          <w:color w:val="auto"/>
          <w:spacing w:val="6"/>
          <w:sz w:val="32"/>
          <w:szCs w:val="32"/>
          <w:highlight w:val="none"/>
        </w:rPr>
        <w:t>巩固卫生城市成果。</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609F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4AD27210">
            <w:pPr>
              <w:pageBreakBefore w:val="0"/>
              <w:widowControl w:val="0"/>
              <w:kinsoku/>
              <w:wordWrap/>
              <w:overflowPunct/>
              <w:bidi w:val="0"/>
              <w:spacing w:line="420" w:lineRule="auto"/>
              <w:jc w:val="center"/>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专栏1</w:t>
            </w:r>
            <w:r>
              <w:rPr>
                <w:rFonts w:hint="eastAsia" w:ascii="宋体" w:hAnsi="宋体" w:eastAsia="宋体" w:cs="宋体"/>
                <w:b/>
                <w:bCs w:val="0"/>
                <w:color w:val="auto"/>
                <w:kern w:val="0"/>
                <w:sz w:val="28"/>
                <w:szCs w:val="28"/>
                <w:highlight w:val="none"/>
                <w:lang w:val="en-US" w:eastAsia="zh-CN"/>
              </w:rPr>
              <w:t>6</w:t>
            </w:r>
            <w:r>
              <w:rPr>
                <w:rFonts w:hint="eastAsia" w:ascii="宋体" w:hAnsi="宋体" w:eastAsia="宋体" w:cs="宋体"/>
                <w:b/>
                <w:bCs w:val="0"/>
                <w:color w:val="auto"/>
                <w:kern w:val="0"/>
                <w:sz w:val="28"/>
                <w:szCs w:val="28"/>
                <w:highlight w:val="none"/>
              </w:rPr>
              <w:t>：新型城镇化建设重点</w:t>
            </w:r>
          </w:p>
        </w:tc>
      </w:tr>
      <w:tr w14:paraId="3125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792F337A">
            <w:pPr>
              <w:keepNext w:val="0"/>
              <w:keepLines w:val="0"/>
              <w:pageBreakBefore w:val="0"/>
              <w:widowControl w:val="0"/>
              <w:kinsoku/>
              <w:wordWrap/>
              <w:overflowPunct/>
              <w:topLinePunct w:val="0"/>
              <w:autoSpaceDE/>
              <w:autoSpaceDN/>
              <w:bidi w:val="0"/>
              <w:spacing w:line="450" w:lineRule="exact"/>
              <w:ind w:firstLine="602" w:firstLineChars="200"/>
              <w:jc w:val="both"/>
              <w:textAlignment w:val="auto"/>
              <w:rPr>
                <w:rFonts w:hint="eastAsia" w:ascii="仿宋" w:hAnsi="仿宋" w:eastAsia="仿宋" w:cs="仿宋"/>
                <w:b w:val="0"/>
                <w:bCs w:val="0"/>
                <w:color w:val="auto"/>
                <w:sz w:val="30"/>
                <w:szCs w:val="30"/>
                <w:highlight w:val="none"/>
              </w:rPr>
            </w:pPr>
            <w:r>
              <w:rPr>
                <w:rFonts w:hint="eastAsia" w:ascii="仿宋" w:hAnsi="仿宋" w:eastAsia="仿宋" w:cs="仿宋"/>
                <w:b/>
                <w:bCs/>
                <w:color w:val="auto"/>
                <w:kern w:val="2"/>
                <w:sz w:val="30"/>
                <w:szCs w:val="30"/>
                <w:highlight w:val="none"/>
                <w:lang w:val="en-US" w:eastAsia="zh-CN" w:bidi="ar-SA"/>
              </w:rPr>
              <w:t>1.城区扩容提质工程：</w:t>
            </w:r>
            <w:r>
              <w:rPr>
                <w:rFonts w:hint="eastAsia" w:ascii="仿宋" w:hAnsi="仿宋" w:eastAsia="仿宋" w:cs="仿宋"/>
                <w:b w:val="0"/>
                <w:bCs w:val="0"/>
                <w:color w:val="auto"/>
                <w:sz w:val="30"/>
                <w:szCs w:val="30"/>
                <w:highlight w:val="none"/>
              </w:rPr>
              <w:t>按照</w:t>
            </w:r>
            <w:r>
              <w:rPr>
                <w:rFonts w:hint="eastAsia" w:ascii="仿宋" w:hAnsi="仿宋" w:eastAsia="仿宋" w:cs="仿宋"/>
                <w:b w:val="0"/>
                <w:bCs w:val="0"/>
                <w:color w:val="auto"/>
                <w:sz w:val="30"/>
                <w:szCs w:val="30"/>
                <w:highlight w:val="none"/>
                <w:lang w:val="en-US" w:eastAsia="zh-CN"/>
              </w:rPr>
              <w:t>2025年</w:t>
            </w:r>
            <w:r>
              <w:rPr>
                <w:rFonts w:hint="eastAsia" w:ascii="仿宋" w:hAnsi="仿宋" w:eastAsia="仿宋" w:cs="仿宋"/>
                <w:b w:val="0"/>
                <w:bCs w:val="0"/>
                <w:color w:val="auto"/>
                <w:sz w:val="30"/>
                <w:szCs w:val="30"/>
                <w:highlight w:val="none"/>
              </w:rPr>
              <w:t>建成中心城区面积35平方公里、人口35万人，</w:t>
            </w:r>
            <w:r>
              <w:rPr>
                <w:rFonts w:hint="eastAsia" w:ascii="仿宋" w:hAnsi="仿宋" w:eastAsia="仿宋" w:cs="仿宋"/>
                <w:b w:val="0"/>
                <w:bCs w:val="0"/>
                <w:color w:val="auto"/>
                <w:sz w:val="30"/>
                <w:szCs w:val="30"/>
                <w:highlight w:val="none"/>
                <w:lang w:val="en-US" w:eastAsia="zh-CN"/>
              </w:rPr>
              <w:t>2035年</w:t>
            </w:r>
            <w:r>
              <w:rPr>
                <w:rFonts w:hint="eastAsia" w:ascii="仿宋" w:hAnsi="仿宋" w:eastAsia="仿宋" w:cs="仿宋"/>
                <w:b w:val="0"/>
                <w:bCs w:val="0"/>
                <w:color w:val="auto"/>
                <w:sz w:val="30"/>
                <w:szCs w:val="30"/>
                <w:highlight w:val="none"/>
              </w:rPr>
              <w:t>建成中心城区面积50平方公里、50万人口，加快实施城市升级工程。</w:t>
            </w:r>
          </w:p>
          <w:p w14:paraId="209210AA">
            <w:pPr>
              <w:keepNext w:val="0"/>
              <w:keepLines w:val="0"/>
              <w:pageBreakBefore w:val="0"/>
              <w:widowControl w:val="0"/>
              <w:kinsoku/>
              <w:wordWrap/>
              <w:overflowPunct/>
              <w:topLinePunct w:val="0"/>
              <w:autoSpaceDE/>
              <w:autoSpaceDN/>
              <w:bidi w:val="0"/>
              <w:spacing w:line="450" w:lineRule="exact"/>
              <w:ind w:firstLine="602" w:firstLineChars="200"/>
              <w:jc w:val="both"/>
              <w:textAlignment w:val="auto"/>
              <w:rPr>
                <w:rFonts w:hint="eastAsia" w:ascii="仿宋" w:hAnsi="仿宋" w:eastAsia="仿宋" w:cs="仿宋"/>
                <w:b w:val="0"/>
                <w:bCs w:val="0"/>
                <w:color w:val="auto"/>
                <w:sz w:val="30"/>
                <w:szCs w:val="30"/>
                <w:highlight w:val="none"/>
              </w:rPr>
            </w:pPr>
            <w:r>
              <w:rPr>
                <w:rFonts w:hint="eastAsia" w:ascii="仿宋" w:hAnsi="仿宋" w:eastAsia="仿宋" w:cs="仿宋"/>
                <w:b/>
                <w:bCs/>
                <w:color w:val="auto"/>
                <w:kern w:val="2"/>
                <w:sz w:val="30"/>
                <w:szCs w:val="30"/>
                <w:highlight w:val="none"/>
                <w:lang w:val="en-US" w:eastAsia="zh-CN" w:bidi="ar-SA"/>
              </w:rPr>
              <w:t>2.城市道路：</w:t>
            </w:r>
            <w:r>
              <w:rPr>
                <w:rFonts w:hint="eastAsia" w:ascii="仿宋" w:hAnsi="仿宋" w:eastAsia="仿宋" w:cs="仿宋"/>
                <w:b w:val="0"/>
                <w:bCs w:val="0"/>
                <w:color w:val="auto"/>
                <w:sz w:val="30"/>
                <w:szCs w:val="30"/>
                <w:highlight w:val="none"/>
              </w:rPr>
              <w:t>新建</w:t>
            </w:r>
            <w:r>
              <w:rPr>
                <w:rFonts w:hint="eastAsia" w:ascii="仿宋" w:hAnsi="仿宋" w:eastAsia="仿宋" w:cs="仿宋"/>
                <w:b w:val="0"/>
                <w:bCs w:val="0"/>
                <w:color w:val="auto"/>
                <w:sz w:val="30"/>
                <w:szCs w:val="30"/>
                <w:highlight w:val="none"/>
                <w:lang w:eastAsia="zh-CN"/>
              </w:rPr>
              <w:t>四牌路、古城西路、</w:t>
            </w:r>
            <w:r>
              <w:rPr>
                <w:rFonts w:hint="eastAsia" w:ascii="仿宋" w:hAnsi="仿宋" w:eastAsia="仿宋" w:cs="仿宋"/>
                <w:b w:val="0"/>
                <w:bCs w:val="0"/>
                <w:color w:val="auto"/>
                <w:sz w:val="30"/>
                <w:szCs w:val="30"/>
                <w:highlight w:val="none"/>
              </w:rPr>
              <w:t>狮子山路、丰仁路、新东东路、富田路，新建云山北路、水云东路、春园东路、春园西路、春光北路、改造</w:t>
            </w:r>
            <w:r>
              <w:rPr>
                <w:rFonts w:hint="eastAsia" w:ascii="仿宋" w:hAnsi="仿宋" w:eastAsia="仿宋" w:cs="仿宋"/>
                <w:b w:val="0"/>
                <w:bCs w:val="0"/>
                <w:color w:val="auto"/>
                <w:sz w:val="30"/>
                <w:szCs w:val="30"/>
                <w:highlight w:val="none"/>
                <w:lang w:val="en-US" w:eastAsia="zh-CN"/>
              </w:rPr>
              <w:t>S220</w:t>
            </w:r>
            <w:r>
              <w:rPr>
                <w:rFonts w:hint="eastAsia" w:ascii="仿宋" w:hAnsi="仿宋" w:eastAsia="仿宋" w:cs="仿宋"/>
                <w:b w:val="0"/>
                <w:bCs w:val="0"/>
                <w:color w:val="auto"/>
                <w:sz w:val="30"/>
                <w:szCs w:val="30"/>
                <w:highlight w:val="none"/>
              </w:rPr>
              <w:t>（黄木冲至五里牌）、陶侃西路（武强路至税费办）、乐洋西路（云山路经马家桥至竹城公路）。</w:t>
            </w:r>
          </w:p>
          <w:p w14:paraId="5E221CE0">
            <w:pPr>
              <w:keepNext w:val="0"/>
              <w:keepLines w:val="0"/>
              <w:pageBreakBefore w:val="0"/>
              <w:widowControl w:val="0"/>
              <w:kinsoku/>
              <w:wordWrap/>
              <w:overflowPunct/>
              <w:topLinePunct w:val="0"/>
              <w:autoSpaceDE/>
              <w:autoSpaceDN/>
              <w:bidi w:val="0"/>
              <w:spacing w:line="450" w:lineRule="exact"/>
              <w:ind w:firstLine="602" w:firstLineChars="200"/>
              <w:jc w:val="both"/>
              <w:textAlignment w:val="auto"/>
              <w:rPr>
                <w:rFonts w:hint="eastAsia" w:ascii="仿宋" w:hAnsi="仿宋" w:eastAsia="仿宋" w:cs="仿宋"/>
                <w:b w:val="0"/>
                <w:bCs w:val="0"/>
                <w:color w:val="auto"/>
                <w:sz w:val="30"/>
                <w:szCs w:val="30"/>
                <w:highlight w:val="none"/>
              </w:rPr>
            </w:pPr>
            <w:r>
              <w:rPr>
                <w:rFonts w:hint="eastAsia" w:ascii="仿宋" w:hAnsi="仿宋" w:eastAsia="仿宋" w:cs="仿宋"/>
                <w:b/>
                <w:bCs/>
                <w:color w:val="auto"/>
                <w:kern w:val="2"/>
                <w:sz w:val="30"/>
                <w:szCs w:val="30"/>
                <w:highlight w:val="none"/>
                <w:lang w:val="en-US" w:eastAsia="zh-CN" w:bidi="ar-SA"/>
              </w:rPr>
              <w:t>3.城市基础设施：</w:t>
            </w:r>
            <w:r>
              <w:rPr>
                <w:rFonts w:hint="eastAsia" w:ascii="仿宋" w:hAnsi="仿宋" w:eastAsia="仿宋" w:cs="仿宋"/>
                <w:b w:val="0"/>
                <w:bCs w:val="0"/>
                <w:color w:val="auto"/>
                <w:sz w:val="30"/>
                <w:szCs w:val="30"/>
                <w:highlight w:val="none"/>
              </w:rPr>
              <w:t>城市地下综合管廊</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rPr>
              <w:t>智能停车场及配套充电桩。</w:t>
            </w:r>
          </w:p>
          <w:p w14:paraId="236632EF">
            <w:pPr>
              <w:pStyle w:val="9"/>
              <w:keepNext w:val="0"/>
              <w:keepLines w:val="0"/>
              <w:pageBreakBefore w:val="0"/>
              <w:widowControl w:val="0"/>
              <w:kinsoku/>
              <w:wordWrap/>
              <w:overflowPunct/>
              <w:topLinePunct w:val="0"/>
              <w:autoSpaceDE/>
              <w:autoSpaceDN/>
              <w:bidi w:val="0"/>
              <w:spacing w:line="450" w:lineRule="exact"/>
              <w:ind w:firstLine="602" w:firstLineChars="200"/>
              <w:jc w:val="both"/>
              <w:textAlignment w:val="auto"/>
              <w:rPr>
                <w:rFonts w:hint="eastAsia" w:ascii="仿宋" w:hAnsi="仿宋" w:eastAsia="仿宋" w:cs="仿宋"/>
                <w:b w:val="0"/>
                <w:bCs w:val="0"/>
                <w:color w:val="auto"/>
                <w:sz w:val="30"/>
                <w:szCs w:val="30"/>
                <w:highlight w:val="none"/>
                <w:lang w:eastAsia="zh-CN"/>
              </w:rPr>
            </w:pPr>
            <w:r>
              <w:rPr>
                <w:rFonts w:hint="eastAsia" w:ascii="仿宋" w:hAnsi="仿宋" w:eastAsia="仿宋" w:cs="仿宋"/>
                <w:b/>
                <w:bCs/>
                <w:color w:val="auto"/>
                <w:sz w:val="30"/>
                <w:szCs w:val="30"/>
                <w:highlight w:val="none"/>
              </w:rPr>
              <w:t>4.</w:t>
            </w:r>
            <w:r>
              <w:rPr>
                <w:rFonts w:hint="eastAsia" w:ascii="仿宋" w:hAnsi="仿宋" w:cs="仿宋"/>
                <w:b/>
                <w:bCs/>
                <w:color w:val="auto"/>
                <w:sz w:val="30"/>
                <w:szCs w:val="30"/>
                <w:highlight w:val="none"/>
                <w:lang w:eastAsia="zh-CN"/>
              </w:rPr>
              <w:t>绿化提质</w:t>
            </w:r>
            <w:r>
              <w:rPr>
                <w:rFonts w:hint="eastAsia" w:ascii="仿宋" w:hAnsi="仿宋" w:eastAsia="仿宋" w:cs="仿宋"/>
                <w:b/>
                <w:bCs/>
                <w:color w:val="auto"/>
                <w:sz w:val="30"/>
                <w:szCs w:val="30"/>
                <w:highlight w:val="none"/>
              </w:rPr>
              <w:t>：</w:t>
            </w:r>
            <w:r>
              <w:rPr>
                <w:rFonts w:hint="eastAsia" w:ascii="仿宋" w:hAnsi="仿宋" w:eastAsia="仿宋" w:cs="仿宋"/>
                <w:b w:val="0"/>
                <w:bCs w:val="0"/>
                <w:color w:val="auto"/>
                <w:sz w:val="30"/>
                <w:szCs w:val="30"/>
                <w:highlight w:val="none"/>
                <w:lang w:eastAsia="zh-CN"/>
              </w:rPr>
              <w:t>新建</w:t>
            </w:r>
            <w:r>
              <w:rPr>
                <w:rFonts w:hint="eastAsia" w:ascii="仿宋" w:hAnsi="仿宋" w:eastAsia="仿宋" w:cs="仿宋"/>
                <w:b w:val="0"/>
                <w:bCs w:val="0"/>
                <w:color w:val="auto"/>
                <w:sz w:val="30"/>
                <w:szCs w:val="30"/>
                <w:highlight w:val="none"/>
              </w:rPr>
              <w:t>周家垅公园、新东公园、七里公园</w:t>
            </w:r>
            <w:r>
              <w:rPr>
                <w:rFonts w:hint="eastAsia" w:ascii="仿宋" w:hAnsi="仿宋" w:eastAsia="仿宋" w:cs="仿宋"/>
                <w:b w:val="0"/>
                <w:bCs w:val="0"/>
                <w:color w:val="auto"/>
                <w:sz w:val="30"/>
                <w:szCs w:val="30"/>
                <w:highlight w:val="none"/>
                <w:lang w:eastAsia="zh-CN"/>
              </w:rPr>
              <w:t>，提质改造</w:t>
            </w:r>
            <w:r>
              <w:rPr>
                <w:rFonts w:hint="eastAsia" w:ascii="仿宋" w:hAnsi="仿宋" w:eastAsia="仿宋" w:cs="仿宋"/>
                <w:b w:val="0"/>
                <w:bCs w:val="0"/>
                <w:color w:val="auto"/>
                <w:sz w:val="30"/>
                <w:szCs w:val="30"/>
                <w:highlight w:val="none"/>
              </w:rPr>
              <w:t>三公园两广场（法相岩公园、荷花公园、王城公园、王城广场、百姓广场）</w:t>
            </w:r>
            <w:r>
              <w:rPr>
                <w:rFonts w:hint="eastAsia" w:ascii="仿宋" w:hAnsi="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rPr>
              <w:t>城区公共绿地建设</w:t>
            </w:r>
            <w:r>
              <w:rPr>
                <w:rFonts w:hint="eastAsia" w:ascii="仿宋" w:hAnsi="仿宋" w:cs="仿宋"/>
                <w:b w:val="0"/>
                <w:bCs w:val="0"/>
                <w:color w:val="auto"/>
                <w:sz w:val="30"/>
                <w:szCs w:val="30"/>
                <w:highlight w:val="none"/>
                <w:lang w:eastAsia="zh-CN"/>
              </w:rPr>
              <w:t>。</w:t>
            </w:r>
          </w:p>
          <w:p w14:paraId="255EE814">
            <w:pPr>
              <w:pStyle w:val="10"/>
              <w:keepNext w:val="0"/>
              <w:keepLines w:val="0"/>
              <w:pageBreakBefore w:val="0"/>
              <w:widowControl w:val="0"/>
              <w:kinsoku/>
              <w:wordWrap/>
              <w:overflowPunct/>
              <w:topLinePunct w:val="0"/>
              <w:autoSpaceDE/>
              <w:autoSpaceDN/>
              <w:bidi w:val="0"/>
              <w:spacing w:line="450" w:lineRule="exact"/>
              <w:ind w:firstLine="602" w:firstLineChars="200"/>
              <w:jc w:val="both"/>
              <w:textAlignment w:val="auto"/>
              <w:rPr>
                <w:rFonts w:hint="eastAsia" w:ascii="仿宋" w:hAnsi="仿宋" w:eastAsia="仿宋" w:cs="仿宋"/>
                <w:b w:val="0"/>
                <w:bCs w:val="0"/>
                <w:color w:val="auto"/>
                <w:sz w:val="30"/>
                <w:szCs w:val="30"/>
                <w:highlight w:val="none"/>
              </w:rPr>
            </w:pPr>
            <w:r>
              <w:rPr>
                <w:rFonts w:hint="eastAsia" w:ascii="仿宋" w:hAnsi="仿宋" w:eastAsia="仿宋" w:cs="仿宋"/>
                <w:b/>
                <w:bCs/>
                <w:color w:val="auto"/>
                <w:sz w:val="30"/>
                <w:szCs w:val="30"/>
                <w:highlight w:val="none"/>
              </w:rPr>
              <w:t>5.供排水工程：</w:t>
            </w:r>
            <w:r>
              <w:rPr>
                <w:rFonts w:hint="eastAsia" w:ascii="仿宋" w:hAnsi="仿宋" w:eastAsia="仿宋" w:cs="仿宋"/>
                <w:b w:val="0"/>
                <w:bCs w:val="0"/>
                <w:color w:val="auto"/>
                <w:sz w:val="30"/>
                <w:szCs w:val="30"/>
                <w:highlight w:val="none"/>
              </w:rPr>
              <w:t>城区排水防涝设施建设工程、城区供水管网改造工程。</w:t>
            </w:r>
          </w:p>
          <w:p w14:paraId="0E928D23">
            <w:pPr>
              <w:pStyle w:val="10"/>
              <w:keepNext w:val="0"/>
              <w:keepLines w:val="0"/>
              <w:pageBreakBefore w:val="0"/>
              <w:widowControl w:val="0"/>
              <w:kinsoku/>
              <w:wordWrap/>
              <w:overflowPunct/>
              <w:topLinePunct w:val="0"/>
              <w:autoSpaceDE/>
              <w:autoSpaceDN/>
              <w:bidi w:val="0"/>
              <w:spacing w:line="450" w:lineRule="exact"/>
              <w:ind w:firstLine="602" w:firstLineChars="200"/>
              <w:jc w:val="both"/>
              <w:textAlignment w:val="auto"/>
              <w:rPr>
                <w:rFonts w:ascii="仿宋" w:hAnsi="仿宋" w:eastAsia="仿宋" w:cs="仿宋"/>
                <w:color w:val="auto"/>
                <w:kern w:val="0"/>
                <w:szCs w:val="28"/>
                <w:highlight w:val="none"/>
              </w:rPr>
            </w:pPr>
            <w:r>
              <w:rPr>
                <w:rFonts w:hint="eastAsia" w:ascii="仿宋" w:hAnsi="仿宋" w:eastAsia="仿宋" w:cs="仿宋"/>
                <w:b/>
                <w:bCs/>
                <w:color w:val="auto"/>
                <w:sz w:val="30"/>
                <w:szCs w:val="30"/>
                <w:highlight w:val="none"/>
              </w:rPr>
              <w:t>6.其他市政工程：</w:t>
            </w:r>
            <w:r>
              <w:rPr>
                <w:rFonts w:hint="eastAsia" w:ascii="仿宋" w:hAnsi="仿宋" w:eastAsia="仿宋" w:cs="仿宋"/>
                <w:b w:val="0"/>
                <w:bCs w:val="0"/>
                <w:color w:val="auto"/>
                <w:sz w:val="30"/>
                <w:szCs w:val="30"/>
                <w:highlight w:val="none"/>
              </w:rPr>
              <w:t>城市公厕升级改造建设项目、背街小巷改造工程</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rPr>
              <w:t>步行街基础设施改造工程、城区市政公共基础设施项目</w:t>
            </w:r>
            <w:r>
              <w:rPr>
                <w:rFonts w:hint="eastAsia" w:ascii="仿宋" w:hAnsi="仿宋" w:eastAsia="仿宋" w:cs="仿宋"/>
                <w:b w:val="0"/>
                <w:bCs w:val="0"/>
                <w:color w:val="auto"/>
                <w:sz w:val="30"/>
                <w:szCs w:val="30"/>
                <w:highlight w:val="none"/>
                <w:lang w:eastAsia="zh-CN"/>
              </w:rPr>
              <w:t>、绿色照明节能改建工程、城市夜景照明工程建设、城区主次干道和老旧小区路灯安装工程。</w:t>
            </w:r>
          </w:p>
        </w:tc>
      </w:tr>
    </w:tbl>
    <w:p w14:paraId="2181B7B3">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highlight w:val="none"/>
          <w:lang w:val="en-US" w:eastAsia="zh-CN"/>
        </w:rPr>
      </w:pPr>
      <w:bookmarkStart w:id="112" w:name="_Toc29252"/>
      <w:r>
        <w:rPr>
          <w:rFonts w:hint="eastAsia" w:ascii="黑体" w:hAnsi="黑体" w:eastAsia="黑体" w:cs="黑体"/>
          <w:b w:val="0"/>
          <w:bCs/>
          <w:color w:val="auto"/>
          <w:kern w:val="44"/>
          <w:sz w:val="32"/>
          <w:szCs w:val="32"/>
          <w:highlight w:val="none"/>
          <w:lang w:val="en-US" w:eastAsia="zh-CN" w:bidi="ar-SA"/>
        </w:rPr>
        <w:t>第五节 做大做强特色小镇</w:t>
      </w:r>
      <w:bookmarkEnd w:id="111"/>
      <w:bookmarkEnd w:id="112"/>
    </w:p>
    <w:p w14:paraId="3529AE23">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32"/>
          <w:szCs w:val="32"/>
          <w:highlight w:val="none"/>
          <w:lang w:eastAsia="zh-CN"/>
        </w:rPr>
        <w:t>准确把握特色小镇发展定位，以培育发展主导产业为重点，促进产城人文融合，突出企业主体地位，健全激励约束机制和规范管理机制，有力有序有效推进特色小镇规范健康发展。</w:t>
      </w:r>
    </w:p>
    <w:p w14:paraId="062FD8D8">
      <w:pPr>
        <w:keepNext w:val="0"/>
        <w:keepLines w:val="0"/>
        <w:pageBreakBefore w:val="0"/>
        <w:widowControl w:val="0"/>
        <w:kinsoku/>
        <w:wordWrap/>
        <w:overflowPunct/>
        <w:topLinePunct w:val="0"/>
        <w:autoSpaceDE/>
        <w:autoSpaceDN/>
        <w:bidi w:val="0"/>
        <w:adjustRightInd/>
        <w:snapToGrid/>
        <w:spacing w:line="630" w:lineRule="exact"/>
        <w:ind w:firstLine="601"/>
        <w:jc w:val="both"/>
        <w:textAlignment w:val="auto"/>
        <w:rPr>
          <w:rFonts w:hint="eastAsia" w:ascii="仿宋" w:hAnsi="仿宋" w:eastAsia="仿宋" w:cs="仿宋"/>
          <w:color w:val="auto"/>
          <w:szCs w:val="30"/>
          <w:highlight w:val="none"/>
        </w:rPr>
      </w:pPr>
      <w:r>
        <w:rPr>
          <w:rFonts w:hint="eastAsia" w:ascii="楷体" w:hAnsi="楷体" w:eastAsia="楷体" w:cs="楷体"/>
          <w:b/>
          <w:bCs/>
          <w:color w:val="auto"/>
          <w:kern w:val="0"/>
          <w:szCs w:val="30"/>
          <w:highlight w:val="none"/>
        </w:rPr>
        <w:t>分类引导培育特色小镇。</w:t>
      </w:r>
      <w:r>
        <w:rPr>
          <w:rFonts w:hint="eastAsia" w:ascii="仿宋" w:hAnsi="仿宋" w:eastAsia="仿宋" w:cs="仿宋"/>
          <w:color w:val="auto"/>
          <w:szCs w:val="30"/>
          <w:highlight w:val="none"/>
        </w:rPr>
        <w:t>聚焦现代农业、农产品精深加工、文化旅游等领域，启动一批产业强镇、旅游名镇、风情小镇建设，分类引导特色小镇发展。</w:t>
      </w:r>
      <w:r>
        <w:rPr>
          <w:rFonts w:hint="eastAsia" w:ascii="仿宋" w:hAnsi="仿宋" w:eastAsia="仿宋" w:cs="仿宋"/>
          <w:color w:val="auto"/>
          <w:szCs w:val="30"/>
          <w:highlight w:val="none"/>
          <w:lang w:eastAsia="zh-CN"/>
        </w:rPr>
        <w:t>加快</w:t>
      </w:r>
      <w:r>
        <w:rPr>
          <w:rFonts w:hint="eastAsia" w:ascii="仿宋" w:hAnsi="仿宋" w:eastAsia="仿宋" w:cs="仿宋"/>
          <w:color w:val="auto"/>
          <w:szCs w:val="30"/>
          <w:highlight w:val="none"/>
        </w:rPr>
        <w:t>都梁文旅休闲特色小镇，狮子湖</w:t>
      </w:r>
      <w:r>
        <w:rPr>
          <w:rFonts w:hint="eastAsia" w:ascii="仿宋" w:hAnsi="仿宋" w:eastAsia="仿宋" w:cs="仿宋"/>
          <w:color w:val="auto"/>
          <w:szCs w:val="30"/>
          <w:highlight w:val="none"/>
          <w:lang w:eastAsia="zh-CN"/>
        </w:rPr>
        <w:t>影视文化</w:t>
      </w:r>
      <w:r>
        <w:rPr>
          <w:rFonts w:hint="eastAsia" w:ascii="仿宋" w:hAnsi="仿宋" w:eastAsia="仿宋" w:cs="仿宋"/>
          <w:color w:val="auto"/>
          <w:szCs w:val="30"/>
          <w:highlight w:val="none"/>
        </w:rPr>
        <w:t>生态园</w:t>
      </w:r>
      <w:r>
        <w:rPr>
          <w:rFonts w:hint="eastAsia" w:ascii="仿宋" w:hAnsi="仿宋" w:eastAsia="仿宋" w:cs="仿宋"/>
          <w:color w:val="auto"/>
          <w:szCs w:val="30"/>
          <w:highlight w:val="none"/>
          <w:lang w:eastAsia="zh-CN"/>
        </w:rPr>
        <w:t>、天子山康养小镇、</w:t>
      </w:r>
      <w:r>
        <w:rPr>
          <w:rFonts w:hint="eastAsia" w:ascii="仿宋" w:hAnsi="仿宋" w:eastAsia="仿宋" w:cs="仿宋"/>
          <w:color w:val="auto"/>
          <w:szCs w:val="30"/>
          <w:highlight w:val="none"/>
        </w:rPr>
        <w:t>卤都啤酒特色小镇</w:t>
      </w:r>
      <w:r>
        <w:rPr>
          <w:rFonts w:hint="eastAsia" w:ascii="仿宋" w:hAnsi="仿宋" w:eastAsia="仿宋" w:cs="仿宋"/>
          <w:color w:val="auto"/>
          <w:szCs w:val="30"/>
          <w:highlight w:val="none"/>
          <w:lang w:eastAsia="zh-CN"/>
        </w:rPr>
        <w:t>、</w:t>
      </w:r>
      <w:r>
        <w:rPr>
          <w:rFonts w:hint="eastAsia" w:ascii="仿宋" w:hAnsi="仿宋" w:eastAsia="仿宋" w:cs="仿宋"/>
          <w:color w:val="auto"/>
          <w:szCs w:val="30"/>
          <w:highlight w:val="none"/>
        </w:rPr>
        <w:t>古山运动休闲小镇</w:t>
      </w:r>
      <w:r>
        <w:rPr>
          <w:rFonts w:hint="eastAsia" w:ascii="仿宋" w:hAnsi="仿宋" w:eastAsia="仿宋" w:cs="仿宋"/>
          <w:color w:val="auto"/>
          <w:szCs w:val="30"/>
          <w:highlight w:val="none"/>
          <w:lang w:eastAsia="zh-CN"/>
        </w:rPr>
        <w:t>、浪石古民居特色小镇</w:t>
      </w:r>
      <w:r>
        <w:rPr>
          <w:rFonts w:hint="eastAsia" w:ascii="仿宋" w:hAnsi="仿宋" w:eastAsia="仿宋" w:cs="仿宋"/>
          <w:color w:val="auto"/>
          <w:szCs w:val="30"/>
          <w:highlight w:val="none"/>
        </w:rPr>
        <w:t>建设，创建一批省级、市级特色小镇。</w:t>
      </w:r>
      <w:r>
        <w:rPr>
          <w:rFonts w:hint="eastAsia" w:ascii="仿宋" w:hAnsi="仿宋" w:eastAsia="仿宋" w:cs="仿宋"/>
          <w:color w:val="auto"/>
          <w:szCs w:val="30"/>
          <w:highlight w:val="none"/>
          <w:lang w:eastAsia="zh-CN"/>
        </w:rPr>
        <w:t>力争到</w:t>
      </w:r>
      <w:r>
        <w:rPr>
          <w:rFonts w:hint="eastAsia" w:ascii="仿宋" w:hAnsi="仿宋" w:eastAsia="仿宋" w:cs="仿宋"/>
          <w:color w:val="auto"/>
          <w:szCs w:val="30"/>
          <w:highlight w:val="none"/>
        </w:rPr>
        <w:t>2025年，全市实现培育和创建10个特色小镇</w:t>
      </w:r>
      <w:r>
        <w:rPr>
          <w:rFonts w:hint="eastAsia" w:ascii="仿宋" w:hAnsi="仿宋" w:eastAsia="仿宋" w:cs="仿宋"/>
          <w:color w:val="auto"/>
          <w:szCs w:val="30"/>
          <w:highlight w:val="none"/>
          <w:lang w:eastAsia="zh-CN"/>
        </w:rPr>
        <w:t>，</w:t>
      </w:r>
      <w:r>
        <w:rPr>
          <w:rFonts w:hint="eastAsia" w:ascii="仿宋" w:hAnsi="仿宋" w:eastAsia="仿宋" w:cs="仿宋"/>
          <w:color w:val="auto"/>
          <w:szCs w:val="30"/>
          <w:highlight w:val="none"/>
        </w:rPr>
        <w:t>其中1个在全省乃至全国具有一定影响力，3-5个以上产业能级达到30亿级。</w:t>
      </w:r>
    </w:p>
    <w:p w14:paraId="475D1502">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szCs w:val="30"/>
          <w:highlight w:val="none"/>
        </w:rPr>
      </w:pPr>
      <w:r>
        <w:rPr>
          <w:rFonts w:eastAsia="楷体"/>
          <w:b/>
          <w:color w:val="auto"/>
          <w:szCs w:val="30"/>
          <w:highlight w:val="none"/>
        </w:rPr>
        <w:t>加强基础设施配套建设。</w:t>
      </w:r>
      <w:r>
        <w:rPr>
          <w:rFonts w:hint="eastAsia" w:ascii="仿宋" w:hAnsi="仿宋" w:eastAsia="仿宋" w:cs="仿宋"/>
          <w:color w:val="auto"/>
          <w:szCs w:val="30"/>
          <w:highlight w:val="none"/>
        </w:rPr>
        <w:t>全力做好</w:t>
      </w:r>
      <w:r>
        <w:rPr>
          <w:rFonts w:hint="eastAsia" w:ascii="仿宋" w:hAnsi="仿宋" w:eastAsia="仿宋" w:cs="仿宋"/>
          <w:color w:val="auto"/>
          <w:szCs w:val="30"/>
          <w:highlight w:val="none"/>
          <w:lang w:eastAsia="zh-CN"/>
        </w:rPr>
        <w:t>特色小镇</w:t>
      </w:r>
      <w:r>
        <w:rPr>
          <w:rFonts w:hint="eastAsia" w:ascii="仿宋" w:hAnsi="仿宋" w:eastAsia="仿宋" w:cs="仿宋"/>
          <w:color w:val="auto"/>
          <w:szCs w:val="30"/>
          <w:highlight w:val="none"/>
        </w:rPr>
        <w:t>基础设施配套建设，</w:t>
      </w:r>
      <w:r>
        <w:rPr>
          <w:rFonts w:hint="eastAsia" w:ascii="仿宋" w:hAnsi="仿宋" w:eastAsia="仿宋" w:cs="仿宋"/>
          <w:color w:val="auto"/>
          <w:kern w:val="0"/>
          <w:szCs w:val="30"/>
          <w:highlight w:val="none"/>
        </w:rPr>
        <w:t>重点推进交通、通讯、给排水、污水垃圾处理、农贸市场、商贸物流等市政设施及教育、文化、体育等公共服务设施，完成</w:t>
      </w:r>
      <w:r>
        <w:rPr>
          <w:rFonts w:hint="eastAsia" w:ascii="仿宋" w:hAnsi="仿宋" w:eastAsia="仿宋" w:cs="仿宋"/>
          <w:color w:val="auto"/>
          <w:szCs w:val="30"/>
          <w:highlight w:val="none"/>
        </w:rPr>
        <w:t>邓家铺镇、大甸镇小城镇开发。</w:t>
      </w:r>
      <w:r>
        <w:rPr>
          <w:rFonts w:hint="eastAsia" w:ascii="仿宋" w:hAnsi="仿宋" w:eastAsia="仿宋" w:cs="仿宋"/>
          <w:color w:val="auto"/>
          <w:kern w:val="0"/>
          <w:szCs w:val="30"/>
          <w:highlight w:val="none"/>
        </w:rPr>
        <w:t>建设14个乡镇污水处理厂，配套建设污水管网30.4KM。提升公共配套和基本服务功能，发挥特色小城镇在吸纳人口、产业发展、资源集聚、活跃市场、公共服务等方面的突出作用，着力将小城镇建设为推进城乡一体化的重要载体，落实住房、就业、创业、教育等政策，</w:t>
      </w:r>
      <w:r>
        <w:rPr>
          <w:rFonts w:hint="eastAsia" w:ascii="仿宋" w:hAnsi="仿宋" w:eastAsia="仿宋" w:cs="仿宋"/>
          <w:color w:val="auto"/>
          <w:szCs w:val="30"/>
          <w:highlight w:val="none"/>
        </w:rPr>
        <w:t>推动农村人口就近转移就业，</w:t>
      </w:r>
      <w:r>
        <w:rPr>
          <w:rFonts w:hint="eastAsia" w:ascii="仿宋" w:hAnsi="仿宋" w:eastAsia="仿宋" w:cs="仿宋"/>
          <w:color w:val="auto"/>
          <w:kern w:val="0"/>
          <w:szCs w:val="30"/>
          <w:highlight w:val="none"/>
        </w:rPr>
        <w:t>享受</w:t>
      </w:r>
      <w:r>
        <w:rPr>
          <w:rFonts w:hint="eastAsia" w:ascii="仿宋" w:hAnsi="仿宋" w:eastAsia="仿宋" w:cs="仿宋"/>
          <w:color w:val="auto"/>
          <w:kern w:val="0"/>
          <w:szCs w:val="30"/>
          <w:highlight w:val="none"/>
          <w:lang w:eastAsia="zh-CN"/>
        </w:rPr>
        <w:t>城市</w:t>
      </w:r>
      <w:r>
        <w:rPr>
          <w:rFonts w:hint="eastAsia" w:ascii="仿宋" w:hAnsi="仿宋" w:eastAsia="仿宋" w:cs="仿宋"/>
          <w:color w:val="auto"/>
          <w:kern w:val="0"/>
          <w:szCs w:val="30"/>
          <w:highlight w:val="none"/>
        </w:rPr>
        <w:t>居民同等待遇</w:t>
      </w:r>
      <w:r>
        <w:rPr>
          <w:rFonts w:hint="eastAsia" w:ascii="仿宋" w:hAnsi="仿宋" w:eastAsia="仿宋" w:cs="仿宋"/>
          <w:color w:val="auto"/>
          <w:szCs w:val="30"/>
          <w:highlight w:val="none"/>
        </w:rPr>
        <w:t>。</w:t>
      </w:r>
    </w:p>
    <w:bookmarkEnd w:id="103"/>
    <w:p w14:paraId="1B3C34D2">
      <w:pPr>
        <w:pStyle w:val="3"/>
        <w:keepNext/>
        <w:keepLines/>
        <w:pageBreakBefore w:val="0"/>
        <w:widowControl w:val="0"/>
        <w:kinsoku/>
        <w:wordWrap/>
        <w:overflowPunct/>
        <w:topLinePunct w:val="0"/>
        <w:autoSpaceDE/>
        <w:autoSpaceDN/>
        <w:bidi w:val="0"/>
        <w:adjustRightInd/>
        <w:snapToGrid/>
        <w:spacing w:before="200" w:after="200" w:line="420" w:lineRule="auto"/>
        <w:jc w:val="center"/>
        <w:textAlignment w:val="auto"/>
        <w:rPr>
          <w:rFonts w:hint="eastAsia"/>
          <w:bCs/>
          <w:color w:val="auto"/>
          <w:szCs w:val="32"/>
          <w:highlight w:val="none"/>
        </w:rPr>
      </w:pPr>
      <w:bookmarkStart w:id="113" w:name="_Toc27829"/>
      <w:r>
        <w:rPr>
          <w:rFonts w:hint="eastAsia" w:ascii="黑体" w:hAnsi="黑体" w:eastAsia="黑体" w:cs="黑体"/>
          <w:bCs/>
          <w:color w:val="auto"/>
          <w:szCs w:val="32"/>
          <w:highlight w:val="none"/>
          <w:lang w:val="en-US" w:eastAsia="zh-CN"/>
        </w:rPr>
        <w:t>第九章 繁荣发展文化事业，打造武冈特色文化</w:t>
      </w:r>
      <w:bookmarkEnd w:id="113"/>
    </w:p>
    <w:p w14:paraId="4668AC6D">
      <w:pPr>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auto"/>
          <w:kern w:val="0"/>
          <w:szCs w:val="30"/>
          <w:highlight w:val="none"/>
          <w:lang w:eastAsia="zh-CN"/>
        </w:rPr>
      </w:pPr>
      <w:r>
        <w:rPr>
          <w:rFonts w:hint="eastAsia" w:ascii="仿宋" w:hAnsi="仿宋" w:eastAsia="仿宋" w:cs="仿宋"/>
          <w:color w:val="auto"/>
          <w:kern w:val="0"/>
          <w:szCs w:val="30"/>
          <w:highlight w:val="none"/>
          <w:lang w:val="en-US" w:eastAsia="zh-CN"/>
        </w:rPr>
        <w:t>传承红色文化，整合历史文化，建设旅游文化，充分挖掘武冈深厚的文化底蕴，推进文化产业建设，</w:t>
      </w:r>
      <w:r>
        <w:rPr>
          <w:rFonts w:hint="eastAsia" w:ascii="仿宋" w:hAnsi="仿宋" w:eastAsia="仿宋" w:cs="仿宋"/>
          <w:color w:val="auto"/>
          <w:kern w:val="0"/>
          <w:szCs w:val="30"/>
          <w:highlight w:val="none"/>
        </w:rPr>
        <w:t>促进</w:t>
      </w:r>
      <w:r>
        <w:rPr>
          <w:rFonts w:hint="eastAsia" w:ascii="仿宋" w:hAnsi="仿宋" w:eastAsia="仿宋" w:cs="仿宋"/>
          <w:color w:val="auto"/>
          <w:kern w:val="0"/>
          <w:szCs w:val="30"/>
          <w:highlight w:val="none"/>
          <w:lang w:val="en-US" w:eastAsia="zh-CN"/>
        </w:rPr>
        <w:t>武冈</w:t>
      </w:r>
      <w:r>
        <w:rPr>
          <w:rFonts w:hint="eastAsia" w:ascii="仿宋" w:hAnsi="仿宋" w:eastAsia="仿宋" w:cs="仿宋"/>
          <w:color w:val="auto"/>
          <w:kern w:val="0"/>
          <w:szCs w:val="30"/>
          <w:highlight w:val="none"/>
        </w:rPr>
        <w:t>文化大发展大繁荣。</w:t>
      </w:r>
    </w:p>
    <w:p w14:paraId="3D7836D4">
      <w:pPr>
        <w:pStyle w:val="4"/>
        <w:keepNext/>
        <w:keepLines/>
        <w:pageBreakBefore w:val="0"/>
        <w:widowControl w:val="0"/>
        <w:kinsoku/>
        <w:wordWrap/>
        <w:overflowPunct/>
        <w:topLinePunct w:val="0"/>
        <w:autoSpaceDE/>
        <w:autoSpaceDN/>
        <w:bidi w:val="0"/>
        <w:adjustRightInd/>
        <w:snapToGrid/>
        <w:spacing w:before="0" w:after="0" w:line="600" w:lineRule="exact"/>
        <w:jc w:val="center"/>
        <w:textAlignment w:val="auto"/>
        <w:rPr>
          <w:rFonts w:hint="eastAsia" w:ascii="黑体" w:hAnsi="黑体" w:eastAsia="黑体" w:cs="黑体"/>
          <w:b w:val="0"/>
          <w:bCs/>
          <w:color w:val="auto"/>
          <w:highlight w:val="none"/>
        </w:rPr>
      </w:pPr>
      <w:bookmarkStart w:id="114" w:name="_Toc11637"/>
      <w:bookmarkStart w:id="115" w:name="_Toc18034"/>
      <w:r>
        <w:rPr>
          <w:rFonts w:hint="eastAsia" w:ascii="黑体" w:hAnsi="黑体" w:eastAsia="黑体" w:cs="黑体"/>
          <w:b w:val="0"/>
          <w:bCs/>
          <w:color w:val="auto"/>
          <w:kern w:val="44"/>
          <w:sz w:val="32"/>
          <w:szCs w:val="32"/>
          <w:highlight w:val="none"/>
          <w:lang w:val="en-US" w:eastAsia="zh-CN" w:bidi="ar-SA"/>
        </w:rPr>
        <w:t>第一节 传承弘扬红色文化</w:t>
      </w:r>
      <w:bookmarkEnd w:id="114"/>
    </w:p>
    <w:p w14:paraId="1A646BD9">
      <w:pPr>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b/>
          <w:color w:val="auto"/>
          <w:sz w:val="32"/>
          <w:szCs w:val="32"/>
          <w:highlight w:val="none"/>
          <w:lang w:val="en-US" w:eastAsia="zh-CN"/>
        </w:rPr>
      </w:pPr>
      <w:r>
        <w:rPr>
          <w:rFonts w:hint="eastAsia" w:ascii="仿宋" w:hAnsi="仿宋" w:eastAsia="仿宋" w:cs="仿宋"/>
          <w:color w:val="auto"/>
          <w:highlight w:val="none"/>
          <w:lang w:val="en-US" w:eastAsia="zh-CN"/>
        </w:rPr>
        <w:t>弘扬社会主义核心价值观，</w:t>
      </w:r>
      <w:r>
        <w:rPr>
          <w:rFonts w:hint="eastAsia" w:ascii="仿宋" w:hAnsi="仿宋" w:eastAsia="仿宋" w:cs="仿宋"/>
          <w:color w:val="auto"/>
          <w:highlight w:val="none"/>
          <w:lang w:eastAsia="zh-CN"/>
        </w:rPr>
        <w:t>弘扬红色文化，传承革命精神，</w:t>
      </w:r>
      <w:r>
        <w:rPr>
          <w:rFonts w:hint="eastAsia" w:ascii="仿宋" w:hAnsi="仿宋" w:eastAsia="仿宋" w:cs="仿宋"/>
          <w:color w:val="auto"/>
          <w:highlight w:val="none"/>
          <w:lang w:val="en-US" w:eastAsia="zh-CN"/>
        </w:rPr>
        <w:t>传承武冈红色文化内核。</w:t>
      </w:r>
    </w:p>
    <w:p w14:paraId="6B86C5A6">
      <w:pPr>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color w:val="auto"/>
          <w:sz w:val="32"/>
          <w:szCs w:val="32"/>
          <w:highlight w:val="none"/>
        </w:rPr>
      </w:pPr>
      <w:r>
        <w:rPr>
          <w:rFonts w:hint="eastAsia" w:ascii="KaiTi_GB2312" w:hAnsi="KaiTi_GB2312" w:eastAsia="KaiTi_GB2312" w:cs="KaiTi_GB2312"/>
          <w:b/>
          <w:color w:val="auto"/>
          <w:sz w:val="32"/>
          <w:szCs w:val="32"/>
          <w:highlight w:val="none"/>
          <w:lang w:val="en-US" w:eastAsia="zh-CN"/>
        </w:rPr>
        <w:t>弘扬社会主义核心价值观。</w:t>
      </w:r>
      <w:r>
        <w:rPr>
          <w:rFonts w:hint="eastAsia" w:ascii="仿宋" w:hAnsi="仿宋" w:eastAsia="仿宋" w:cs="仿宋"/>
          <w:color w:val="auto"/>
          <w:sz w:val="32"/>
          <w:szCs w:val="32"/>
          <w:highlight w:val="none"/>
        </w:rPr>
        <w:t>广泛开展中国特色社会主义、中国梦宣传教育，深入推进社会主义核心价值观宣传教育，引导群众坚定理想信念，传承弘扬中国人民的伟大创造精神、奋斗精神、团结精神、梦想精神。推动理想信念教育常态化制度化，加强党史、新中国史、改革开放史、社会主义发展史教育，弘扬党和人民在各个历史时期奋斗中形成的伟大精神。健全志愿服务体系，广泛开展志愿服务关爱行动。弘扬诚信文化，推进诚信建设。提倡艰苦奋斗、勤俭节约，开展以劳动创造幸福为主题的宣传教育。加强家庭、家教、家风建设。深化拓展新时代群众性精神文明创建活动，推进</w:t>
      </w:r>
      <w:r>
        <w:rPr>
          <w:rFonts w:hint="eastAsia" w:ascii="仿宋" w:hAnsi="仿宋" w:eastAsia="仿宋" w:cs="仿宋"/>
          <w:color w:val="auto"/>
          <w:sz w:val="32"/>
          <w:szCs w:val="32"/>
          <w:highlight w:val="none"/>
          <w:lang w:eastAsia="zh-CN"/>
        </w:rPr>
        <w:t>全国</w:t>
      </w:r>
      <w:r>
        <w:rPr>
          <w:rFonts w:hint="eastAsia" w:ascii="仿宋" w:hAnsi="仿宋" w:eastAsia="仿宋" w:cs="仿宋"/>
          <w:color w:val="auto"/>
          <w:sz w:val="32"/>
          <w:szCs w:val="32"/>
          <w:highlight w:val="none"/>
        </w:rPr>
        <w:t>新时代文明实践中心建设</w:t>
      </w:r>
      <w:r>
        <w:rPr>
          <w:rFonts w:hint="eastAsia" w:ascii="仿宋" w:hAnsi="仿宋" w:eastAsia="仿宋" w:cs="仿宋"/>
          <w:color w:val="auto"/>
          <w:sz w:val="32"/>
          <w:szCs w:val="32"/>
          <w:highlight w:val="none"/>
          <w:lang w:eastAsia="zh-CN"/>
        </w:rPr>
        <w:t>示范市创建活动</w:t>
      </w:r>
      <w:r>
        <w:rPr>
          <w:rFonts w:hint="eastAsia" w:ascii="仿宋" w:hAnsi="仿宋" w:eastAsia="仿宋" w:cs="仿宋"/>
          <w:color w:val="auto"/>
          <w:sz w:val="32"/>
          <w:szCs w:val="32"/>
          <w:highlight w:val="none"/>
        </w:rPr>
        <w:t>，开展“学雷锋”志愿服务活动。深化群众性精神文明创建活动，</w:t>
      </w:r>
      <w:r>
        <w:rPr>
          <w:rFonts w:hint="eastAsia" w:ascii="仿宋" w:hAnsi="仿宋" w:eastAsia="仿宋" w:cs="仿宋"/>
          <w:color w:val="auto"/>
          <w:sz w:val="32"/>
          <w:szCs w:val="32"/>
          <w:highlight w:val="none"/>
          <w:lang w:eastAsia="zh-CN"/>
        </w:rPr>
        <w:t>争创省级</w:t>
      </w:r>
      <w:r>
        <w:rPr>
          <w:rFonts w:hint="eastAsia" w:ascii="仿宋" w:hAnsi="仿宋" w:eastAsia="仿宋" w:cs="仿宋"/>
          <w:color w:val="auto"/>
          <w:sz w:val="32"/>
          <w:szCs w:val="32"/>
          <w:highlight w:val="none"/>
        </w:rPr>
        <w:t>文明城市</w:t>
      </w:r>
      <w:r>
        <w:rPr>
          <w:rFonts w:hint="eastAsia" w:ascii="仿宋" w:hAnsi="仿宋" w:eastAsia="仿宋" w:cs="仿宋"/>
          <w:color w:val="auto"/>
          <w:sz w:val="32"/>
          <w:szCs w:val="32"/>
          <w:highlight w:val="none"/>
          <w:lang w:eastAsia="zh-CN"/>
        </w:rPr>
        <w:t>，开展</w:t>
      </w:r>
      <w:r>
        <w:rPr>
          <w:rFonts w:hint="eastAsia" w:ascii="仿宋" w:hAnsi="仿宋" w:eastAsia="仿宋" w:cs="仿宋"/>
          <w:color w:val="auto"/>
          <w:sz w:val="32"/>
          <w:szCs w:val="32"/>
          <w:highlight w:val="none"/>
        </w:rPr>
        <w:t>文明村镇、文明单位、文明校园、文明家庭创建。</w:t>
      </w:r>
    </w:p>
    <w:p w14:paraId="31D37605">
      <w:pPr>
        <w:pageBreakBefore w:val="0"/>
        <w:widowControl w:val="0"/>
        <w:kinsoku/>
        <w:wordWrap/>
        <w:overflowPunct/>
        <w:topLinePunct w:val="0"/>
        <w:autoSpaceDE/>
        <w:autoSpaceDN/>
        <w:bidi w:val="0"/>
        <w:adjustRightInd/>
        <w:snapToGrid/>
        <w:spacing w:line="606" w:lineRule="exact"/>
        <w:ind w:firstLine="643" w:firstLineChars="200"/>
        <w:jc w:val="both"/>
        <w:textAlignment w:val="auto"/>
        <w:rPr>
          <w:rFonts w:hint="eastAsia" w:ascii="仿宋" w:hAnsi="仿宋" w:eastAsia="仿宋" w:cs="仿宋"/>
          <w:b w:val="0"/>
          <w:bCs/>
          <w:color w:val="auto"/>
          <w:highlight w:val="none"/>
        </w:rPr>
      </w:pPr>
      <w:r>
        <w:rPr>
          <w:rFonts w:hint="eastAsia" w:ascii="KaiTi_GB2312" w:hAnsi="KaiTi_GB2312" w:eastAsia="KaiTi_GB2312" w:cs="KaiTi_GB2312"/>
          <w:b/>
          <w:color w:val="auto"/>
          <w:sz w:val="32"/>
          <w:szCs w:val="32"/>
          <w:highlight w:val="none"/>
          <w:lang w:val="en-US" w:eastAsia="zh-CN"/>
        </w:rPr>
        <w:t>传承武冈红色文化内核。</w:t>
      </w:r>
      <w:r>
        <w:rPr>
          <w:rFonts w:hint="eastAsia" w:ascii="仿宋" w:hAnsi="仿宋" w:eastAsia="仿宋" w:cs="仿宋"/>
          <w:color w:val="auto"/>
          <w:sz w:val="32"/>
          <w:szCs w:val="32"/>
          <w:highlight w:val="none"/>
        </w:rPr>
        <w:t>充分挖掘</w:t>
      </w:r>
      <w:r>
        <w:rPr>
          <w:rFonts w:hint="eastAsia" w:ascii="仿宋" w:hAnsi="仿宋" w:eastAsia="仿宋" w:cs="仿宋"/>
          <w:color w:val="auto"/>
          <w:sz w:val="32"/>
          <w:szCs w:val="32"/>
          <w:highlight w:val="none"/>
          <w:lang w:val="en-US" w:eastAsia="zh-CN"/>
        </w:rPr>
        <w:t>武冈红色</w:t>
      </w:r>
      <w:r>
        <w:rPr>
          <w:rFonts w:hint="eastAsia" w:ascii="仿宋" w:hAnsi="仿宋" w:eastAsia="仿宋" w:cs="仿宋"/>
          <w:color w:val="auto"/>
          <w:sz w:val="32"/>
          <w:szCs w:val="32"/>
          <w:highlight w:val="none"/>
        </w:rPr>
        <w:t>文化，以现代文明素质为特征、以社会主义核心价值体系为灵魂的</w:t>
      </w:r>
      <w:r>
        <w:rPr>
          <w:rFonts w:hint="eastAsia" w:ascii="仿宋" w:hAnsi="仿宋" w:eastAsia="仿宋" w:cs="仿宋"/>
          <w:color w:val="auto"/>
          <w:sz w:val="32"/>
          <w:szCs w:val="32"/>
          <w:highlight w:val="none"/>
          <w:lang w:val="en-US" w:eastAsia="zh-CN"/>
        </w:rPr>
        <w:t>武冈</w:t>
      </w:r>
      <w:r>
        <w:rPr>
          <w:rFonts w:hint="eastAsia" w:ascii="仿宋" w:hAnsi="仿宋" w:eastAsia="仿宋" w:cs="仿宋"/>
          <w:color w:val="auto"/>
          <w:sz w:val="32"/>
          <w:szCs w:val="32"/>
          <w:highlight w:val="none"/>
        </w:rPr>
        <w:t>精神。加强</w:t>
      </w:r>
      <w:r>
        <w:rPr>
          <w:rFonts w:hint="eastAsia" w:ascii="仿宋" w:hAnsi="仿宋" w:eastAsia="仿宋" w:cs="仿宋"/>
          <w:color w:val="auto"/>
          <w:sz w:val="32"/>
          <w:szCs w:val="32"/>
          <w:highlight w:val="none"/>
          <w:lang w:eastAsia="zh-CN"/>
        </w:rPr>
        <w:t>革命历史纪念馆等</w:t>
      </w:r>
      <w:r>
        <w:rPr>
          <w:rFonts w:hint="eastAsia" w:ascii="仿宋" w:hAnsi="仿宋" w:eastAsia="仿宋" w:cs="仿宋"/>
          <w:color w:val="auto"/>
          <w:sz w:val="32"/>
          <w:szCs w:val="32"/>
          <w:highlight w:val="none"/>
        </w:rPr>
        <w:t>爱国主义教育基地建设和革命文物保护，传承毛泽东等老一辈无产阶级革命家的崇高思想和伟大品格，</w:t>
      </w:r>
      <w:r>
        <w:rPr>
          <w:rFonts w:hint="eastAsia" w:ascii="仿宋" w:hAnsi="仿宋" w:eastAsia="仿宋" w:cs="仿宋"/>
          <w:color w:val="auto"/>
          <w:sz w:val="32"/>
          <w:szCs w:val="32"/>
          <w:highlight w:val="none"/>
          <w:lang w:val="en-US" w:eastAsia="zh-CN"/>
        </w:rPr>
        <w:t>充分挖掘《萝卜眼里长铜钱》等红军在武冈感人事迹以及武冈籍的老红军在抗战中的感人故事</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加强黄埔军校二分校旧址（李明灏故居、中山堂及其附属建筑、法相岩）</w:t>
      </w:r>
      <w:r>
        <w:rPr>
          <w:rFonts w:hint="eastAsia" w:ascii="仿宋" w:hAnsi="仿宋" w:eastAsia="仿宋" w:cs="仿宋"/>
          <w:szCs w:val="32"/>
          <w:highlight w:val="none"/>
          <w:lang w:eastAsia="zh-CN"/>
        </w:rPr>
        <w:t>（湖南省爱国主义教育基地、湖南省全民国防教育基地）</w:t>
      </w:r>
      <w:r>
        <w:rPr>
          <w:rFonts w:hint="eastAsia" w:ascii="仿宋" w:hAnsi="仿宋" w:eastAsia="仿宋" w:cs="仿宋"/>
          <w:color w:val="auto"/>
          <w:sz w:val="32"/>
          <w:szCs w:val="32"/>
          <w:highlight w:val="none"/>
          <w:lang w:eastAsia="zh-CN"/>
        </w:rPr>
        <w:t>、木瓜桥（红军桥）、雪峰山抗日阻击战遗址—回马山抗日阻击战遗址、国防教育基地、蔡家塘农民协会旧址、文庙大成殿（思思学会第一个党支部旧址）的</w:t>
      </w:r>
      <w:r>
        <w:rPr>
          <w:rFonts w:hint="eastAsia" w:ascii="仿宋" w:hAnsi="仿宋" w:eastAsia="仿宋" w:cs="仿宋"/>
          <w:szCs w:val="32"/>
          <w:highlight w:val="none"/>
          <w:lang w:eastAsia="zh-CN"/>
        </w:rPr>
        <w:t>保护</w:t>
      </w:r>
      <w:r>
        <w:rPr>
          <w:rFonts w:hint="eastAsia" w:ascii="仿宋" w:hAnsi="仿宋" w:eastAsia="仿宋" w:cs="仿宋"/>
          <w:color w:val="auto"/>
          <w:sz w:val="32"/>
          <w:szCs w:val="32"/>
          <w:highlight w:val="none"/>
          <w:lang w:eastAsia="zh-CN"/>
        </w:rPr>
        <w:t>和展示利用</w:t>
      </w:r>
      <w:r>
        <w:rPr>
          <w:rFonts w:hint="eastAsia" w:ascii="仿宋" w:hAnsi="仿宋" w:eastAsia="仿宋" w:cs="仿宋"/>
          <w:color w:val="auto"/>
          <w:sz w:val="32"/>
          <w:szCs w:val="32"/>
          <w:highlight w:val="none"/>
          <w:lang w:val="en-US" w:eastAsia="zh-CN"/>
        </w:rPr>
        <w:t>，</w:t>
      </w:r>
      <w:r>
        <w:rPr>
          <w:rFonts w:hint="eastAsia" w:ascii="仿宋" w:hAnsi="仿宋" w:eastAsia="仿宋" w:cs="仿宋"/>
          <w:color w:val="auto"/>
          <w:sz w:val="32"/>
          <w:szCs w:val="32"/>
          <w:highlight w:val="none"/>
        </w:rPr>
        <w:t>广泛开展读红色经典、唱红色歌曲、讲红色故事、看红色</w:t>
      </w:r>
      <w:r>
        <w:rPr>
          <w:rFonts w:hint="eastAsia" w:ascii="仿宋" w:hAnsi="仿宋" w:eastAsia="仿宋" w:cs="仿宋"/>
          <w:color w:val="auto"/>
          <w:sz w:val="32"/>
          <w:szCs w:val="32"/>
          <w:highlight w:val="none"/>
          <w:lang w:eastAsia="zh-CN"/>
        </w:rPr>
        <w:t>电影</w:t>
      </w:r>
      <w:r>
        <w:rPr>
          <w:rFonts w:hint="eastAsia" w:ascii="仿宋" w:hAnsi="仿宋" w:eastAsia="仿宋" w:cs="仿宋"/>
          <w:color w:val="auto"/>
          <w:sz w:val="32"/>
          <w:szCs w:val="32"/>
          <w:highlight w:val="none"/>
        </w:rPr>
        <w:t>、游红色景点活动。</w:t>
      </w:r>
    </w:p>
    <w:p w14:paraId="2EB80251">
      <w:pPr>
        <w:pStyle w:val="4"/>
        <w:keepNext/>
        <w:keepLines/>
        <w:pageBreakBefore w:val="0"/>
        <w:widowControl w:val="0"/>
        <w:kinsoku/>
        <w:wordWrap/>
        <w:overflowPunct/>
        <w:topLinePunct w:val="0"/>
        <w:autoSpaceDE/>
        <w:autoSpaceDN/>
        <w:bidi w:val="0"/>
        <w:adjustRightInd/>
        <w:snapToGrid/>
        <w:spacing w:before="0" w:after="0" w:line="606" w:lineRule="exact"/>
        <w:jc w:val="center"/>
        <w:textAlignment w:val="auto"/>
        <w:rPr>
          <w:rFonts w:hint="eastAsia" w:ascii="黑体" w:hAnsi="黑体" w:eastAsia="黑体" w:cs="黑体"/>
          <w:b w:val="0"/>
          <w:bCs/>
          <w:color w:val="auto"/>
          <w:highlight w:val="none"/>
          <w:lang w:val="en-US" w:eastAsia="zh-CN"/>
        </w:rPr>
      </w:pPr>
      <w:bookmarkStart w:id="116" w:name="_Toc2286"/>
      <w:r>
        <w:rPr>
          <w:rFonts w:hint="eastAsia" w:ascii="黑体" w:hAnsi="黑体" w:eastAsia="黑体" w:cs="黑体"/>
          <w:b w:val="0"/>
          <w:bCs/>
          <w:color w:val="auto"/>
          <w:kern w:val="44"/>
          <w:sz w:val="32"/>
          <w:szCs w:val="32"/>
          <w:highlight w:val="none"/>
          <w:lang w:val="en-US" w:eastAsia="zh-CN" w:bidi="ar-SA"/>
        </w:rPr>
        <w:t>第二节 整合保护历史文化</w:t>
      </w:r>
      <w:bookmarkEnd w:id="115"/>
      <w:bookmarkEnd w:id="116"/>
    </w:p>
    <w:p w14:paraId="4420401C">
      <w:pPr>
        <w:pageBreakBefore w:val="0"/>
        <w:widowControl w:val="0"/>
        <w:kinsoku/>
        <w:wordWrap/>
        <w:overflowPunct/>
        <w:topLinePunct w:val="0"/>
        <w:autoSpaceDE/>
        <w:autoSpaceDN/>
        <w:bidi w:val="0"/>
        <w:adjustRightInd/>
        <w:snapToGrid/>
        <w:spacing w:line="606" w:lineRule="exact"/>
        <w:ind w:firstLine="640" w:firstLineChars="200"/>
        <w:jc w:val="both"/>
        <w:textAlignment w:val="auto"/>
        <w:rPr>
          <w:rFonts w:hint="eastAsia" w:ascii="仿宋" w:hAnsi="仿宋" w:eastAsia="仿宋" w:cs="仿宋"/>
          <w:color w:val="auto"/>
          <w:szCs w:val="32"/>
          <w:highlight w:val="none"/>
          <w:lang w:eastAsia="zh-CN"/>
        </w:rPr>
      </w:pPr>
      <w:r>
        <w:rPr>
          <w:rFonts w:hint="eastAsia" w:ascii="仿宋" w:hAnsi="仿宋" w:eastAsia="仿宋" w:cs="仿宋"/>
          <w:color w:val="auto"/>
          <w:szCs w:val="32"/>
          <w:highlight w:val="none"/>
        </w:rPr>
        <w:t>武冈古城历史源远流长、文物古迹丰富、格局保存</w:t>
      </w:r>
      <w:r>
        <w:rPr>
          <w:rFonts w:hint="eastAsia" w:ascii="仿宋" w:hAnsi="仿宋" w:eastAsia="仿宋" w:cs="仿宋"/>
          <w:color w:val="auto"/>
          <w:szCs w:val="32"/>
          <w:highlight w:val="none"/>
          <w:lang w:eastAsia="zh-CN"/>
        </w:rPr>
        <w:t>较</w:t>
      </w:r>
      <w:r>
        <w:rPr>
          <w:rFonts w:hint="eastAsia" w:ascii="仿宋" w:hAnsi="仿宋" w:eastAsia="仿宋" w:cs="仿宋"/>
          <w:color w:val="auto"/>
          <w:szCs w:val="32"/>
          <w:highlight w:val="none"/>
        </w:rPr>
        <w:t>完整、多种文化融合发展，形成千年古城的独特优势</w:t>
      </w:r>
      <w:r>
        <w:rPr>
          <w:rFonts w:hint="eastAsia" w:ascii="仿宋" w:hAnsi="仿宋" w:eastAsia="仿宋" w:cs="仿宋"/>
          <w:color w:val="auto"/>
          <w:szCs w:val="32"/>
          <w:highlight w:val="none"/>
          <w:lang w:eastAsia="zh-CN"/>
        </w:rPr>
        <w:t>。</w:t>
      </w:r>
    </w:p>
    <w:p w14:paraId="24EDC439">
      <w:pPr>
        <w:pageBreakBefore w:val="0"/>
        <w:widowControl w:val="0"/>
        <w:kinsoku/>
        <w:wordWrap/>
        <w:overflowPunct/>
        <w:topLinePunct w:val="0"/>
        <w:autoSpaceDE/>
        <w:autoSpaceDN/>
        <w:bidi w:val="0"/>
        <w:adjustRightInd/>
        <w:snapToGrid/>
        <w:spacing w:line="606" w:lineRule="exact"/>
        <w:ind w:firstLine="643" w:firstLineChars="200"/>
        <w:jc w:val="both"/>
        <w:textAlignment w:val="auto"/>
        <w:rPr>
          <w:rFonts w:hint="eastAsia" w:ascii="仿宋" w:hAnsi="仿宋" w:eastAsia="仿宋" w:cs="仿宋"/>
          <w:color w:val="auto"/>
          <w:highlight w:val="none"/>
        </w:rPr>
      </w:pPr>
      <w:r>
        <w:rPr>
          <w:rFonts w:hint="eastAsia" w:ascii="KaiTi_GB2312" w:hAnsi="KaiTi_GB2312" w:eastAsia="KaiTi_GB2312" w:cs="KaiTi_GB2312"/>
          <w:b/>
          <w:color w:val="auto"/>
          <w:sz w:val="32"/>
          <w:szCs w:val="32"/>
          <w:highlight w:val="none"/>
          <w:lang w:val="en-US" w:eastAsia="zh-CN"/>
        </w:rPr>
        <w:t>整合历史文化资源。</w:t>
      </w:r>
      <w:r>
        <w:rPr>
          <w:rFonts w:hint="eastAsia" w:ascii="仿宋" w:hAnsi="仿宋" w:eastAsia="仿宋" w:cs="仿宋"/>
          <w:color w:val="auto"/>
          <w:szCs w:val="32"/>
          <w:highlight w:val="none"/>
        </w:rPr>
        <w:t>充分</w:t>
      </w:r>
      <w:r>
        <w:rPr>
          <w:rFonts w:hint="eastAsia" w:ascii="仿宋" w:hAnsi="仿宋" w:eastAsia="仿宋" w:cs="仿宋"/>
          <w:color w:val="auto"/>
          <w:szCs w:val="32"/>
          <w:highlight w:val="none"/>
          <w:lang w:eastAsia="zh-CN"/>
        </w:rPr>
        <w:t>挖掘</w:t>
      </w:r>
      <w:r>
        <w:rPr>
          <w:rFonts w:hint="eastAsia" w:ascii="仿宋" w:hAnsi="仿宋" w:eastAsia="仿宋" w:cs="仿宋"/>
          <w:color w:val="auto"/>
          <w:szCs w:val="32"/>
          <w:highlight w:val="none"/>
        </w:rPr>
        <w:t>武冈历史人文</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lang w:val="en-US" w:eastAsia="zh-CN"/>
        </w:rPr>
        <w:t>以千年云山、古王城和千年饮食文化为依托，充分挖掘历史文脉、历史故事、历史传承，</w:t>
      </w:r>
      <w:r>
        <w:rPr>
          <w:rFonts w:hint="eastAsia" w:ascii="仿宋" w:hAnsi="仿宋" w:eastAsia="仿宋" w:cs="仿宋"/>
          <w:color w:val="auto"/>
          <w:szCs w:val="32"/>
          <w:highlight w:val="none"/>
        </w:rPr>
        <w:t>依托武冈古城墙、武冈丝弦、文庙大成殿、浪石古</w:t>
      </w:r>
      <w:r>
        <w:rPr>
          <w:rFonts w:hint="eastAsia" w:ascii="仿宋" w:hAnsi="仿宋" w:eastAsia="仿宋" w:cs="仿宋"/>
          <w:color w:val="auto"/>
          <w:szCs w:val="32"/>
          <w:highlight w:val="none"/>
          <w:lang w:eastAsia="zh-CN"/>
        </w:rPr>
        <w:t>建筑群</w:t>
      </w:r>
      <w:r>
        <w:rPr>
          <w:rFonts w:hint="eastAsia" w:ascii="仿宋" w:hAnsi="仿宋" w:eastAsia="仿宋" w:cs="仿宋"/>
          <w:color w:val="auto"/>
          <w:szCs w:val="32"/>
          <w:highlight w:val="none"/>
        </w:rPr>
        <w:t>等文化遗产资源，引进大型文化公司，深度挖掘王城文化的内涵和价值，重点</w:t>
      </w:r>
      <w:r>
        <w:rPr>
          <w:rFonts w:hint="eastAsia" w:ascii="仿宋" w:hAnsi="仿宋" w:eastAsia="仿宋" w:cs="仿宋"/>
          <w:color w:val="auto"/>
          <w:szCs w:val="32"/>
          <w:highlight w:val="none"/>
          <w:lang w:eastAsia="zh-CN"/>
        </w:rPr>
        <w:t>建设和保护武冈城墙、浪石古建筑群、秦人古道、大成拳、技子拳、石羊走马灯等，</w:t>
      </w:r>
      <w:r>
        <w:rPr>
          <w:rFonts w:hint="eastAsia" w:ascii="仿宋" w:hAnsi="仿宋" w:eastAsia="仿宋" w:cs="仿宋"/>
          <w:color w:val="auto"/>
          <w:szCs w:val="32"/>
          <w:highlight w:val="none"/>
        </w:rPr>
        <w:t>彰显武冈的文化实力。</w:t>
      </w:r>
    </w:p>
    <w:p w14:paraId="28FA557A">
      <w:pPr>
        <w:keepNext w:val="0"/>
        <w:keepLines w:val="0"/>
        <w:pageBreakBefore w:val="0"/>
        <w:widowControl w:val="0"/>
        <w:kinsoku/>
        <w:wordWrap/>
        <w:overflowPunct/>
        <w:topLinePunct w:val="0"/>
        <w:autoSpaceDE/>
        <w:autoSpaceDN/>
        <w:bidi w:val="0"/>
        <w:adjustRightInd/>
        <w:snapToGrid/>
        <w:spacing w:after="157" w:afterLines="50" w:line="606" w:lineRule="exact"/>
        <w:ind w:firstLine="643" w:firstLineChars="200"/>
        <w:jc w:val="both"/>
        <w:textAlignment w:val="auto"/>
        <w:rPr>
          <w:rFonts w:ascii="FangSong_GB2312"/>
          <w:color w:val="auto"/>
          <w:szCs w:val="32"/>
          <w:highlight w:val="none"/>
        </w:rPr>
      </w:pPr>
      <w:r>
        <w:rPr>
          <w:rFonts w:hint="eastAsia" w:ascii="KaiTi_GB2312" w:hAnsi="KaiTi_GB2312" w:eastAsia="KaiTi_GB2312" w:cs="KaiTi_GB2312"/>
          <w:b/>
          <w:color w:val="auto"/>
          <w:sz w:val="32"/>
          <w:szCs w:val="32"/>
          <w:highlight w:val="none"/>
          <w:lang w:val="en-US" w:eastAsia="zh-CN"/>
        </w:rPr>
        <w:t>抓好古城文化保护。</w:t>
      </w:r>
      <w:r>
        <w:rPr>
          <w:rFonts w:hint="eastAsia" w:ascii="仿宋" w:hAnsi="仿宋" w:eastAsia="仿宋" w:cs="仿宋"/>
          <w:color w:val="auto"/>
          <w:szCs w:val="32"/>
          <w:highlight w:val="none"/>
        </w:rPr>
        <w:t>推进古城和非物质文化遗产区域性整体保护，建立历史文化名城、历史文化街区、文物保护单位三个层次的名城保护体系，利用《武冈市古城区保护与整治规划》及《武冈历史文化名城保护规划》等成果，</w:t>
      </w:r>
      <w:r>
        <w:rPr>
          <w:rFonts w:hint="eastAsia" w:ascii="仿宋" w:hAnsi="仿宋" w:eastAsia="仿宋" w:cs="仿宋"/>
          <w:color w:val="auto"/>
          <w:highlight w:val="none"/>
          <w:shd w:val="clear" w:color="auto" w:fill="FFFFFF"/>
        </w:rPr>
        <w:t>建设古城保护开发重点工程，全力做好武冈城墙的保护工作，加强宣风楼、文庙大成殿、古银杏、古建筑等文物保护单位的保护和开发，打造历史文化长廊，形成武冈人文特色。</w:t>
      </w:r>
      <w:r>
        <w:rPr>
          <w:rFonts w:hint="eastAsia" w:ascii="仿宋" w:hAnsi="仿宋" w:eastAsia="仿宋" w:cs="仿宋"/>
          <w:color w:val="auto"/>
          <w:highlight w:val="none"/>
          <w:shd w:val="clear" w:color="auto" w:fill="FFFFFF"/>
          <w:lang w:eastAsia="zh-CN"/>
        </w:rPr>
        <w:t>加快西直街与穿城河风光带仿古改造，维修并保护好古巷、古院、古井、古桥等，逐步修复花塔、南塔。逐步修建历史文化名人纪念园，将屈原、陶渊明等与武冈有历史渊源的文化名人事迹、吟诵武冈的诗文刊刻在园中，留住历史记忆。</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004"/>
      </w:tblGrid>
      <w:tr w14:paraId="3859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5000" w:type="pct"/>
            <w:shd w:val="clear" w:color="auto" w:fill="FFFFFF" w:themeFill="background1"/>
          </w:tcPr>
          <w:p w14:paraId="7B8A9D28">
            <w:pPr>
              <w:pageBreakBefore w:val="0"/>
              <w:widowControl w:val="0"/>
              <w:kinsoku/>
              <w:wordWrap/>
              <w:overflowPunct/>
              <w:bidi w:val="0"/>
              <w:spacing w:line="420" w:lineRule="auto"/>
              <w:jc w:val="center"/>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 xml:space="preserve">专栏 </w:t>
            </w:r>
            <w:r>
              <w:rPr>
                <w:rFonts w:hint="eastAsia" w:ascii="宋体" w:hAnsi="宋体" w:eastAsia="宋体" w:cs="宋体"/>
                <w:b/>
                <w:bCs w:val="0"/>
                <w:color w:val="auto"/>
                <w:kern w:val="0"/>
                <w:sz w:val="28"/>
                <w:szCs w:val="28"/>
                <w:highlight w:val="none"/>
                <w:lang w:val="en-US" w:eastAsia="zh-CN"/>
              </w:rPr>
              <w:t>17</w:t>
            </w:r>
            <w:r>
              <w:rPr>
                <w:rFonts w:hint="eastAsia" w:ascii="宋体" w:hAnsi="宋体" w:eastAsia="宋体" w:cs="宋体"/>
                <w:b/>
                <w:bCs w:val="0"/>
                <w:color w:val="auto"/>
                <w:kern w:val="0"/>
                <w:sz w:val="28"/>
                <w:szCs w:val="28"/>
                <w:highlight w:val="none"/>
              </w:rPr>
              <w:t xml:space="preserve">： </w:t>
            </w:r>
            <w:r>
              <w:rPr>
                <w:rFonts w:hint="eastAsia" w:ascii="宋体" w:hAnsi="宋体" w:eastAsia="宋体" w:cs="宋体"/>
                <w:b/>
                <w:bCs w:val="0"/>
                <w:color w:val="auto"/>
                <w:kern w:val="0"/>
                <w:sz w:val="28"/>
                <w:szCs w:val="28"/>
                <w:highlight w:val="none"/>
                <w:lang w:eastAsia="zh-CN"/>
              </w:rPr>
              <w:t>历史文化</w:t>
            </w:r>
            <w:r>
              <w:rPr>
                <w:rFonts w:hint="eastAsia" w:ascii="宋体" w:hAnsi="宋体" w:eastAsia="宋体" w:cs="宋体"/>
                <w:b/>
                <w:bCs w:val="0"/>
                <w:color w:val="auto"/>
                <w:kern w:val="0"/>
                <w:sz w:val="28"/>
                <w:szCs w:val="28"/>
                <w:highlight w:val="none"/>
              </w:rPr>
              <w:t>名城保护专项行动</w:t>
            </w:r>
          </w:p>
        </w:tc>
      </w:tr>
      <w:tr w14:paraId="56FD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000" w:type="pct"/>
            <w:shd w:val="clear" w:color="auto" w:fill="FFFFFF" w:themeFill="background1"/>
          </w:tcPr>
          <w:p w14:paraId="1B61D475">
            <w:pPr>
              <w:pStyle w:val="10"/>
              <w:keepNext w:val="0"/>
              <w:keepLines w:val="0"/>
              <w:pageBreakBefore w:val="0"/>
              <w:widowControl w:val="0"/>
              <w:tabs>
                <w:tab w:val="left" w:pos="312"/>
              </w:tabs>
              <w:kinsoku/>
              <w:wordWrap/>
              <w:overflowPunct/>
              <w:topLinePunct w:val="0"/>
              <w:autoSpaceDE/>
              <w:autoSpaceDN/>
              <w:bidi w:val="0"/>
              <w:adjustRightInd w:val="0"/>
              <w:snapToGrid w:val="0"/>
              <w:spacing w:line="420"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lang w:eastAsia="zh-CN"/>
              </w:rPr>
              <w:t>.不可移动文物—各级</w:t>
            </w:r>
            <w:r>
              <w:rPr>
                <w:rFonts w:hint="eastAsia" w:ascii="仿宋" w:hAnsi="仿宋" w:eastAsia="仿宋" w:cs="仿宋"/>
                <w:b/>
                <w:bCs/>
                <w:color w:val="auto"/>
                <w:sz w:val="28"/>
                <w:szCs w:val="28"/>
                <w:highlight w:val="none"/>
              </w:rPr>
              <w:t>文物保护单位</w:t>
            </w:r>
            <w:r>
              <w:rPr>
                <w:rFonts w:hint="eastAsia" w:ascii="仿宋" w:hAnsi="仿宋" w:eastAsia="仿宋" w:cs="仿宋"/>
                <w:b/>
                <w:bCs/>
                <w:color w:val="auto"/>
                <w:sz w:val="28"/>
                <w:szCs w:val="28"/>
                <w:highlight w:val="none"/>
                <w:lang w:eastAsia="zh-CN"/>
              </w:rPr>
              <w:t>的</w:t>
            </w:r>
            <w:r>
              <w:rPr>
                <w:rFonts w:hint="eastAsia" w:ascii="仿宋" w:hAnsi="仿宋" w:eastAsia="仿宋" w:cs="仿宋"/>
                <w:b/>
                <w:bCs/>
                <w:color w:val="auto"/>
                <w:sz w:val="28"/>
                <w:szCs w:val="28"/>
                <w:highlight w:val="none"/>
              </w:rPr>
              <w:t>保护</w:t>
            </w:r>
            <w:r>
              <w:rPr>
                <w:rFonts w:hint="eastAsia" w:ascii="仿宋" w:hAnsi="仿宋" w:eastAsia="仿宋" w:cs="仿宋"/>
                <w:b/>
                <w:bCs/>
                <w:color w:val="auto"/>
                <w:sz w:val="28"/>
                <w:szCs w:val="28"/>
                <w:highlight w:val="none"/>
                <w:lang w:eastAsia="zh-CN"/>
              </w:rPr>
              <w:t>：</w:t>
            </w:r>
            <w:r>
              <w:rPr>
                <w:rFonts w:hint="eastAsia" w:ascii="仿宋" w:hAnsi="仿宋" w:eastAsia="仿宋" w:cs="仿宋"/>
                <w:b w:val="0"/>
                <w:bCs w:val="0"/>
                <w:color w:val="auto"/>
                <w:sz w:val="28"/>
                <w:szCs w:val="28"/>
                <w:highlight w:val="none"/>
                <w:lang w:eastAsia="zh-CN"/>
              </w:rPr>
              <w:t>全</w:t>
            </w:r>
            <w:r>
              <w:rPr>
                <w:rFonts w:hint="eastAsia" w:ascii="仿宋" w:hAnsi="仿宋" w:eastAsia="仿宋" w:cs="仿宋"/>
                <w:b w:val="0"/>
                <w:bCs w:val="0"/>
                <w:color w:val="auto"/>
                <w:sz w:val="28"/>
                <w:szCs w:val="28"/>
                <w:highlight w:val="none"/>
              </w:rPr>
              <w:t>市现存武冈城墙、黄埔军校第二分校旧址2处国家</w:t>
            </w:r>
            <w:r>
              <w:rPr>
                <w:rFonts w:hint="eastAsia" w:ascii="仿宋" w:hAnsi="仿宋" w:eastAsia="仿宋" w:cs="仿宋"/>
                <w:b w:val="0"/>
                <w:bCs w:val="0"/>
                <w:color w:val="auto"/>
                <w:sz w:val="28"/>
                <w:szCs w:val="28"/>
                <w:highlight w:val="none"/>
                <w:lang w:eastAsia="zh-CN"/>
              </w:rPr>
              <w:t>重点</w:t>
            </w:r>
            <w:r>
              <w:rPr>
                <w:rFonts w:hint="eastAsia" w:ascii="仿宋" w:hAnsi="仿宋" w:eastAsia="仿宋" w:cs="仿宋"/>
                <w:b w:val="0"/>
                <w:bCs w:val="0"/>
                <w:color w:val="auto"/>
                <w:sz w:val="28"/>
                <w:szCs w:val="28"/>
                <w:highlight w:val="none"/>
              </w:rPr>
              <w:t>文物保护单位，浪石古民居群等</w:t>
            </w:r>
            <w:r>
              <w:rPr>
                <w:rFonts w:hint="eastAsia" w:ascii="仿宋" w:hAnsi="仿宋" w:eastAsia="仿宋" w:cs="仿宋"/>
                <w:b w:val="0"/>
                <w:bCs w:val="0"/>
                <w:color w:val="auto"/>
                <w:sz w:val="28"/>
                <w:szCs w:val="28"/>
                <w:highlight w:val="none"/>
                <w:lang w:val="en-US" w:eastAsia="zh-CN"/>
              </w:rPr>
              <w:t>8</w:t>
            </w:r>
            <w:r>
              <w:rPr>
                <w:rFonts w:hint="eastAsia" w:ascii="仿宋" w:hAnsi="仿宋" w:eastAsia="仿宋" w:cs="仿宋"/>
                <w:b w:val="0"/>
                <w:bCs w:val="0"/>
                <w:color w:val="auto"/>
                <w:sz w:val="28"/>
                <w:szCs w:val="28"/>
                <w:highlight w:val="none"/>
              </w:rPr>
              <w:t>处省级文物保护单位，</w:t>
            </w:r>
            <w:r>
              <w:rPr>
                <w:rFonts w:hint="eastAsia" w:ascii="仿宋" w:hAnsi="仿宋" w:eastAsia="仿宋" w:cs="仿宋"/>
                <w:b w:val="0"/>
                <w:bCs w:val="0"/>
                <w:color w:val="auto"/>
                <w:sz w:val="28"/>
                <w:szCs w:val="28"/>
                <w:highlight w:val="none"/>
                <w:lang w:val="en-US" w:eastAsia="zh-CN"/>
              </w:rPr>
              <w:t>6处</w:t>
            </w:r>
            <w:r>
              <w:rPr>
                <w:rFonts w:hint="eastAsia" w:ascii="仿宋" w:hAnsi="仿宋" w:eastAsia="仿宋" w:cs="仿宋"/>
                <w:b w:val="0"/>
                <w:bCs w:val="0"/>
                <w:color w:val="auto"/>
                <w:sz w:val="28"/>
                <w:szCs w:val="28"/>
                <w:highlight w:val="none"/>
                <w:lang w:eastAsia="zh-CN"/>
              </w:rPr>
              <w:t>邵阳市级文物保护单位</w:t>
            </w:r>
            <w:r>
              <w:rPr>
                <w:rFonts w:hint="eastAsia" w:ascii="仿宋" w:hAnsi="仿宋" w:eastAsia="仿宋" w:cs="仿宋"/>
                <w:b w:val="0"/>
                <w:bCs w:val="0"/>
                <w:color w:val="auto"/>
                <w:sz w:val="28"/>
                <w:szCs w:val="28"/>
                <w:highlight w:val="none"/>
                <w:lang w:val="en-US" w:eastAsia="zh-CN"/>
              </w:rPr>
              <w:t>，51处</w:t>
            </w:r>
            <w:r>
              <w:rPr>
                <w:rFonts w:hint="eastAsia" w:ascii="仿宋" w:hAnsi="仿宋" w:eastAsia="仿宋" w:cs="仿宋"/>
                <w:b w:val="0"/>
                <w:bCs w:val="0"/>
                <w:color w:val="auto"/>
                <w:sz w:val="28"/>
                <w:szCs w:val="28"/>
                <w:highlight w:val="none"/>
              </w:rPr>
              <w:t>县级文物保护单位</w:t>
            </w:r>
            <w:r>
              <w:rPr>
                <w:rFonts w:hint="eastAsia" w:ascii="仿宋" w:hAnsi="仿宋" w:eastAsia="仿宋" w:cs="仿宋"/>
                <w:b w:val="0"/>
                <w:bCs w:val="0"/>
                <w:color w:val="auto"/>
                <w:sz w:val="28"/>
                <w:szCs w:val="28"/>
                <w:highlight w:val="none"/>
                <w:lang w:val="en-US" w:eastAsia="zh-CN"/>
              </w:rPr>
              <w:t>、75</w:t>
            </w:r>
            <w:r>
              <w:rPr>
                <w:rFonts w:hint="eastAsia" w:ascii="仿宋" w:hAnsi="仿宋" w:eastAsia="仿宋" w:cs="仿宋"/>
                <w:b w:val="0"/>
                <w:bCs w:val="0"/>
                <w:color w:val="auto"/>
                <w:sz w:val="28"/>
                <w:szCs w:val="28"/>
                <w:highlight w:val="none"/>
              </w:rPr>
              <w:t>处</w:t>
            </w:r>
            <w:r>
              <w:rPr>
                <w:rFonts w:hint="eastAsia" w:ascii="仿宋" w:hAnsi="仿宋" w:eastAsia="仿宋" w:cs="仿宋"/>
                <w:b w:val="0"/>
                <w:bCs w:val="0"/>
                <w:color w:val="auto"/>
                <w:sz w:val="28"/>
                <w:szCs w:val="28"/>
                <w:highlight w:val="none"/>
                <w:lang w:val="en-US" w:eastAsia="zh-CN"/>
              </w:rPr>
              <w:t>文物保护点</w:t>
            </w:r>
            <w:r>
              <w:rPr>
                <w:rFonts w:hint="eastAsia" w:ascii="仿宋" w:hAnsi="仿宋" w:eastAsia="仿宋" w:cs="仿宋"/>
                <w:b w:val="0"/>
                <w:bCs w:val="0"/>
                <w:color w:val="auto"/>
                <w:sz w:val="28"/>
                <w:szCs w:val="28"/>
                <w:highlight w:val="none"/>
              </w:rPr>
              <w:t>。</w:t>
            </w:r>
          </w:p>
          <w:p w14:paraId="345D1F9C">
            <w:pPr>
              <w:pStyle w:val="10"/>
              <w:keepNext w:val="0"/>
              <w:keepLines w:val="0"/>
              <w:pageBreakBefore w:val="0"/>
              <w:widowControl w:val="0"/>
              <w:tabs>
                <w:tab w:val="left" w:pos="312"/>
              </w:tabs>
              <w:kinsoku/>
              <w:wordWrap/>
              <w:overflowPunct/>
              <w:topLinePunct w:val="0"/>
              <w:autoSpaceDE/>
              <w:autoSpaceDN/>
              <w:bidi w:val="0"/>
              <w:adjustRightInd w:val="0"/>
              <w:snapToGrid w:val="0"/>
              <w:spacing w:line="420"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2</w:t>
            </w:r>
            <w:r>
              <w:rPr>
                <w:rFonts w:hint="eastAsia" w:ascii="仿宋" w:hAnsi="仿宋" w:eastAsia="仿宋" w:cs="仿宋"/>
                <w:b/>
                <w:bCs/>
                <w:color w:val="auto"/>
                <w:sz w:val="28"/>
                <w:szCs w:val="28"/>
                <w:highlight w:val="none"/>
                <w:lang w:eastAsia="zh-CN"/>
              </w:rPr>
              <w:t>.可移动</w:t>
            </w:r>
            <w:r>
              <w:rPr>
                <w:rFonts w:hint="eastAsia" w:ascii="仿宋" w:hAnsi="仿宋" w:eastAsia="仿宋" w:cs="仿宋"/>
                <w:b/>
                <w:bCs/>
                <w:color w:val="auto"/>
                <w:sz w:val="28"/>
                <w:szCs w:val="28"/>
                <w:highlight w:val="none"/>
              </w:rPr>
              <w:t>文物保护</w:t>
            </w:r>
            <w:r>
              <w:rPr>
                <w:rFonts w:hint="eastAsia" w:ascii="仿宋" w:hAnsi="仿宋" w:eastAsia="仿宋" w:cs="仿宋"/>
                <w:b/>
                <w:bCs/>
                <w:color w:val="auto"/>
                <w:sz w:val="28"/>
                <w:szCs w:val="28"/>
                <w:highlight w:val="none"/>
                <w:lang w:eastAsia="zh-CN"/>
              </w:rPr>
              <w:t>：</w:t>
            </w:r>
            <w:r>
              <w:rPr>
                <w:rFonts w:hint="eastAsia" w:ascii="仿宋" w:hAnsi="仿宋" w:eastAsia="仿宋" w:cs="仿宋"/>
                <w:b w:val="0"/>
                <w:bCs w:val="0"/>
                <w:color w:val="auto"/>
                <w:sz w:val="28"/>
                <w:szCs w:val="28"/>
                <w:highlight w:val="none"/>
              </w:rPr>
              <w:t>国家二级文物24件</w:t>
            </w:r>
            <w:r>
              <w:rPr>
                <w:rFonts w:hint="eastAsia" w:ascii="仿宋" w:hAnsi="仿宋" w:eastAsia="仿宋" w:cs="仿宋"/>
                <w:b w:val="0"/>
                <w:bCs w:val="0"/>
                <w:color w:val="auto"/>
                <w:sz w:val="28"/>
                <w:szCs w:val="28"/>
                <w:highlight w:val="none"/>
                <w:lang w:eastAsia="zh-CN"/>
              </w:rPr>
              <w:t>套</w:t>
            </w:r>
            <w:r>
              <w:rPr>
                <w:rFonts w:hint="eastAsia" w:ascii="仿宋" w:hAnsi="仿宋" w:eastAsia="仿宋" w:cs="仿宋"/>
                <w:b w:val="0"/>
                <w:bCs w:val="0"/>
                <w:color w:val="auto"/>
                <w:sz w:val="28"/>
                <w:szCs w:val="28"/>
                <w:highlight w:val="none"/>
              </w:rPr>
              <w:t>、三级文物124件</w:t>
            </w:r>
            <w:r>
              <w:rPr>
                <w:rFonts w:hint="eastAsia" w:ascii="仿宋" w:hAnsi="仿宋" w:eastAsia="仿宋" w:cs="仿宋"/>
                <w:b w:val="0"/>
                <w:bCs w:val="0"/>
                <w:color w:val="auto"/>
                <w:sz w:val="28"/>
                <w:szCs w:val="28"/>
                <w:highlight w:val="none"/>
                <w:lang w:eastAsia="zh-CN"/>
              </w:rPr>
              <w:t>套，文物库房馆藏文物</w:t>
            </w:r>
            <w:r>
              <w:rPr>
                <w:rFonts w:hint="eastAsia" w:ascii="仿宋" w:hAnsi="仿宋" w:eastAsia="仿宋" w:cs="仿宋"/>
                <w:b w:val="0"/>
                <w:bCs w:val="0"/>
                <w:color w:val="auto"/>
                <w:sz w:val="28"/>
                <w:szCs w:val="28"/>
                <w:highlight w:val="none"/>
                <w:lang w:val="en-US" w:eastAsia="zh-CN"/>
              </w:rPr>
              <w:t>909件套计3342件，</w:t>
            </w:r>
            <w:r>
              <w:rPr>
                <w:rFonts w:hint="eastAsia" w:ascii="仿宋" w:hAnsi="仿宋" w:eastAsia="仿宋" w:cs="仿宋"/>
                <w:b w:val="0"/>
                <w:bCs w:val="0"/>
                <w:color w:val="auto"/>
                <w:sz w:val="28"/>
                <w:szCs w:val="28"/>
                <w:highlight w:val="none"/>
                <w:lang w:eastAsia="zh-CN"/>
              </w:rPr>
              <w:t>档案局</w:t>
            </w:r>
            <w:r>
              <w:rPr>
                <w:rFonts w:hint="eastAsia" w:ascii="仿宋" w:hAnsi="仿宋" w:eastAsia="仿宋" w:cs="仿宋"/>
                <w:b w:val="0"/>
                <w:bCs w:val="0"/>
                <w:color w:val="auto"/>
                <w:sz w:val="28"/>
                <w:szCs w:val="28"/>
                <w:highlight w:val="none"/>
                <w:lang w:val="en-US" w:eastAsia="zh-CN"/>
              </w:rPr>
              <w:t>29件套计265件，史志办3件套计14件，革命历史纪念馆3件套，图书馆古籍1295件套计13742册</w:t>
            </w:r>
            <w:r>
              <w:rPr>
                <w:rFonts w:hint="eastAsia" w:ascii="仿宋" w:hAnsi="仿宋" w:eastAsia="仿宋" w:cs="仿宋"/>
                <w:b w:val="0"/>
                <w:bCs w:val="0"/>
                <w:color w:val="auto"/>
                <w:sz w:val="28"/>
                <w:szCs w:val="28"/>
                <w:highlight w:val="none"/>
              </w:rPr>
              <w:t>。</w:t>
            </w:r>
          </w:p>
          <w:p w14:paraId="2912F535">
            <w:pPr>
              <w:pStyle w:val="10"/>
              <w:keepNext w:val="0"/>
              <w:keepLines w:val="0"/>
              <w:pageBreakBefore w:val="0"/>
              <w:widowControl w:val="0"/>
              <w:tabs>
                <w:tab w:val="left" w:pos="312"/>
              </w:tabs>
              <w:kinsoku/>
              <w:wordWrap/>
              <w:overflowPunct/>
              <w:topLinePunct w:val="0"/>
              <w:autoSpaceDE/>
              <w:autoSpaceDN/>
              <w:bidi w:val="0"/>
              <w:adjustRightInd w:val="0"/>
              <w:snapToGrid w:val="0"/>
              <w:spacing w:line="420"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非物质文化遗产保护</w:t>
            </w:r>
            <w:r>
              <w:rPr>
                <w:rFonts w:hint="eastAsia" w:ascii="仿宋" w:hAnsi="仿宋" w:eastAsia="仿宋" w:cs="仿宋"/>
                <w:b/>
                <w:bCs/>
                <w:color w:val="auto"/>
                <w:sz w:val="28"/>
                <w:szCs w:val="28"/>
                <w:highlight w:val="none"/>
                <w:lang w:eastAsia="zh-CN"/>
              </w:rPr>
              <w:t>：</w:t>
            </w:r>
            <w:r>
              <w:rPr>
                <w:rFonts w:hint="eastAsia" w:ascii="仿宋" w:hAnsi="仿宋" w:eastAsia="仿宋" w:cs="仿宋"/>
                <w:b w:val="0"/>
                <w:bCs w:val="0"/>
                <w:color w:val="auto"/>
                <w:sz w:val="28"/>
                <w:szCs w:val="28"/>
                <w:highlight w:val="none"/>
                <w:lang w:eastAsia="zh-CN"/>
              </w:rPr>
              <w:t>全</w:t>
            </w:r>
            <w:r>
              <w:rPr>
                <w:rFonts w:hint="eastAsia" w:ascii="仿宋" w:hAnsi="仿宋" w:eastAsia="仿宋" w:cs="仿宋"/>
                <w:szCs w:val="28"/>
                <w:highlight w:val="none"/>
                <w:lang w:val="en-US" w:eastAsia="zh-CN"/>
              </w:rPr>
              <w:t>市现有“武冈丝弦”国家级非物质文化遗产保护项目1个、“武冈卤菜制作术”“石羊走马灯”“六月六尝新节”“技子拳”等省级非物质文化遗产保护项目4个，</w:t>
            </w:r>
            <w:r>
              <w:rPr>
                <w:rFonts w:hint="eastAsia" w:ascii="仿宋" w:hAnsi="仿宋" w:eastAsia="仿宋" w:cs="仿宋"/>
                <w:b w:val="0"/>
                <w:bCs w:val="0"/>
                <w:color w:val="auto"/>
                <w:sz w:val="28"/>
                <w:szCs w:val="28"/>
                <w:highlight w:val="none"/>
              </w:rPr>
              <w:t>市级非物质文化遗产保护项目</w:t>
            </w:r>
            <w:r>
              <w:rPr>
                <w:rFonts w:hint="eastAsia" w:ascii="仿宋" w:hAnsi="仿宋" w:eastAsia="仿宋" w:cs="仿宋"/>
                <w:b w:val="0"/>
                <w:bCs w:val="0"/>
                <w:color w:val="auto"/>
                <w:sz w:val="28"/>
                <w:szCs w:val="28"/>
                <w:highlight w:val="none"/>
                <w:lang w:val="en-US" w:eastAsia="zh-CN"/>
              </w:rPr>
              <w:t>13</w:t>
            </w:r>
            <w:r>
              <w:rPr>
                <w:rFonts w:hint="eastAsia" w:ascii="仿宋" w:hAnsi="仿宋" w:eastAsia="仿宋" w:cs="仿宋"/>
                <w:b w:val="0"/>
                <w:bCs w:val="0"/>
                <w:color w:val="auto"/>
                <w:sz w:val="28"/>
                <w:szCs w:val="28"/>
                <w:highlight w:val="none"/>
              </w:rPr>
              <w:t>个，并先后挖掘整理非物质文化遗产资源项目63项，涵盖民族语言、民间文学、音乐、舞蹈、美术、传统戏剧、曲艺、医药等14个门类。</w:t>
            </w:r>
          </w:p>
          <w:p w14:paraId="43A93961">
            <w:pPr>
              <w:pStyle w:val="10"/>
              <w:keepNext w:val="0"/>
              <w:keepLines w:val="0"/>
              <w:pageBreakBefore w:val="0"/>
              <w:widowControl w:val="0"/>
              <w:tabs>
                <w:tab w:val="left" w:pos="312"/>
              </w:tabs>
              <w:kinsoku/>
              <w:wordWrap/>
              <w:overflowPunct/>
              <w:topLinePunct w:val="0"/>
              <w:autoSpaceDE/>
              <w:autoSpaceDN/>
              <w:bidi w:val="0"/>
              <w:adjustRightInd w:val="0"/>
              <w:snapToGrid w:val="0"/>
              <w:spacing w:line="420" w:lineRule="exact"/>
              <w:ind w:firstLine="562" w:firstLineChars="200"/>
              <w:jc w:val="both"/>
              <w:textAlignment w:val="auto"/>
              <w:rPr>
                <w:rFonts w:hint="eastAsia" w:ascii="仿宋" w:hAnsi="仿宋" w:eastAsia="仿宋" w:cs="仿宋"/>
                <w:color w:val="auto"/>
                <w:highlight w:val="none"/>
                <w:lang w:eastAsia="zh-CN"/>
              </w:rPr>
            </w:pPr>
            <w:r>
              <w:rPr>
                <w:rFonts w:hint="eastAsia" w:ascii="仿宋" w:hAnsi="仿宋" w:eastAsia="仿宋" w:cs="仿宋"/>
                <w:b/>
                <w:bCs/>
                <w:color w:val="auto"/>
                <w:sz w:val="28"/>
                <w:szCs w:val="28"/>
                <w:highlight w:val="none"/>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rPr>
              <w:t>历史建筑和历史街区保护</w:t>
            </w:r>
            <w:r>
              <w:rPr>
                <w:rFonts w:hint="eastAsia" w:ascii="仿宋" w:hAnsi="仿宋" w:eastAsia="仿宋" w:cs="仿宋"/>
                <w:b/>
                <w:bCs/>
                <w:color w:val="auto"/>
                <w:sz w:val="28"/>
                <w:szCs w:val="28"/>
                <w:highlight w:val="none"/>
                <w:lang w:eastAsia="zh-CN"/>
              </w:rPr>
              <w:t>：</w:t>
            </w:r>
            <w:r>
              <w:rPr>
                <w:rFonts w:hint="eastAsia" w:ascii="仿宋" w:hAnsi="仿宋" w:eastAsia="仿宋" w:cs="仿宋"/>
                <w:b w:val="0"/>
                <w:bCs w:val="0"/>
                <w:color w:val="auto"/>
                <w:sz w:val="28"/>
                <w:szCs w:val="28"/>
                <w:highlight w:val="none"/>
                <w:lang w:eastAsia="zh-CN"/>
              </w:rPr>
              <w:t>对</w:t>
            </w:r>
            <w:r>
              <w:rPr>
                <w:rFonts w:hint="eastAsia" w:ascii="仿宋" w:hAnsi="仿宋" w:eastAsia="仿宋" w:cs="仿宋"/>
                <w:b w:val="0"/>
                <w:bCs w:val="0"/>
                <w:color w:val="auto"/>
                <w:sz w:val="28"/>
                <w:szCs w:val="28"/>
                <w:highlight w:val="none"/>
              </w:rPr>
              <w:t>木货街、穿城河、太平门、和合街和西直街五个</w:t>
            </w:r>
            <w:r>
              <w:rPr>
                <w:rFonts w:hint="eastAsia" w:ascii="仿宋" w:hAnsi="仿宋" w:eastAsia="仿宋" w:cs="仿宋"/>
                <w:b w:val="0"/>
                <w:bCs w:val="0"/>
                <w:color w:val="auto"/>
                <w:sz w:val="28"/>
                <w:szCs w:val="28"/>
                <w:highlight w:val="none"/>
                <w:lang w:eastAsia="zh-CN"/>
              </w:rPr>
              <w:t>历史文化街区进行保护整治、对已建档的103处历史建筑进行挂牌、保护与修缮。</w:t>
            </w:r>
          </w:p>
        </w:tc>
      </w:tr>
    </w:tbl>
    <w:p w14:paraId="23A181CE">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highlight w:val="none"/>
        </w:rPr>
      </w:pPr>
      <w:bookmarkStart w:id="117" w:name="_Toc21387"/>
      <w:bookmarkStart w:id="118" w:name="_Toc6490"/>
      <w:r>
        <w:rPr>
          <w:rFonts w:hint="eastAsia" w:ascii="黑体" w:hAnsi="黑体" w:eastAsia="黑体" w:cs="黑体"/>
          <w:b w:val="0"/>
          <w:bCs/>
          <w:color w:val="auto"/>
          <w:kern w:val="44"/>
          <w:sz w:val="32"/>
          <w:szCs w:val="32"/>
          <w:highlight w:val="none"/>
          <w:lang w:val="en-US" w:eastAsia="zh-CN" w:bidi="ar-SA"/>
        </w:rPr>
        <w:t>第三节 建设旅游文化品牌</w:t>
      </w:r>
      <w:bookmarkEnd w:id="117"/>
    </w:p>
    <w:p w14:paraId="5701BFF7">
      <w:pPr>
        <w:pStyle w:val="10"/>
        <w:keepNext w:val="0"/>
        <w:keepLines w:val="0"/>
        <w:pageBreakBefore w:val="0"/>
        <w:widowControl w:val="0"/>
        <w:pBdr>
          <w:bottom w:val="single" w:color="FFFFFF" w:sz="4" w:space="30"/>
        </w:pBdr>
        <w:kinsoku/>
        <w:wordWrap/>
        <w:overflowPunct/>
        <w:topLinePunct/>
        <w:autoSpaceDE w:val="0"/>
        <w:autoSpaceDN/>
        <w:bidi w:val="0"/>
        <w:adjustRightInd/>
        <w:snapToGrid/>
        <w:spacing w:line="602" w:lineRule="exact"/>
        <w:ind w:firstLine="640" w:firstLineChars="200"/>
        <w:textAlignment w:val="auto"/>
        <w:rPr>
          <w:rFonts w:hint="eastAsia" w:ascii="仿宋" w:hAnsi="仿宋" w:eastAsia="仿宋" w:cs="仿宋"/>
          <w:b/>
          <w:bCs/>
          <w:color w:val="auto"/>
          <w:szCs w:val="32"/>
          <w:highlight w:val="none"/>
        </w:rPr>
      </w:pPr>
      <w:r>
        <w:rPr>
          <w:rFonts w:hint="eastAsia" w:ascii="仿宋" w:hAnsi="仿宋" w:eastAsia="仿宋" w:cs="仿宋"/>
          <w:color w:val="auto"/>
          <w:kern w:val="0"/>
          <w:sz w:val="32"/>
          <w:szCs w:val="32"/>
          <w:highlight w:val="none"/>
          <w:lang w:val="en-US" w:eastAsia="zh-CN" w:bidi="ar"/>
        </w:rPr>
        <w:t>打造“千年古城、福地武冈”旅游文化品牌，</w:t>
      </w:r>
      <w:r>
        <w:rPr>
          <w:rFonts w:hint="eastAsia" w:ascii="仿宋" w:hAnsi="仿宋" w:eastAsia="仿宋" w:cs="仿宋"/>
          <w:color w:val="auto"/>
          <w:kern w:val="2"/>
          <w:sz w:val="32"/>
          <w:szCs w:val="32"/>
          <w:highlight w:val="none"/>
          <w:lang w:val="en-US" w:eastAsia="zh-CN" w:bidi="ar-SA"/>
        </w:rPr>
        <w:t>使文化软实力大幅提升，促进文化与旅游的深度融合，打造湘西南生态旅游康养目的地及历史文化名城文旅休闲高地。</w:t>
      </w:r>
    </w:p>
    <w:p w14:paraId="2242785B">
      <w:pPr>
        <w:keepNext w:val="0"/>
        <w:keepLines w:val="0"/>
        <w:pageBreakBefore w:val="0"/>
        <w:widowControl w:val="0"/>
        <w:pBdr>
          <w:bottom w:val="single" w:color="FFFFFF" w:sz="4" w:space="30"/>
        </w:pBdr>
        <w:kinsoku/>
        <w:wordWrap/>
        <w:overflowPunct/>
        <w:topLinePunct/>
        <w:autoSpaceDE w:val="0"/>
        <w:autoSpaceDN/>
        <w:bidi w:val="0"/>
        <w:adjustRightInd/>
        <w:snapToGrid/>
        <w:spacing w:line="602" w:lineRule="exact"/>
        <w:ind w:firstLine="643" w:firstLineChars="200"/>
        <w:textAlignment w:val="auto"/>
        <w:rPr>
          <w:rFonts w:hint="eastAsia" w:ascii="仿宋" w:hAnsi="仿宋" w:eastAsia="仿宋" w:cs="仿宋"/>
          <w:b/>
          <w:bCs/>
          <w:color w:val="auto"/>
          <w:szCs w:val="32"/>
          <w:highlight w:val="none"/>
          <w:lang w:val="en-US" w:eastAsia="zh-CN"/>
        </w:rPr>
      </w:pPr>
      <w:r>
        <w:rPr>
          <w:rFonts w:hint="eastAsia" w:ascii="KaiTi_GB2312" w:hAnsi="KaiTi_GB2312" w:eastAsia="KaiTi_GB2312" w:cs="KaiTi_GB2312"/>
          <w:b/>
          <w:bCs/>
          <w:color w:val="auto"/>
          <w:szCs w:val="32"/>
          <w:highlight w:val="none"/>
        </w:rPr>
        <w:t>打造武冈特色文化品牌。</w:t>
      </w:r>
      <w:r>
        <w:rPr>
          <w:rFonts w:hint="eastAsia" w:ascii="仿宋" w:hAnsi="仿宋" w:eastAsia="仿宋" w:cs="仿宋"/>
          <w:color w:val="auto"/>
          <w:szCs w:val="32"/>
          <w:highlight w:val="none"/>
        </w:rPr>
        <w:t>成立文化产业孵化园，以“历史文化名城”作为城市发展的突出特色，紧紧围绕建成湘西南文化</w:t>
      </w:r>
      <w:r>
        <w:rPr>
          <w:rFonts w:hint="eastAsia" w:ascii="仿宋" w:hAnsi="仿宋" w:eastAsia="仿宋" w:cs="仿宋"/>
          <w:color w:val="auto"/>
          <w:szCs w:val="32"/>
          <w:highlight w:val="none"/>
          <w:lang w:eastAsia="zh-CN"/>
        </w:rPr>
        <w:t>旅游</w:t>
      </w:r>
      <w:r>
        <w:rPr>
          <w:rFonts w:hint="eastAsia" w:ascii="仿宋" w:hAnsi="仿宋" w:eastAsia="仿宋" w:cs="仿宋"/>
          <w:color w:val="auto"/>
          <w:szCs w:val="32"/>
          <w:highlight w:val="none"/>
        </w:rPr>
        <w:t>中心为目标，科学评估文化资源，充分利用城墙、宝塔、祠庙、大小王城、民居坊市保存较完整的优势，抓住创新关键点，融合以武冈丝弦民俗文化、云山宗教文化为代表的</w:t>
      </w:r>
      <w:r>
        <w:rPr>
          <w:rFonts w:hint="eastAsia" w:ascii="仿宋" w:hAnsi="仿宋" w:eastAsia="仿宋" w:cs="仿宋"/>
          <w:color w:val="auto"/>
          <w:szCs w:val="32"/>
          <w:highlight w:val="none"/>
          <w:lang w:eastAsia="zh-CN"/>
        </w:rPr>
        <w:t>特色文化</w:t>
      </w:r>
      <w:r>
        <w:rPr>
          <w:rFonts w:hint="eastAsia" w:ascii="仿宋" w:hAnsi="仿宋" w:eastAsia="仿宋" w:cs="仿宋"/>
          <w:color w:val="auto"/>
          <w:szCs w:val="32"/>
          <w:highlight w:val="none"/>
        </w:rPr>
        <w:t>，致力打造“千年古城、福地武冈”</w:t>
      </w:r>
      <w:r>
        <w:rPr>
          <w:rFonts w:hint="eastAsia" w:ascii="仿宋" w:hAnsi="仿宋" w:eastAsia="仿宋" w:cs="仿宋"/>
          <w:color w:val="auto"/>
          <w:szCs w:val="32"/>
          <w:highlight w:val="none"/>
          <w:lang w:eastAsia="zh-CN"/>
        </w:rPr>
        <w:t>旅游</w:t>
      </w:r>
      <w:r>
        <w:rPr>
          <w:rFonts w:hint="eastAsia" w:ascii="仿宋" w:hAnsi="仿宋" w:eastAsia="仿宋" w:cs="仿宋"/>
          <w:color w:val="auto"/>
          <w:szCs w:val="32"/>
          <w:highlight w:val="none"/>
        </w:rPr>
        <w:t>文化品牌。</w:t>
      </w:r>
    </w:p>
    <w:p w14:paraId="2347F96F">
      <w:pPr>
        <w:keepNext w:val="0"/>
        <w:keepLines w:val="0"/>
        <w:pageBreakBefore w:val="0"/>
        <w:widowControl w:val="0"/>
        <w:pBdr>
          <w:bottom w:val="single" w:color="FFFFFF" w:sz="4" w:space="30"/>
        </w:pBdr>
        <w:kinsoku/>
        <w:wordWrap/>
        <w:overflowPunct/>
        <w:topLinePunct/>
        <w:autoSpaceDE w:val="0"/>
        <w:autoSpaceDN/>
        <w:bidi w:val="0"/>
        <w:adjustRightInd/>
        <w:snapToGrid/>
        <w:spacing w:line="602" w:lineRule="exact"/>
        <w:ind w:firstLine="643" w:firstLineChars="200"/>
        <w:jc w:val="left"/>
        <w:textAlignment w:val="auto"/>
        <w:rPr>
          <w:rFonts w:hint="eastAsia"/>
          <w:b w:val="0"/>
          <w:bCs w:val="0"/>
          <w:color w:val="auto"/>
          <w:highlight w:val="none"/>
          <w:lang w:val="en-US" w:eastAsia="zh-CN"/>
        </w:rPr>
      </w:pPr>
      <w:r>
        <w:rPr>
          <w:rFonts w:hint="eastAsia" w:ascii="KaiTi_GB2312" w:hAnsi="KaiTi_GB2312" w:eastAsia="KaiTi_GB2312" w:cs="KaiTi_GB2312"/>
          <w:b/>
          <w:bCs/>
          <w:color w:val="auto"/>
          <w:szCs w:val="32"/>
          <w:highlight w:val="none"/>
          <w:lang w:val="en-US" w:eastAsia="zh-CN"/>
        </w:rPr>
        <w:t>建成</w:t>
      </w:r>
      <w:r>
        <w:rPr>
          <w:rFonts w:hint="eastAsia" w:ascii="KaiTi_GB2312" w:hAnsi="KaiTi_GB2312" w:eastAsia="KaiTi_GB2312" w:cs="KaiTi_GB2312"/>
          <w:b/>
          <w:bCs/>
          <w:color w:val="auto"/>
          <w:szCs w:val="32"/>
          <w:highlight w:val="none"/>
        </w:rPr>
        <w:t>国内外知名旅游目的地。</w:t>
      </w:r>
      <w:r>
        <w:rPr>
          <w:rFonts w:hint="eastAsia" w:ascii="仿宋" w:hAnsi="仿宋" w:eastAsia="仿宋" w:cs="仿宋"/>
          <w:b w:val="0"/>
          <w:bCs w:val="0"/>
          <w:color w:val="auto"/>
          <w:kern w:val="0"/>
          <w:sz w:val="32"/>
          <w:szCs w:val="32"/>
          <w:highlight w:val="none"/>
        </w:rPr>
        <w:t>建立“2+N”旅游产业格局</w:t>
      </w:r>
      <w:r>
        <w:rPr>
          <w:rFonts w:hint="eastAsia" w:ascii="仿宋" w:hAnsi="仿宋" w:eastAsia="仿宋" w:cs="仿宋"/>
          <w:b w:val="0"/>
          <w:bCs w:val="0"/>
          <w:color w:val="auto"/>
          <w:kern w:val="0"/>
          <w:sz w:val="32"/>
          <w:szCs w:val="32"/>
          <w:highlight w:val="none"/>
          <w:lang w:val="en-US" w:eastAsia="zh-CN"/>
        </w:rPr>
        <w:t>,</w:t>
      </w:r>
      <w:r>
        <w:rPr>
          <w:rFonts w:hint="eastAsia" w:ascii="仿宋" w:hAnsi="仿宋" w:eastAsia="仿宋" w:cs="仿宋"/>
          <w:color w:val="auto"/>
          <w:sz w:val="32"/>
          <w:szCs w:val="32"/>
          <w:highlight w:val="none"/>
          <w:lang w:val="en-US" w:eastAsia="zh-CN"/>
        </w:rPr>
        <w:t>全力推进省级全域旅游示范县（市）创建工作，将云山打造成为5A景区，将武冈王城休闲区打造成邵阳城市会客厅，每年游客接待量和旅游接待总收入平均增长15%以上，至2025年，游客接待量达520万人次，旅游总收入37亿元。</w:t>
      </w:r>
      <w:r>
        <w:rPr>
          <w:rFonts w:hint="eastAsia" w:ascii="仿宋" w:hAnsi="仿宋" w:eastAsia="仿宋" w:cs="仿宋"/>
          <w:b/>
          <w:bCs/>
          <w:color w:val="auto"/>
          <w:sz w:val="32"/>
          <w:szCs w:val="32"/>
          <w:highlight w:val="none"/>
          <w:lang w:val="en-US" w:eastAsia="zh-CN"/>
        </w:rPr>
        <w:t>做强精品文旅产业。</w:t>
      </w:r>
      <w:r>
        <w:rPr>
          <w:rFonts w:hint="eastAsia" w:ascii="仿宋" w:hAnsi="仿宋" w:eastAsia="仿宋" w:cs="仿宋"/>
          <w:color w:val="auto"/>
          <w:sz w:val="32"/>
          <w:szCs w:val="32"/>
          <w:highlight w:val="none"/>
          <w:lang w:val="en-US" w:eastAsia="zh-CN"/>
        </w:rPr>
        <w:t>全力推进全域旅游集散中心、生态丹霞精品旅游线乡村旅游等建设，扎实推进云山国家森林公园5A级景区创建、都梁文旅休闲特色小镇、</w:t>
      </w:r>
      <w:r>
        <w:rPr>
          <w:rFonts w:hint="eastAsia" w:ascii="仿宋" w:hAnsi="仿宋" w:eastAsia="仿宋" w:cs="仿宋"/>
          <w:color w:val="auto"/>
          <w:highlight w:val="none"/>
          <w:lang w:eastAsia="zh-CN"/>
        </w:rPr>
        <w:t>狮子湖影视生态园</w:t>
      </w:r>
      <w:r>
        <w:rPr>
          <w:rFonts w:hint="eastAsia" w:ascii="仿宋" w:hAnsi="仿宋" w:eastAsia="仿宋" w:cs="仿宋"/>
          <w:color w:val="auto"/>
          <w:sz w:val="32"/>
          <w:szCs w:val="32"/>
          <w:highlight w:val="none"/>
          <w:lang w:val="en-US" w:eastAsia="zh-CN"/>
        </w:rPr>
        <w:t>、浪石特色旅游小镇、龙清泉乡村文化旅游度假区等文旅产业项目建设，推进嗨花弄农业生态园、同保楼、云山露营公园等3A级景区向4A级提质改造。</w:t>
      </w:r>
      <w:r>
        <w:rPr>
          <w:rFonts w:hint="eastAsia" w:ascii="仿宋" w:hAnsi="仿宋" w:eastAsia="仿宋" w:cs="仿宋"/>
          <w:b/>
          <w:bCs/>
          <w:color w:val="auto"/>
          <w:highlight w:val="none"/>
          <w:lang w:val="en-US" w:eastAsia="zh-CN"/>
        </w:rPr>
        <w:t>完善旅游基础设施。</w:t>
      </w:r>
      <w:r>
        <w:rPr>
          <w:rFonts w:hint="eastAsia" w:ascii="仿宋" w:hAnsi="仿宋" w:eastAsia="仿宋" w:cs="仿宋"/>
          <w:b w:val="0"/>
          <w:bCs w:val="0"/>
          <w:color w:val="auto"/>
          <w:highlight w:val="none"/>
          <w:lang w:val="en-US" w:eastAsia="zh-CN"/>
        </w:rPr>
        <w:t>推进吃、住、行、游、购、娱、厕等要素体系建设，提升旅游服务效能。完善旅游路网，改善进入旅游景区点道路交通，</w:t>
      </w:r>
      <w:r>
        <w:rPr>
          <w:rFonts w:hint="eastAsia" w:ascii="仿宋" w:hAnsi="仿宋" w:eastAsia="仿宋" w:cs="仿宋"/>
          <w:color w:val="auto"/>
          <w:szCs w:val="32"/>
          <w:highlight w:val="none"/>
          <w:lang w:eastAsia="zh-CN"/>
        </w:rPr>
        <w:t>完成</w:t>
      </w:r>
      <w:r>
        <w:rPr>
          <w:rFonts w:hint="eastAsia" w:ascii="仿宋" w:hAnsi="仿宋" w:eastAsia="仿宋" w:cs="仿宋"/>
          <w:color w:val="auto"/>
          <w:szCs w:val="32"/>
          <w:highlight w:val="none"/>
        </w:rPr>
        <w:t>云山大桥、云山大道</w:t>
      </w:r>
      <w:r>
        <w:rPr>
          <w:rFonts w:hint="eastAsia" w:ascii="仿宋" w:hAnsi="仿宋" w:eastAsia="仿宋" w:cs="仿宋"/>
          <w:color w:val="auto"/>
          <w:szCs w:val="32"/>
          <w:highlight w:val="none"/>
          <w:lang w:eastAsia="zh-CN"/>
        </w:rPr>
        <w:t>建设</w:t>
      </w:r>
      <w:r>
        <w:rPr>
          <w:rFonts w:hint="eastAsia" w:ascii="仿宋" w:hAnsi="仿宋" w:eastAsia="仿宋" w:cs="仿宋"/>
          <w:color w:val="auto"/>
          <w:szCs w:val="32"/>
          <w:highlight w:val="none"/>
        </w:rPr>
        <w:t>，构建主旅游区（点）之间的快捷连接通道</w:t>
      </w:r>
      <w:r>
        <w:rPr>
          <w:rFonts w:hint="eastAsia" w:ascii="仿宋" w:hAnsi="仿宋" w:eastAsia="仿宋" w:cs="仿宋"/>
          <w:color w:val="auto"/>
          <w:szCs w:val="32"/>
          <w:highlight w:val="none"/>
          <w:lang w:eastAsia="zh-CN"/>
        </w:rPr>
        <w:t>，将古城、云山、云山露营公园、嗨花弄、天子山峡谷、都梁古镇、浪石、其他重点乡村旅游区的连接公路及道路标识系统纳入全市公路网建设</w:t>
      </w:r>
      <w:r>
        <w:rPr>
          <w:rFonts w:hint="eastAsia" w:ascii="仿宋" w:hAnsi="仿宋" w:eastAsia="仿宋" w:cs="仿宋"/>
          <w:b w:val="0"/>
          <w:bCs w:val="0"/>
          <w:color w:val="auto"/>
          <w:highlight w:val="none"/>
          <w:lang w:val="en-US" w:eastAsia="zh-CN"/>
        </w:rPr>
        <w:t>。加快旅游接待设施建设，提升旅游景区旅游星级饭店等标准和等级，支持旅行社、景区信息化转型升级；加强旅游商品研发，优化旅游商品结构，推动旅游购物设施建设，鼓励和发展影视、演艺、歌厅、酒吧、茶艺等配套休闲娱乐业。</w:t>
      </w:r>
      <w:r>
        <w:rPr>
          <w:rFonts w:hint="eastAsia" w:ascii="仿宋" w:hAnsi="仿宋" w:eastAsia="仿宋" w:cs="仿宋"/>
          <w:b/>
          <w:bCs/>
          <w:color w:val="auto"/>
          <w:highlight w:val="none"/>
          <w:lang w:val="en-US" w:eastAsia="zh-CN"/>
        </w:rPr>
        <w:t>加大旅游产品营销。</w:t>
      </w:r>
      <w:r>
        <w:rPr>
          <w:rFonts w:hint="eastAsia" w:ascii="仿宋" w:hAnsi="仿宋" w:eastAsia="仿宋" w:cs="仿宋"/>
          <w:b w:val="0"/>
          <w:bCs w:val="0"/>
          <w:color w:val="auto"/>
          <w:highlight w:val="none"/>
          <w:lang w:val="en-US" w:eastAsia="zh-CN"/>
        </w:rPr>
        <w:t>加强城市形象和旅游产品推介。省内依托怀化、吉首、张家界、邵阳四个中心城市，省外依托桂林、柳州两个中心城市，重视张家界和桂林的品牌效应和辐射带动作用，积极建设省内市际和跨省区域旅游精品旅游线。争取与国际知名城市缔结友好关系，联合开发国际旅游线路。加强旅游与农业、工业、服务业的发展融合，培育旅游新业态，实现旅游业联动发展。</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9004"/>
      </w:tblGrid>
      <w:tr w14:paraId="7020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5000" w:type="pct"/>
            <w:shd w:val="clear" w:color="auto" w:fill="FFFFFF" w:themeFill="background1"/>
          </w:tcPr>
          <w:p w14:paraId="7B65ECCE">
            <w:pPr>
              <w:pageBreakBefore w:val="0"/>
              <w:widowControl w:val="0"/>
              <w:kinsoku/>
              <w:wordWrap/>
              <w:overflowPunct/>
              <w:bidi w:val="0"/>
              <w:spacing w:line="420" w:lineRule="auto"/>
              <w:jc w:val="center"/>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专栏1</w:t>
            </w:r>
            <w:r>
              <w:rPr>
                <w:rFonts w:hint="eastAsia" w:ascii="宋体" w:hAnsi="宋体" w:eastAsia="宋体" w:cs="宋体"/>
                <w:b/>
                <w:bCs w:val="0"/>
                <w:color w:val="auto"/>
                <w:kern w:val="0"/>
                <w:sz w:val="28"/>
                <w:szCs w:val="28"/>
                <w:highlight w:val="none"/>
                <w:lang w:val="en-US" w:eastAsia="zh-CN"/>
              </w:rPr>
              <w:t>8</w:t>
            </w:r>
            <w:r>
              <w:rPr>
                <w:rFonts w:hint="eastAsia" w:ascii="宋体" w:hAnsi="宋体" w:eastAsia="宋体" w:cs="宋体"/>
                <w:b/>
                <w:bCs w:val="0"/>
                <w:color w:val="auto"/>
                <w:kern w:val="0"/>
                <w:sz w:val="28"/>
                <w:szCs w:val="28"/>
                <w:highlight w:val="none"/>
              </w:rPr>
              <w:t>：</w:t>
            </w:r>
            <w:r>
              <w:rPr>
                <w:rFonts w:hint="eastAsia" w:ascii="宋体" w:hAnsi="宋体" w:eastAsia="宋体" w:cs="宋体"/>
                <w:b/>
                <w:bCs w:val="0"/>
                <w:color w:val="auto"/>
                <w:kern w:val="0"/>
                <w:sz w:val="28"/>
                <w:szCs w:val="28"/>
                <w:highlight w:val="none"/>
                <w:lang w:eastAsia="zh-CN"/>
              </w:rPr>
              <w:t>文化旅游重点项目</w:t>
            </w:r>
          </w:p>
        </w:tc>
      </w:tr>
      <w:tr w14:paraId="6BC6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3" w:hRule="atLeast"/>
          <w:jc w:val="center"/>
        </w:trPr>
        <w:tc>
          <w:tcPr>
            <w:tcW w:w="5000" w:type="pct"/>
            <w:shd w:val="clear" w:color="auto" w:fill="FFFFFF" w:themeFill="background1"/>
          </w:tcPr>
          <w:p w14:paraId="35506432">
            <w:pPr>
              <w:pStyle w:val="10"/>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both"/>
              <w:textAlignment w:val="auto"/>
              <w:rPr>
                <w:rFonts w:ascii="仿宋" w:hAnsi="仿宋" w:eastAsia="仿宋" w:cs="仿宋"/>
                <w:color w:val="auto"/>
                <w:highlight w:val="none"/>
              </w:rPr>
            </w:pPr>
            <w:r>
              <w:rPr>
                <w:rFonts w:hint="eastAsia" w:ascii="仿宋" w:hAnsi="仿宋" w:eastAsia="仿宋" w:cs="仿宋"/>
                <w:color w:val="auto"/>
                <w:highlight w:val="none"/>
              </w:rPr>
              <w:t>都梁文旅休闲特色小镇</w:t>
            </w:r>
            <w:r>
              <w:rPr>
                <w:rFonts w:hint="eastAsia" w:ascii="仿宋" w:hAnsi="仿宋" w:eastAsia="仿宋" w:cs="仿宋"/>
                <w:color w:val="auto"/>
                <w:highlight w:val="none"/>
                <w:lang w:eastAsia="zh-CN"/>
              </w:rPr>
              <w:t>、狮子湖影视生态园、古山运动休闲小镇、王城文旅休闲区、云山5A级景区建设项目、天子山旅游开发、生态丹霞精品旅游线乡村旅游、卤都啤酒特色小镇项目、云山旅游基础设施建设项目、都梁·水岛文化小镇、湖南龙清泉乡村文化旅游度假区、黄埔军校二分校旧址展示利用、全域旅游集散中心、大甸镇大成拳文化遗产（大成堂）文旅扩建。</w:t>
            </w:r>
          </w:p>
        </w:tc>
      </w:tr>
      <w:bookmarkEnd w:id="118"/>
    </w:tbl>
    <w:p w14:paraId="6CF9A484">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highlight w:val="none"/>
        </w:rPr>
      </w:pPr>
      <w:bookmarkStart w:id="119" w:name="_Toc32245"/>
      <w:bookmarkStart w:id="120" w:name="_Toc31241"/>
      <w:r>
        <w:rPr>
          <w:rFonts w:hint="eastAsia" w:ascii="黑体" w:hAnsi="黑体" w:eastAsia="黑体" w:cs="黑体"/>
          <w:b w:val="0"/>
          <w:bCs/>
          <w:color w:val="auto"/>
          <w:kern w:val="44"/>
          <w:sz w:val="32"/>
          <w:szCs w:val="32"/>
          <w:highlight w:val="none"/>
          <w:lang w:val="en-US" w:eastAsia="zh-CN" w:bidi="ar-SA"/>
        </w:rPr>
        <w:t>第四节 构建公共文化</w:t>
      </w:r>
      <w:bookmarkEnd w:id="119"/>
      <w:r>
        <w:rPr>
          <w:rFonts w:hint="eastAsia" w:ascii="黑体" w:hAnsi="黑体" w:eastAsia="黑体" w:cs="黑体"/>
          <w:b w:val="0"/>
          <w:bCs/>
          <w:color w:val="auto"/>
          <w:kern w:val="44"/>
          <w:sz w:val="32"/>
          <w:szCs w:val="32"/>
          <w:highlight w:val="none"/>
          <w:lang w:val="en-US" w:eastAsia="zh-CN" w:bidi="ar-SA"/>
        </w:rPr>
        <w:t>体系</w:t>
      </w:r>
      <w:bookmarkEnd w:id="120"/>
    </w:p>
    <w:p w14:paraId="1B0409BD">
      <w:pPr>
        <w:keepNext w:val="0"/>
        <w:keepLines w:val="0"/>
        <w:pageBreakBefore w:val="0"/>
        <w:widowControl w:val="0"/>
        <w:kinsoku/>
        <w:wordWrap/>
        <w:overflowPunct/>
        <w:topLinePunct w:val="0"/>
        <w:autoSpaceDE/>
        <w:autoSpaceDN/>
        <w:bidi w:val="0"/>
        <w:adjustRightInd/>
        <w:snapToGrid/>
        <w:spacing w:line="664" w:lineRule="exact"/>
        <w:ind w:firstLine="640"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坚持以文化人、以文惠民，打牢强化正确舆论导向、开展各类文化活动、持续推进移风易俗三个公共文化基础，从设施方面、服务方面入手构建公共文化服务体系，推送更加精准优质的公共文化服务，更好满足人民精神文化生活新需求。</w:t>
      </w:r>
    </w:p>
    <w:p w14:paraId="2D6FB8AC">
      <w:pPr>
        <w:keepNext w:val="0"/>
        <w:keepLines w:val="0"/>
        <w:pageBreakBefore w:val="0"/>
        <w:widowControl w:val="0"/>
        <w:kinsoku/>
        <w:wordWrap/>
        <w:overflowPunct/>
        <w:topLinePunct w:val="0"/>
        <w:autoSpaceDE/>
        <w:autoSpaceDN/>
        <w:bidi w:val="0"/>
        <w:adjustRightInd/>
        <w:snapToGrid/>
        <w:spacing w:line="664" w:lineRule="exact"/>
        <w:ind w:left="0" w:firstLine="643" w:firstLineChars="200"/>
        <w:jc w:val="both"/>
        <w:textAlignment w:val="auto"/>
        <w:rPr>
          <w:rFonts w:hint="eastAsia" w:ascii="仿宋" w:hAnsi="仿宋" w:eastAsia="仿宋" w:cs="仿宋"/>
          <w:color w:val="auto"/>
          <w:sz w:val="32"/>
          <w:szCs w:val="32"/>
          <w:highlight w:val="none"/>
        </w:rPr>
      </w:pPr>
      <w:r>
        <w:rPr>
          <w:rFonts w:hint="eastAsia" w:ascii="KaiTi_GB2312" w:hAnsi="KaiTi_GB2312" w:eastAsia="KaiTi_GB2312" w:cs="KaiTi_GB2312"/>
          <w:b/>
          <w:color w:val="auto"/>
          <w:sz w:val="32"/>
          <w:szCs w:val="32"/>
          <w:highlight w:val="none"/>
          <w:lang w:val="en-US" w:eastAsia="zh-CN"/>
        </w:rPr>
        <w:t>打牢三个公共文化基础。</w:t>
      </w:r>
      <w:r>
        <w:rPr>
          <w:rFonts w:hint="eastAsia" w:ascii="仿宋" w:hAnsi="仿宋" w:eastAsia="仿宋" w:cs="仿宋"/>
          <w:b/>
          <w:bCs w:val="0"/>
          <w:color w:val="auto"/>
          <w:sz w:val="32"/>
          <w:szCs w:val="32"/>
          <w:highlight w:val="none"/>
          <w:lang w:val="en-US" w:eastAsia="zh-CN"/>
        </w:rPr>
        <w:t>强化</w:t>
      </w:r>
      <w:r>
        <w:rPr>
          <w:rFonts w:hint="eastAsia" w:ascii="仿宋" w:hAnsi="仿宋" w:eastAsia="仿宋" w:cs="仿宋"/>
          <w:b/>
          <w:bCs/>
          <w:color w:val="auto"/>
          <w:sz w:val="32"/>
          <w:szCs w:val="32"/>
          <w:highlight w:val="none"/>
          <w:lang w:val="en-US" w:eastAsia="zh-CN"/>
        </w:rPr>
        <w:t>正确</w:t>
      </w:r>
      <w:r>
        <w:rPr>
          <w:rFonts w:hint="eastAsia" w:ascii="仿宋" w:hAnsi="仿宋" w:eastAsia="仿宋" w:cs="仿宋"/>
          <w:b/>
          <w:bCs/>
          <w:color w:val="auto"/>
          <w:sz w:val="32"/>
          <w:szCs w:val="32"/>
          <w:highlight w:val="none"/>
        </w:rPr>
        <w:t>舆论</w:t>
      </w:r>
      <w:r>
        <w:rPr>
          <w:rFonts w:hint="eastAsia" w:ascii="仿宋" w:hAnsi="仿宋" w:eastAsia="仿宋" w:cs="仿宋"/>
          <w:b/>
          <w:bCs/>
          <w:color w:val="auto"/>
          <w:sz w:val="32"/>
          <w:szCs w:val="32"/>
          <w:highlight w:val="none"/>
          <w:lang w:val="en-US" w:eastAsia="zh-CN"/>
        </w:rPr>
        <w:t>导向</w:t>
      </w:r>
      <w:r>
        <w:rPr>
          <w:rFonts w:hint="eastAsia" w:ascii="仿宋" w:hAnsi="仿宋" w:eastAsia="仿宋" w:cs="仿宋"/>
          <w:b/>
          <w:bCs/>
          <w:color w:val="auto"/>
          <w:sz w:val="32"/>
          <w:szCs w:val="32"/>
          <w:highlight w:val="none"/>
        </w:rPr>
        <w:t>。</w:t>
      </w:r>
      <w:r>
        <w:rPr>
          <w:rFonts w:hint="eastAsia" w:ascii="仿宋" w:hAnsi="仿宋" w:eastAsia="仿宋" w:cs="仿宋"/>
          <w:color w:val="auto"/>
          <w:sz w:val="32"/>
          <w:szCs w:val="32"/>
          <w:highlight w:val="none"/>
        </w:rPr>
        <w:t>健全舆情引导机制，加强舆情应急管理，提高舆论引导能力和水平，积极传播正能量。加强网上思想文化阵地建设，实施网络内容建设工程，发展积极向上的网络文化，净化网络环境，健全版权保护与合作管理机制，加大对虚假广告、低端恶俗、侵犯版权及隐私等各类问题监管及处罚力度，规范传播秩序。</w:t>
      </w:r>
      <w:r>
        <w:rPr>
          <w:rFonts w:hint="eastAsia" w:ascii="仿宋" w:hAnsi="仿宋" w:eastAsia="仿宋" w:cs="仿宋"/>
          <w:b/>
          <w:bCs/>
          <w:color w:val="auto"/>
          <w:sz w:val="32"/>
          <w:szCs w:val="32"/>
          <w:highlight w:val="none"/>
          <w:lang w:eastAsia="zh-CN"/>
        </w:rPr>
        <w:t>开展</w:t>
      </w:r>
      <w:r>
        <w:rPr>
          <w:rFonts w:hint="eastAsia" w:ascii="仿宋" w:hAnsi="仿宋" w:eastAsia="仿宋" w:cs="仿宋"/>
          <w:b/>
          <w:bCs/>
          <w:color w:val="auto"/>
          <w:sz w:val="32"/>
          <w:szCs w:val="32"/>
          <w:highlight w:val="none"/>
          <w:lang w:val="en-US" w:eastAsia="zh-CN"/>
        </w:rPr>
        <w:t>各类文化</w:t>
      </w:r>
      <w:r>
        <w:rPr>
          <w:rFonts w:hint="eastAsia" w:ascii="仿宋" w:hAnsi="仿宋" w:eastAsia="仿宋" w:cs="仿宋"/>
          <w:b/>
          <w:bCs/>
          <w:color w:val="auto"/>
          <w:sz w:val="32"/>
          <w:szCs w:val="32"/>
          <w:highlight w:val="none"/>
        </w:rPr>
        <w:t>活</w:t>
      </w:r>
      <w:r>
        <w:rPr>
          <w:rFonts w:hint="eastAsia" w:ascii="仿宋" w:hAnsi="仿宋" w:eastAsia="仿宋" w:cs="仿宋"/>
          <w:b/>
          <w:bCs/>
          <w:color w:val="auto"/>
          <w:sz w:val="32"/>
          <w:szCs w:val="32"/>
          <w:highlight w:val="none"/>
          <w:lang w:val="en-US" w:eastAsia="zh-CN"/>
        </w:rPr>
        <w:t>动</w:t>
      </w:r>
      <w:r>
        <w:rPr>
          <w:rFonts w:hint="eastAsia" w:ascii="仿宋" w:hAnsi="仿宋" w:eastAsia="仿宋" w:cs="仿宋"/>
          <w:b/>
          <w:bCs/>
          <w:color w:val="auto"/>
          <w:sz w:val="32"/>
          <w:szCs w:val="32"/>
          <w:highlight w:val="none"/>
        </w:rPr>
        <w:t>。</w:t>
      </w:r>
      <w:r>
        <w:rPr>
          <w:rFonts w:hint="eastAsia" w:ascii="仿宋" w:hAnsi="仿宋" w:eastAsia="仿宋" w:cs="仿宋"/>
          <w:color w:val="auto"/>
          <w:sz w:val="32"/>
          <w:szCs w:val="32"/>
          <w:highlight w:val="none"/>
        </w:rPr>
        <w:t>广泛开展群众乐于参与、便于参与的文化活动，让群众在多姿多彩、喜闻乐见的文化活动中获得精神滋养、增强精神力量。深入挖掘和弘扬中华优秀传统文化蕴含的思想观念、人文精神、道德规范，结合时代要求、地域特色进行创造性转化、创新性发展。组织开展“中国梦歌曲大家唱”、全民广场舞、地方戏曲</w:t>
      </w:r>
      <w:r>
        <w:rPr>
          <w:rFonts w:hint="eastAsia" w:ascii="仿宋" w:hAnsi="仿宋" w:eastAsia="仿宋" w:cs="仿宋"/>
          <w:color w:val="auto"/>
          <w:sz w:val="32"/>
          <w:szCs w:val="32"/>
          <w:highlight w:val="none"/>
          <w:lang w:eastAsia="zh-CN"/>
        </w:rPr>
        <w:t>汇</w:t>
      </w:r>
      <w:r>
        <w:rPr>
          <w:rFonts w:hint="eastAsia" w:ascii="仿宋" w:hAnsi="仿宋" w:eastAsia="仿宋" w:cs="仿宋"/>
          <w:color w:val="auto"/>
          <w:sz w:val="32"/>
          <w:szCs w:val="32"/>
          <w:highlight w:val="none"/>
        </w:rPr>
        <w:t>演、群众体育比赛、读书看报、文艺培训等活动，继续打造“云山大舞台”“云山大展台”“云山大讲台”和 “乡村春晚品牌”，提高公共文化服务水平。</w:t>
      </w:r>
      <w:r>
        <w:rPr>
          <w:rFonts w:hint="eastAsia" w:ascii="仿宋" w:hAnsi="仿宋" w:eastAsia="仿宋" w:cs="仿宋"/>
          <w:b/>
          <w:bCs/>
          <w:color w:val="auto"/>
          <w:sz w:val="32"/>
          <w:szCs w:val="32"/>
          <w:highlight w:val="none"/>
          <w:lang w:val="en-US" w:eastAsia="zh-CN"/>
        </w:rPr>
        <w:t>持续推进移风易俗。</w:t>
      </w:r>
      <w:r>
        <w:rPr>
          <w:rFonts w:hint="eastAsia" w:ascii="仿宋" w:hAnsi="仿宋" w:eastAsia="仿宋" w:cs="仿宋"/>
          <w:color w:val="auto"/>
          <w:sz w:val="32"/>
          <w:szCs w:val="32"/>
          <w:highlight w:val="none"/>
        </w:rPr>
        <w:t>大力开展移风易俗、弘扬时代新风行动，破除陈规陋习、传播文明理念、</w:t>
      </w:r>
      <w:r>
        <w:rPr>
          <w:rFonts w:hint="eastAsia" w:ascii="仿宋" w:hAnsi="仿宋" w:eastAsia="仿宋" w:cs="仿宋"/>
          <w:color w:val="auto"/>
          <w:sz w:val="32"/>
          <w:szCs w:val="32"/>
          <w:highlight w:val="none"/>
          <w:lang w:eastAsia="zh-CN"/>
        </w:rPr>
        <w:t>培</w:t>
      </w:r>
      <w:r>
        <w:rPr>
          <w:rFonts w:hint="eastAsia" w:ascii="仿宋" w:hAnsi="仿宋" w:eastAsia="仿宋" w:cs="仿宋"/>
          <w:color w:val="auto"/>
          <w:sz w:val="32"/>
          <w:szCs w:val="32"/>
          <w:highlight w:val="none"/>
        </w:rPr>
        <w:t>育文明乡风。倡导科学文明健康的生活方式，</w:t>
      </w:r>
      <w:r>
        <w:rPr>
          <w:rFonts w:hint="eastAsia" w:ascii="仿宋" w:hAnsi="仿宋" w:eastAsia="仿宋" w:cs="仿宋"/>
          <w:color w:val="auto"/>
          <w:spacing w:val="6"/>
          <w:sz w:val="32"/>
          <w:szCs w:val="32"/>
          <w:highlight w:val="none"/>
        </w:rPr>
        <w:t>宣传普及工作生活、社会交往、人际关系、公共场所等方面的文明礼仪规范。针对红白事宜大操大办、奢侈浪费</w:t>
      </w:r>
      <w:r>
        <w:rPr>
          <w:rFonts w:hint="eastAsia" w:ascii="仿宋" w:hAnsi="仿宋" w:eastAsia="仿宋" w:cs="仿宋"/>
          <w:color w:val="auto"/>
          <w:spacing w:val="6"/>
          <w:sz w:val="32"/>
          <w:szCs w:val="32"/>
          <w:highlight w:val="none"/>
          <w:lang w:eastAsia="zh-CN"/>
        </w:rPr>
        <w:t>、吸毒赌博、</w:t>
      </w:r>
      <w:r>
        <w:rPr>
          <w:rFonts w:hint="eastAsia" w:ascii="仿宋" w:hAnsi="仿宋" w:eastAsia="仿宋" w:cs="仿宋"/>
          <w:color w:val="auto"/>
          <w:spacing w:val="6"/>
          <w:sz w:val="32"/>
          <w:szCs w:val="32"/>
          <w:highlight w:val="none"/>
        </w:rPr>
        <w:t>厚葬薄养等不良习气，发挥村民议事会、道德评议会、红白理事会、禁毒禁赌协会等群众组织的作用，广泛开展乡风评议，</w:t>
      </w:r>
      <w:r>
        <w:rPr>
          <w:rFonts w:hint="eastAsia" w:ascii="仿宋" w:hAnsi="仿宋" w:eastAsia="仿宋" w:cs="仿宋"/>
          <w:color w:val="auto"/>
          <w:spacing w:val="6"/>
          <w:sz w:val="32"/>
          <w:szCs w:val="32"/>
          <w:highlight w:val="none"/>
          <w:lang w:eastAsia="zh-CN"/>
        </w:rPr>
        <w:t>坚决予以制止</w:t>
      </w:r>
      <w:r>
        <w:rPr>
          <w:rFonts w:hint="eastAsia" w:ascii="仿宋" w:hAnsi="仿宋" w:eastAsia="仿宋" w:cs="仿宋"/>
          <w:color w:val="auto"/>
          <w:spacing w:val="6"/>
          <w:sz w:val="32"/>
          <w:szCs w:val="32"/>
          <w:highlight w:val="none"/>
        </w:rPr>
        <w:t>。切实加强无神论宣传教育，引导农村群众自觉</w:t>
      </w:r>
      <w:r>
        <w:rPr>
          <w:rFonts w:hint="eastAsia" w:ascii="仿宋" w:hAnsi="仿宋" w:eastAsia="仿宋" w:cs="仿宋"/>
          <w:color w:val="auto"/>
          <w:sz w:val="32"/>
          <w:szCs w:val="32"/>
          <w:highlight w:val="none"/>
        </w:rPr>
        <w:t>抵制腐朽落后文化侵蚀。大力弘扬科学精神，广泛普及科学知识。</w:t>
      </w:r>
    </w:p>
    <w:p w14:paraId="76209BB1">
      <w:pPr>
        <w:keepNext w:val="0"/>
        <w:keepLines w:val="0"/>
        <w:pageBreakBefore w:val="0"/>
        <w:widowControl w:val="0"/>
        <w:kinsoku/>
        <w:wordWrap/>
        <w:overflowPunct/>
        <w:topLinePunct w:val="0"/>
        <w:autoSpaceDE/>
        <w:autoSpaceDN/>
        <w:bidi w:val="0"/>
        <w:adjustRightInd/>
        <w:snapToGrid/>
        <w:spacing w:line="664" w:lineRule="exact"/>
        <w:ind w:firstLine="643" w:firstLineChars="200"/>
        <w:jc w:val="both"/>
        <w:textAlignment w:val="auto"/>
        <w:rPr>
          <w:rFonts w:hint="eastAsia" w:ascii="仿宋" w:hAnsi="仿宋" w:eastAsia="仿宋" w:cs="仿宋"/>
          <w:color w:val="auto"/>
          <w:sz w:val="32"/>
          <w:szCs w:val="32"/>
          <w:highlight w:val="none"/>
        </w:rPr>
      </w:pPr>
      <w:r>
        <w:rPr>
          <w:rFonts w:hint="eastAsia" w:ascii="KaiTi_GB2312" w:hAnsi="KaiTi_GB2312" w:eastAsia="KaiTi_GB2312" w:cs="KaiTi_GB2312"/>
          <w:b/>
          <w:color w:val="auto"/>
          <w:sz w:val="32"/>
          <w:szCs w:val="32"/>
          <w:highlight w:val="none"/>
          <w:lang w:val="en-US" w:eastAsia="zh-CN"/>
        </w:rPr>
        <w:t>构建公共文化服务体系。</w:t>
      </w:r>
      <w:r>
        <w:rPr>
          <w:rFonts w:hint="eastAsia" w:ascii="仿宋" w:hAnsi="仿宋" w:eastAsia="仿宋" w:cs="仿宋"/>
          <w:b/>
          <w:bCs/>
          <w:color w:val="auto"/>
          <w:sz w:val="32"/>
          <w:szCs w:val="32"/>
          <w:highlight w:val="none"/>
          <w:lang w:val="en-US" w:eastAsia="zh-CN"/>
        </w:rPr>
        <w:t>在设施方面。</w:t>
      </w:r>
      <w:r>
        <w:rPr>
          <w:rFonts w:hint="eastAsia" w:ascii="仿宋" w:hAnsi="仿宋" w:eastAsia="仿宋" w:cs="仿宋"/>
          <w:color w:val="auto"/>
          <w:sz w:val="32"/>
          <w:szCs w:val="32"/>
          <w:highlight w:val="none"/>
        </w:rPr>
        <w:t>加快</w:t>
      </w:r>
      <w:r>
        <w:rPr>
          <w:rFonts w:hint="eastAsia" w:ascii="仿宋" w:hAnsi="仿宋" w:eastAsia="仿宋" w:cs="仿宋"/>
          <w:color w:val="auto"/>
          <w:sz w:val="32"/>
          <w:szCs w:val="32"/>
          <w:highlight w:val="none"/>
          <w:lang w:eastAsia="zh-CN"/>
        </w:rPr>
        <w:t>完善覆盖城乡的公共文化服务体系，大力实施文化惠民工程，促进基本公共文化服务标准化均等化</w:t>
      </w:r>
      <w:r>
        <w:rPr>
          <w:rFonts w:hint="eastAsia" w:ascii="仿宋" w:hAnsi="仿宋" w:eastAsia="仿宋" w:cs="仿宋"/>
          <w:color w:val="auto"/>
          <w:sz w:val="32"/>
          <w:szCs w:val="32"/>
          <w:highlight w:val="none"/>
        </w:rPr>
        <w:t>。按照城乡人口发展和分布，合理规划建设各类公共文化设施，实现公共文化设施网络全面覆盖、互联互通，在主城区和中心镇、特色镇、一般乡镇分别建成10分钟、15分钟和30分钟公共文化服务圈。落实乡镇综合文化站、农家书屋、群众文化广场、农村电影放映等重大公共文化惠民工程，完善</w:t>
      </w:r>
      <w:r>
        <w:rPr>
          <w:rFonts w:hint="eastAsia" w:ascii="仿宋" w:hAnsi="仿宋" w:eastAsia="仿宋" w:cs="仿宋"/>
          <w:color w:val="auto"/>
          <w:sz w:val="32"/>
          <w:szCs w:val="32"/>
          <w:highlight w:val="none"/>
          <w:lang w:eastAsia="zh-CN"/>
        </w:rPr>
        <w:t>公共</w:t>
      </w:r>
      <w:r>
        <w:rPr>
          <w:rFonts w:hint="eastAsia" w:ascii="仿宋" w:hAnsi="仿宋" w:eastAsia="仿宋" w:cs="仿宋"/>
          <w:color w:val="auto"/>
          <w:sz w:val="32"/>
          <w:szCs w:val="32"/>
          <w:highlight w:val="none"/>
        </w:rPr>
        <w:t>图书馆、</w:t>
      </w:r>
      <w:r>
        <w:rPr>
          <w:rFonts w:hint="eastAsia" w:ascii="仿宋" w:hAnsi="仿宋" w:eastAsia="仿宋" w:cs="仿宋"/>
          <w:color w:val="auto"/>
          <w:sz w:val="32"/>
          <w:szCs w:val="32"/>
          <w:highlight w:val="none"/>
          <w:lang w:eastAsia="zh-CN"/>
        </w:rPr>
        <w:t>文化馆</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美术馆、</w:t>
      </w:r>
      <w:r>
        <w:rPr>
          <w:rFonts w:hint="eastAsia" w:ascii="仿宋" w:hAnsi="仿宋" w:eastAsia="仿宋" w:cs="仿宋"/>
          <w:color w:val="auto"/>
          <w:sz w:val="32"/>
          <w:szCs w:val="32"/>
          <w:highlight w:val="none"/>
        </w:rPr>
        <w:t>综合文化站、</w:t>
      </w:r>
      <w:r>
        <w:rPr>
          <w:rFonts w:hint="eastAsia" w:ascii="仿宋" w:hAnsi="仿宋" w:eastAsia="仿宋" w:cs="仿宋"/>
          <w:color w:val="auto"/>
          <w:sz w:val="32"/>
          <w:szCs w:val="32"/>
          <w:highlight w:val="none"/>
          <w:lang w:eastAsia="zh-CN"/>
        </w:rPr>
        <w:t>演艺大剧院、乡镇数码影院、非物质文化遗产展览馆</w:t>
      </w:r>
      <w:r>
        <w:rPr>
          <w:rFonts w:hint="eastAsia" w:ascii="仿宋" w:hAnsi="仿宋" w:eastAsia="仿宋" w:cs="仿宋"/>
          <w:color w:val="auto"/>
          <w:sz w:val="32"/>
          <w:szCs w:val="32"/>
          <w:highlight w:val="none"/>
        </w:rPr>
        <w:t>等公共文化设施，</w:t>
      </w:r>
      <w:r>
        <w:rPr>
          <w:rFonts w:hint="eastAsia" w:ascii="仿宋" w:hAnsi="仿宋" w:eastAsia="仿宋" w:cs="仿宋"/>
          <w:color w:val="auto"/>
          <w:sz w:val="32"/>
          <w:szCs w:val="32"/>
          <w:highlight w:val="none"/>
          <w:lang w:eastAsia="zh-CN"/>
        </w:rPr>
        <w:t>新建</w:t>
      </w:r>
      <w:r>
        <w:rPr>
          <w:rFonts w:hint="eastAsia" w:ascii="仿宋" w:hAnsi="仿宋" w:eastAsia="仿宋" w:cs="仿宋"/>
          <w:color w:val="auto"/>
          <w:sz w:val="32"/>
          <w:szCs w:val="32"/>
          <w:highlight w:val="none"/>
          <w:lang w:val="en-US" w:eastAsia="zh-CN"/>
        </w:rPr>
        <w:t>24小时自助图书馆，更好满足人民精神文化生活需求</w:t>
      </w:r>
      <w:r>
        <w:rPr>
          <w:rFonts w:hint="eastAsia" w:ascii="仿宋" w:hAnsi="仿宋" w:eastAsia="仿宋" w:cs="仿宋"/>
          <w:color w:val="auto"/>
          <w:sz w:val="32"/>
          <w:szCs w:val="32"/>
          <w:highlight w:val="none"/>
        </w:rPr>
        <w:t>。</w:t>
      </w:r>
      <w:r>
        <w:rPr>
          <w:rFonts w:hint="eastAsia" w:ascii="仿宋" w:hAnsi="仿宋" w:eastAsia="仿宋" w:cs="仿宋"/>
          <w:b/>
          <w:bCs/>
          <w:color w:val="auto"/>
          <w:sz w:val="32"/>
          <w:szCs w:val="32"/>
          <w:highlight w:val="none"/>
          <w:lang w:val="en-US" w:eastAsia="zh-CN"/>
        </w:rPr>
        <w:t>在服务方面。</w:t>
      </w:r>
      <w:r>
        <w:rPr>
          <w:rFonts w:hint="eastAsia" w:ascii="仿宋" w:hAnsi="仿宋" w:eastAsia="仿宋" w:cs="仿宋"/>
          <w:color w:val="auto"/>
          <w:sz w:val="32"/>
          <w:szCs w:val="32"/>
          <w:highlight w:val="none"/>
        </w:rPr>
        <w:t>建成覆盖城乡、便捷高效、保基本、促公平的现代公共文化服务体系</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激发全市文化创造活力，推进媒体深度融合发展，用好5G、大数据、云计算、物联网、区块链、人工智能等信息技术革命成果，推进全媒体传播工程，用好用活武冈市融媒体中心。推进城乡公共文化服务体系一体建设，实施文化惠民工程，广泛开展群众性文化活动，推动公共文化数字化。培育和引进优秀的文化人才。加大对文化人才的投入，组织开展常态化文化专业人才、文化能人、民间艺人、非物质文化遗产传承人等培育和引进，培养一批基层群众文艺领军人才</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扶持壮大文化志愿者和群众文化活动积极分子队伍，组织广大文艺工作者下乡，吸引优秀高校毕业生从事公共文化服务。</w:t>
      </w:r>
    </w:p>
    <w:p w14:paraId="1459A5E7">
      <w:pPr>
        <w:keepNext w:val="0"/>
        <w:keepLines w:val="0"/>
        <w:pageBreakBefore w:val="0"/>
        <w:widowControl w:val="0"/>
        <w:kinsoku/>
        <w:wordWrap/>
        <w:overflowPunct/>
        <w:topLinePunct w:val="0"/>
        <w:autoSpaceDE/>
        <w:autoSpaceDN/>
        <w:bidi w:val="0"/>
        <w:adjustRightInd/>
        <w:snapToGrid/>
        <w:spacing w:line="420" w:lineRule="auto"/>
        <w:jc w:val="center"/>
        <w:textAlignment w:val="auto"/>
        <w:rPr>
          <w:rFonts w:hint="eastAsia" w:ascii="仿宋" w:hAnsi="仿宋" w:eastAsia="仿宋" w:cs="仿宋"/>
          <w:color w:val="auto"/>
          <w:sz w:val="32"/>
          <w:szCs w:val="32"/>
          <w:highlight w:val="none"/>
        </w:rPr>
      </w:pPr>
    </w:p>
    <w:p w14:paraId="2674ACC0">
      <w:pPr>
        <w:keepNext w:val="0"/>
        <w:keepLines w:val="0"/>
        <w:pageBreakBefore w:val="0"/>
        <w:widowControl w:val="0"/>
        <w:kinsoku/>
        <w:wordWrap/>
        <w:overflowPunct/>
        <w:topLinePunct w:val="0"/>
        <w:autoSpaceDE/>
        <w:autoSpaceDN/>
        <w:bidi w:val="0"/>
        <w:adjustRightInd/>
        <w:snapToGrid/>
        <w:spacing w:line="420" w:lineRule="auto"/>
        <w:jc w:val="center"/>
        <w:textAlignment w:val="auto"/>
        <w:rPr>
          <w:rFonts w:hint="eastAsia" w:ascii="FangSong_GB2312" w:hAnsi="Times New Roman" w:eastAsia="FangSong_GB2312" w:cs="Times New Roman"/>
          <w:color w:val="auto"/>
          <w:sz w:val="32"/>
          <w:szCs w:val="32"/>
          <w:highlight w:val="none"/>
        </w:rPr>
      </w:pPr>
    </w:p>
    <w:p w14:paraId="50740C3F">
      <w:pPr>
        <w:keepNext w:val="0"/>
        <w:keepLines w:val="0"/>
        <w:pageBreakBefore w:val="0"/>
        <w:widowControl w:val="0"/>
        <w:kinsoku/>
        <w:wordWrap/>
        <w:overflowPunct/>
        <w:topLinePunct w:val="0"/>
        <w:autoSpaceDE/>
        <w:autoSpaceDN/>
        <w:bidi w:val="0"/>
        <w:adjustRightInd/>
        <w:snapToGrid/>
        <w:spacing w:line="420" w:lineRule="auto"/>
        <w:jc w:val="center"/>
        <w:textAlignment w:val="auto"/>
        <w:rPr>
          <w:rFonts w:hint="eastAsia" w:ascii="FangSong_GB2312" w:hAnsi="Times New Roman" w:eastAsia="FangSong_GB2312" w:cs="Times New Roman"/>
          <w:color w:val="auto"/>
          <w:sz w:val="32"/>
          <w:szCs w:val="32"/>
          <w:highlight w:val="none"/>
        </w:rPr>
      </w:pPr>
    </w:p>
    <w:p w14:paraId="0DB1271B">
      <w:pPr>
        <w:keepNext w:val="0"/>
        <w:keepLines w:val="0"/>
        <w:pageBreakBefore w:val="0"/>
        <w:widowControl w:val="0"/>
        <w:kinsoku/>
        <w:wordWrap/>
        <w:overflowPunct/>
        <w:topLinePunct w:val="0"/>
        <w:autoSpaceDE/>
        <w:autoSpaceDN/>
        <w:bidi w:val="0"/>
        <w:adjustRightInd/>
        <w:snapToGrid/>
        <w:spacing w:line="420" w:lineRule="auto"/>
        <w:jc w:val="center"/>
        <w:textAlignment w:val="auto"/>
        <w:rPr>
          <w:rFonts w:hint="eastAsia" w:ascii="FangSong_GB2312" w:hAnsi="Times New Roman" w:eastAsia="FangSong_GB2312" w:cs="Times New Roman"/>
          <w:color w:val="auto"/>
          <w:sz w:val="32"/>
          <w:szCs w:val="32"/>
          <w:highlight w:val="none"/>
        </w:rPr>
      </w:pPr>
    </w:p>
    <w:p w14:paraId="6C320F31">
      <w:pPr>
        <w:keepNext w:val="0"/>
        <w:keepLines w:val="0"/>
        <w:pageBreakBefore w:val="0"/>
        <w:widowControl w:val="0"/>
        <w:kinsoku/>
        <w:wordWrap/>
        <w:overflowPunct/>
        <w:topLinePunct w:val="0"/>
        <w:autoSpaceDE/>
        <w:autoSpaceDN/>
        <w:bidi w:val="0"/>
        <w:adjustRightInd/>
        <w:snapToGrid/>
        <w:spacing w:line="420" w:lineRule="auto"/>
        <w:jc w:val="center"/>
        <w:textAlignment w:val="auto"/>
        <w:rPr>
          <w:rFonts w:hint="eastAsia" w:ascii="FangSong_GB2312" w:hAnsi="Times New Roman" w:eastAsia="FangSong_GB2312" w:cs="Times New Roman"/>
          <w:color w:val="auto"/>
          <w:sz w:val="32"/>
          <w:szCs w:val="32"/>
          <w:highlight w:val="none"/>
        </w:rPr>
      </w:pPr>
    </w:p>
    <w:p w14:paraId="5CA39AC5">
      <w:pPr>
        <w:keepNext w:val="0"/>
        <w:keepLines w:val="0"/>
        <w:pageBreakBefore w:val="0"/>
        <w:widowControl w:val="0"/>
        <w:kinsoku/>
        <w:wordWrap/>
        <w:overflowPunct/>
        <w:topLinePunct w:val="0"/>
        <w:autoSpaceDE/>
        <w:autoSpaceDN/>
        <w:bidi w:val="0"/>
        <w:adjustRightInd/>
        <w:snapToGrid/>
        <w:spacing w:line="420" w:lineRule="auto"/>
        <w:jc w:val="center"/>
        <w:textAlignment w:val="auto"/>
        <w:rPr>
          <w:rFonts w:hint="eastAsia" w:ascii="FangSong_GB2312" w:hAnsi="Times New Roman" w:eastAsia="FangSong_GB2312" w:cs="Times New Roman"/>
          <w:color w:val="auto"/>
          <w:sz w:val="32"/>
          <w:szCs w:val="32"/>
          <w:highlight w:val="none"/>
        </w:rPr>
      </w:pPr>
    </w:p>
    <w:p w14:paraId="53D6A7C7">
      <w:pPr>
        <w:keepNext w:val="0"/>
        <w:keepLines w:val="0"/>
        <w:pageBreakBefore w:val="0"/>
        <w:widowControl w:val="0"/>
        <w:kinsoku/>
        <w:wordWrap/>
        <w:overflowPunct/>
        <w:topLinePunct w:val="0"/>
        <w:autoSpaceDE/>
        <w:autoSpaceDN/>
        <w:bidi w:val="0"/>
        <w:adjustRightInd/>
        <w:snapToGrid/>
        <w:spacing w:line="420" w:lineRule="auto"/>
        <w:jc w:val="center"/>
        <w:textAlignment w:val="auto"/>
        <w:rPr>
          <w:rFonts w:hint="eastAsia" w:ascii="FangSong_GB2312" w:hAnsi="Times New Roman" w:eastAsia="FangSong_GB2312" w:cs="Times New Roman"/>
          <w:color w:val="auto"/>
          <w:sz w:val="32"/>
          <w:szCs w:val="32"/>
          <w:highlight w:val="none"/>
        </w:rPr>
      </w:pPr>
    </w:p>
    <w:p w14:paraId="69EF0E75">
      <w:pPr>
        <w:keepNext w:val="0"/>
        <w:keepLines w:val="0"/>
        <w:pageBreakBefore w:val="0"/>
        <w:widowControl w:val="0"/>
        <w:kinsoku/>
        <w:wordWrap/>
        <w:overflowPunct/>
        <w:topLinePunct w:val="0"/>
        <w:autoSpaceDE/>
        <w:autoSpaceDN/>
        <w:bidi w:val="0"/>
        <w:adjustRightInd/>
        <w:snapToGrid/>
        <w:spacing w:line="420" w:lineRule="auto"/>
        <w:jc w:val="center"/>
        <w:textAlignment w:val="auto"/>
        <w:rPr>
          <w:rFonts w:hint="eastAsia" w:ascii="FangSong_GB2312" w:hAnsi="Times New Roman" w:eastAsia="FangSong_GB2312" w:cs="Times New Roman"/>
          <w:color w:val="auto"/>
          <w:sz w:val="32"/>
          <w:szCs w:val="32"/>
          <w:highlight w:val="none"/>
        </w:rPr>
      </w:pPr>
    </w:p>
    <w:p w14:paraId="16165B21">
      <w:pPr>
        <w:pStyle w:val="9"/>
        <w:pageBreakBefore w:val="0"/>
        <w:wordWrap/>
        <w:bidi w:val="0"/>
        <w:rPr>
          <w:rFonts w:hint="eastAsia" w:ascii="FangSong_GB2312" w:hAnsi="Times New Roman" w:eastAsia="FangSong_GB2312" w:cs="Times New Roman"/>
          <w:color w:val="auto"/>
          <w:sz w:val="32"/>
          <w:szCs w:val="32"/>
          <w:highlight w:val="none"/>
        </w:rPr>
      </w:pPr>
    </w:p>
    <w:p w14:paraId="1D016336">
      <w:pPr>
        <w:pStyle w:val="10"/>
        <w:pageBreakBefore w:val="0"/>
        <w:wordWrap/>
        <w:bidi w:val="0"/>
        <w:rPr>
          <w:rFonts w:hint="eastAsia"/>
          <w:color w:val="auto"/>
          <w:highlight w:val="none"/>
        </w:rPr>
      </w:pPr>
    </w:p>
    <w:p w14:paraId="442F0A63">
      <w:pPr>
        <w:keepNext w:val="0"/>
        <w:keepLines w:val="0"/>
        <w:pageBreakBefore w:val="0"/>
        <w:widowControl w:val="0"/>
        <w:kinsoku/>
        <w:wordWrap/>
        <w:overflowPunct/>
        <w:topLinePunct w:val="0"/>
        <w:autoSpaceDE/>
        <w:autoSpaceDN/>
        <w:bidi w:val="0"/>
        <w:adjustRightInd/>
        <w:snapToGrid/>
        <w:spacing w:line="420" w:lineRule="auto"/>
        <w:jc w:val="center"/>
        <w:textAlignment w:val="auto"/>
        <w:rPr>
          <w:rFonts w:hint="eastAsia" w:ascii="FangSong_GB2312" w:hAnsi="Times New Roman" w:eastAsia="FangSong_GB2312" w:cs="Times New Roman"/>
          <w:color w:val="auto"/>
          <w:sz w:val="32"/>
          <w:szCs w:val="32"/>
          <w:highlight w:val="none"/>
        </w:rPr>
      </w:pPr>
    </w:p>
    <w:p w14:paraId="6FE34DF1">
      <w:pPr>
        <w:pStyle w:val="2"/>
        <w:rPr>
          <w:rFonts w:hint="eastAsia" w:ascii="FangSong_GB2312" w:hAnsi="Times New Roman" w:eastAsia="FangSong_GB2312" w:cs="Times New Roman"/>
          <w:color w:val="auto"/>
          <w:sz w:val="32"/>
          <w:szCs w:val="32"/>
          <w:highlight w:val="none"/>
        </w:rPr>
      </w:pPr>
    </w:p>
    <w:p w14:paraId="507B0EC4">
      <w:pPr>
        <w:keepNext w:val="0"/>
        <w:keepLines w:val="0"/>
        <w:pageBreakBefore w:val="0"/>
        <w:widowControl w:val="0"/>
        <w:kinsoku/>
        <w:wordWrap/>
        <w:overflowPunct/>
        <w:topLinePunct w:val="0"/>
        <w:autoSpaceDE/>
        <w:autoSpaceDN/>
        <w:bidi w:val="0"/>
        <w:adjustRightInd/>
        <w:snapToGrid/>
        <w:spacing w:line="626" w:lineRule="exact"/>
        <w:jc w:val="center"/>
        <w:textAlignment w:val="auto"/>
        <w:outlineLvl w:val="0"/>
        <w:rPr>
          <w:rFonts w:hint="eastAsia"/>
          <w:bCs/>
          <w:color w:val="auto"/>
          <w:szCs w:val="32"/>
          <w:highlight w:val="none"/>
          <w:lang w:val="en-US" w:eastAsia="zh-CN"/>
        </w:rPr>
      </w:pPr>
      <w:bookmarkStart w:id="121" w:name="_Toc23357"/>
      <w:r>
        <w:rPr>
          <w:rFonts w:hint="eastAsia" w:ascii="黑体" w:hAnsi="黑体" w:eastAsia="黑体" w:cs="黑体"/>
          <w:bCs/>
          <w:color w:val="auto"/>
          <w:szCs w:val="32"/>
          <w:highlight w:val="none"/>
          <w:lang w:val="en-US" w:eastAsia="zh-CN"/>
        </w:rPr>
        <w:t xml:space="preserve">第十章  </w:t>
      </w:r>
      <w:bookmarkEnd w:id="86"/>
      <w:bookmarkEnd w:id="87"/>
      <w:bookmarkEnd w:id="88"/>
      <w:r>
        <w:rPr>
          <w:rFonts w:hint="eastAsia" w:ascii="黑体" w:hAnsi="黑体" w:eastAsia="黑体" w:cs="黑体"/>
          <w:bCs/>
          <w:color w:val="auto"/>
          <w:szCs w:val="32"/>
          <w:highlight w:val="none"/>
          <w:lang w:val="en-US" w:eastAsia="zh-CN"/>
        </w:rPr>
        <w:t>坚持绿色发展，建设美丽武冈</w:t>
      </w:r>
      <w:bookmarkEnd w:id="121"/>
    </w:p>
    <w:p w14:paraId="6B6EA2EB">
      <w:pPr>
        <w:pageBreakBefore w:val="0"/>
        <w:widowControl w:val="0"/>
        <w:kinsoku/>
        <w:wordWrap/>
        <w:overflowPunct/>
        <w:topLinePunct w:val="0"/>
        <w:autoSpaceDE/>
        <w:autoSpaceDN/>
        <w:bidi w:val="0"/>
        <w:adjustRightInd/>
        <w:snapToGrid/>
        <w:spacing w:line="626" w:lineRule="exact"/>
        <w:ind w:firstLine="640"/>
        <w:jc w:val="both"/>
        <w:textAlignment w:val="auto"/>
        <w:rPr>
          <w:rFonts w:hint="eastAsia" w:ascii="仿宋" w:hAnsi="仿宋" w:eastAsia="仿宋" w:cs="仿宋"/>
          <w:color w:val="auto"/>
          <w:spacing w:val="6"/>
          <w:highlight w:val="none"/>
        </w:rPr>
      </w:pPr>
      <w:r>
        <w:rPr>
          <w:rFonts w:hint="eastAsia" w:ascii="仿宋" w:hAnsi="仿宋" w:eastAsia="仿宋" w:cs="仿宋"/>
          <w:color w:val="auto"/>
          <w:spacing w:val="6"/>
          <w:highlight w:val="none"/>
        </w:rPr>
        <w:t>坚持绿水青山就是金山银山理念，大力推进生态文明建设，</w:t>
      </w:r>
      <w:r>
        <w:rPr>
          <w:rFonts w:hint="eastAsia" w:ascii="仿宋" w:hAnsi="仿宋" w:eastAsia="仿宋" w:cs="仿宋"/>
          <w:color w:val="auto"/>
          <w:spacing w:val="6"/>
          <w:highlight w:val="none"/>
          <w:lang w:eastAsia="zh-CN"/>
        </w:rPr>
        <w:t>巩固省级森林城市创建成果，争创国家森林城市，</w:t>
      </w:r>
      <w:r>
        <w:rPr>
          <w:rFonts w:hint="eastAsia" w:ascii="仿宋" w:hAnsi="仿宋" w:eastAsia="仿宋" w:cs="仿宋"/>
          <w:color w:val="auto"/>
          <w:spacing w:val="6"/>
          <w:highlight w:val="none"/>
        </w:rPr>
        <w:t>满足人民日益增长的优美生态环境需要。到2025年，重点污染物排放得到有效控制，城乡环境质量得到明显改善，生态安全得到有效保障。</w:t>
      </w:r>
    </w:p>
    <w:p w14:paraId="321150B5">
      <w:pPr>
        <w:pStyle w:val="4"/>
        <w:keepNext/>
        <w:keepLines/>
        <w:pageBreakBefore w:val="0"/>
        <w:widowControl w:val="0"/>
        <w:kinsoku/>
        <w:wordWrap/>
        <w:overflowPunct/>
        <w:topLinePunct w:val="0"/>
        <w:autoSpaceDE/>
        <w:autoSpaceDN/>
        <w:bidi w:val="0"/>
        <w:adjustRightInd/>
        <w:snapToGrid/>
        <w:spacing w:before="100" w:after="100" w:line="626" w:lineRule="exact"/>
        <w:jc w:val="center"/>
        <w:textAlignment w:val="auto"/>
        <w:rPr>
          <w:rFonts w:hint="eastAsia" w:ascii="黑体" w:hAnsi="黑体" w:eastAsia="黑体" w:cs="黑体"/>
          <w:b w:val="0"/>
          <w:bCs/>
          <w:color w:val="auto"/>
          <w:highlight w:val="none"/>
          <w:lang w:val="en-US" w:eastAsia="zh-CN"/>
        </w:rPr>
      </w:pPr>
      <w:bookmarkStart w:id="122" w:name="_Toc17033"/>
      <w:r>
        <w:rPr>
          <w:rFonts w:hint="eastAsia" w:ascii="黑体" w:hAnsi="黑体" w:eastAsia="黑体" w:cs="黑体"/>
          <w:b w:val="0"/>
          <w:bCs/>
          <w:color w:val="auto"/>
          <w:kern w:val="44"/>
          <w:sz w:val="32"/>
          <w:szCs w:val="32"/>
          <w:highlight w:val="none"/>
          <w:lang w:val="en-US" w:eastAsia="zh-CN" w:bidi="ar-SA"/>
        </w:rPr>
        <w:t>第一节 推动绿色低碳发展</w:t>
      </w:r>
      <w:bookmarkEnd w:id="122"/>
    </w:p>
    <w:p w14:paraId="0117EFAF">
      <w:pPr>
        <w:pageBreakBefore w:val="0"/>
        <w:widowControl w:val="0"/>
        <w:kinsoku/>
        <w:wordWrap/>
        <w:overflowPunct/>
        <w:topLinePunct w:val="0"/>
        <w:autoSpaceDE/>
        <w:autoSpaceDN/>
        <w:bidi w:val="0"/>
        <w:adjustRightInd/>
        <w:snapToGrid/>
        <w:spacing w:line="626" w:lineRule="exact"/>
        <w:ind w:firstLine="64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牢</w:t>
      </w:r>
      <w:r>
        <w:rPr>
          <w:rFonts w:hint="eastAsia" w:ascii="仿宋" w:hAnsi="仿宋" w:eastAsia="仿宋" w:cs="仿宋"/>
          <w:color w:val="auto"/>
          <w:highlight w:val="none"/>
        </w:rPr>
        <w:t>固树立保护生态环境就是保护生产力、改善生态环境就是发展生产力的理念，更加自觉地推动绿色</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循环、低碳发展</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推动形成绿色发展方式</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推广绿色低碳型生活方式</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转变</w:t>
      </w:r>
      <w:r>
        <w:rPr>
          <w:rFonts w:hint="eastAsia" w:ascii="仿宋" w:hAnsi="仿宋" w:eastAsia="仿宋" w:cs="仿宋"/>
          <w:color w:val="auto"/>
          <w:highlight w:val="none"/>
        </w:rPr>
        <w:t>资源</w:t>
      </w:r>
      <w:r>
        <w:rPr>
          <w:rFonts w:hint="eastAsia" w:ascii="仿宋" w:hAnsi="仿宋" w:eastAsia="仿宋" w:cs="仿宋"/>
          <w:color w:val="auto"/>
          <w:highlight w:val="none"/>
          <w:lang w:val="en-US" w:eastAsia="zh-CN"/>
        </w:rPr>
        <w:t>循环集约方式</w:t>
      </w:r>
      <w:r>
        <w:rPr>
          <w:rFonts w:hint="eastAsia" w:ascii="仿宋" w:hAnsi="仿宋" w:eastAsia="仿宋" w:cs="仿宋"/>
          <w:color w:val="auto"/>
          <w:highlight w:val="none"/>
        </w:rPr>
        <w:t>。</w:t>
      </w:r>
    </w:p>
    <w:p w14:paraId="40536B1E">
      <w:pPr>
        <w:pageBreakBefore w:val="0"/>
        <w:widowControl w:val="0"/>
        <w:kinsoku/>
        <w:wordWrap/>
        <w:overflowPunct/>
        <w:topLinePunct w:val="0"/>
        <w:autoSpaceDE/>
        <w:autoSpaceDN/>
        <w:bidi w:val="0"/>
        <w:adjustRightInd/>
        <w:snapToGrid/>
        <w:spacing w:line="626" w:lineRule="exact"/>
        <w:ind w:firstLine="643" w:firstLineChars="200"/>
        <w:jc w:val="both"/>
        <w:textAlignment w:val="auto"/>
        <w:rPr>
          <w:color w:val="auto"/>
          <w:highlight w:val="none"/>
        </w:rPr>
      </w:pPr>
      <w:r>
        <w:rPr>
          <w:rFonts w:hint="eastAsia" w:ascii="KaiTi_GB2312" w:eastAsia="KaiTi_GB2312"/>
          <w:b/>
          <w:color w:val="auto"/>
          <w:szCs w:val="32"/>
          <w:highlight w:val="none"/>
        </w:rPr>
        <w:t>推动形成绿色发展方式。</w:t>
      </w:r>
      <w:r>
        <w:rPr>
          <w:rFonts w:hint="eastAsia" w:ascii="仿宋" w:hAnsi="仿宋" w:eastAsia="仿宋" w:cs="仿宋"/>
          <w:color w:val="auto"/>
          <w:highlight w:val="none"/>
        </w:rPr>
        <w:t>积极引导低投入、低消耗、低排放和高效率的现代产业发展</w:t>
      </w:r>
      <w:r>
        <w:rPr>
          <w:rFonts w:hint="eastAsia" w:ascii="仿宋" w:hAnsi="仿宋" w:eastAsia="仿宋" w:cs="仿宋"/>
          <w:color w:val="auto"/>
          <w:highlight w:val="none"/>
          <w:lang w:eastAsia="zh-CN"/>
        </w:rPr>
        <w:t>模式</w:t>
      </w:r>
      <w:r>
        <w:rPr>
          <w:rFonts w:hint="eastAsia" w:ascii="仿宋" w:hAnsi="仿宋" w:eastAsia="仿宋" w:cs="仿宋"/>
          <w:color w:val="auto"/>
          <w:highlight w:val="none"/>
        </w:rPr>
        <w:t>，推进农业、工业、能源、建筑、交通等领域开展清洁生产及绿色化改造，继续淘汰落后产能和关停高能耗、高污染企业，实施产业发展“负面清单”管理，严禁耗能高、无排污总量指标的项目上马，实施近零碳排放区示范工程，推广清洁低碳技术，开展低碳城区、园区、社区、景区试点示范。发展绿色金融，支持绿色技术创新。</w:t>
      </w:r>
    </w:p>
    <w:p w14:paraId="66C8DB33">
      <w:pPr>
        <w:pageBreakBefore w:val="0"/>
        <w:widowControl w:val="0"/>
        <w:kinsoku/>
        <w:wordWrap/>
        <w:overflowPunct/>
        <w:topLinePunct w:val="0"/>
        <w:autoSpaceDE/>
        <w:autoSpaceDN/>
        <w:bidi w:val="0"/>
        <w:adjustRightInd/>
        <w:snapToGrid/>
        <w:spacing w:line="626" w:lineRule="exact"/>
        <w:ind w:firstLine="643" w:firstLineChars="200"/>
        <w:jc w:val="both"/>
        <w:textAlignment w:val="auto"/>
        <w:rPr>
          <w:rFonts w:hint="eastAsia" w:ascii="仿宋" w:hAnsi="仿宋" w:eastAsia="仿宋" w:cs="仿宋"/>
          <w:color w:val="auto"/>
          <w:highlight w:val="none"/>
        </w:rPr>
      </w:pPr>
      <w:r>
        <w:rPr>
          <w:rFonts w:hint="eastAsia" w:ascii="KaiTi_GB2312" w:eastAsia="KaiTi_GB2312"/>
          <w:b/>
          <w:color w:val="auto"/>
          <w:szCs w:val="32"/>
          <w:highlight w:val="none"/>
        </w:rPr>
        <w:t>推广绿色低碳型生活方式。</w:t>
      </w:r>
      <w:r>
        <w:rPr>
          <w:rFonts w:hint="eastAsia" w:ascii="仿宋" w:hAnsi="仿宋" w:eastAsia="仿宋" w:cs="仿宋"/>
          <w:color w:val="auto"/>
          <w:highlight w:val="none"/>
        </w:rPr>
        <w:t>加强充电设施建设，推进新能源汽车使用，加大城市步行和自行车交通系统建设，提高公共出行和非机动出行比例，大力发展绿色建筑，推行绿色建筑设计标准，推广节能电器和绿色照明，积极引导消费者购买高能效家电、节水型器具等节能环保低碳产品，倡导绿色低碳的生活方式。</w:t>
      </w:r>
    </w:p>
    <w:p w14:paraId="58678819">
      <w:pPr>
        <w:pageBreakBefore w:val="0"/>
        <w:widowControl w:val="0"/>
        <w:kinsoku/>
        <w:wordWrap/>
        <w:overflowPunct/>
        <w:topLinePunct w:val="0"/>
        <w:autoSpaceDE/>
        <w:autoSpaceDN/>
        <w:bidi w:val="0"/>
        <w:adjustRightInd/>
        <w:snapToGrid/>
        <w:spacing w:line="626" w:lineRule="exact"/>
        <w:ind w:firstLine="643" w:firstLineChars="200"/>
        <w:jc w:val="both"/>
        <w:textAlignment w:val="auto"/>
        <w:rPr>
          <w:rFonts w:hint="eastAsia" w:ascii="仿宋" w:hAnsi="仿宋" w:eastAsia="仿宋" w:cs="仿宋"/>
          <w:color w:val="auto"/>
          <w:highlight w:val="none"/>
        </w:rPr>
      </w:pPr>
      <w:r>
        <w:rPr>
          <w:rFonts w:hint="eastAsia" w:ascii="KaiTi_GB2312" w:eastAsia="KaiTi_GB2312"/>
          <w:b/>
          <w:color w:val="auto"/>
          <w:szCs w:val="32"/>
          <w:highlight w:val="none"/>
          <w:lang w:val="en-US" w:eastAsia="zh-CN"/>
        </w:rPr>
        <w:t>转变</w:t>
      </w:r>
      <w:r>
        <w:rPr>
          <w:rFonts w:hint="eastAsia" w:ascii="KaiTi_GB2312" w:eastAsia="KaiTi_GB2312"/>
          <w:b/>
          <w:color w:val="auto"/>
          <w:szCs w:val="32"/>
          <w:highlight w:val="none"/>
        </w:rPr>
        <w:t>资源</w:t>
      </w:r>
      <w:r>
        <w:rPr>
          <w:rFonts w:hint="eastAsia" w:ascii="KaiTi_GB2312" w:eastAsia="KaiTi_GB2312"/>
          <w:b/>
          <w:color w:val="auto"/>
          <w:szCs w:val="32"/>
          <w:highlight w:val="none"/>
          <w:lang w:val="en-US" w:eastAsia="zh-CN"/>
        </w:rPr>
        <w:t>循环集约方式</w:t>
      </w:r>
      <w:r>
        <w:rPr>
          <w:rFonts w:hint="eastAsia" w:ascii="KaiTi_GB2312" w:eastAsia="KaiTi_GB2312"/>
          <w:b/>
          <w:color w:val="auto"/>
          <w:szCs w:val="32"/>
          <w:highlight w:val="none"/>
        </w:rPr>
        <w:t>。</w:t>
      </w:r>
      <w:r>
        <w:rPr>
          <w:rFonts w:hint="eastAsia" w:ascii="仿宋" w:hAnsi="仿宋" w:eastAsia="仿宋" w:cs="仿宋"/>
          <w:color w:val="auto"/>
          <w:highlight w:val="none"/>
        </w:rPr>
        <w:t>加快转变能源和资源利用方式，健全资源节约集约循环利用政策体系，完善资源价格形成机制。实施重点节能工程，加快节能技术开发与推广应用，突出抓好工业、建筑、交通、商业、公共机构等重点领域节能管理，严格控制能源消耗强度和能源消耗总量。实施全民节水行动，加快农业、工业、城镇供水管网节水改造，加强重点用水单位监管，强化取水总量和强度双控，扩大水资源费征收范围，实施居民用水阶梯水价和非居民用水超计划、超定额累进加价制度。推进“城市矿产”回收利用，推行垃圾分类和减量化、资源化，提升固体废弃物资源化利用率，在生产、流通、消费各环节大力发展循环经济，加快构建废旧物资循环利用体系。到2025年，全市工业固体废物综合利用率达95%以上，单位GDP能耗降低15%以上，规模工业万元增加值能耗降低</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%以上。</w:t>
      </w:r>
    </w:p>
    <w:p w14:paraId="7D6D982E">
      <w:pPr>
        <w:pStyle w:val="4"/>
        <w:keepNext/>
        <w:keepLines/>
        <w:pageBreakBefore w:val="0"/>
        <w:widowControl w:val="0"/>
        <w:kinsoku/>
        <w:wordWrap/>
        <w:overflowPunct/>
        <w:topLinePunct w:val="0"/>
        <w:autoSpaceDE/>
        <w:autoSpaceDN/>
        <w:bidi w:val="0"/>
        <w:adjustRightInd/>
        <w:snapToGrid/>
        <w:spacing w:before="100" w:after="100" w:line="626" w:lineRule="exact"/>
        <w:jc w:val="center"/>
        <w:textAlignment w:val="auto"/>
        <w:rPr>
          <w:rFonts w:hint="eastAsia" w:ascii="黑体" w:hAnsi="黑体" w:eastAsia="黑体" w:cs="黑体"/>
          <w:b w:val="0"/>
          <w:bCs/>
          <w:color w:val="auto"/>
          <w:highlight w:val="none"/>
          <w:lang w:val="en-US" w:eastAsia="zh-CN"/>
        </w:rPr>
      </w:pPr>
      <w:bookmarkStart w:id="123" w:name="_Toc4381"/>
      <w:r>
        <w:rPr>
          <w:rFonts w:hint="eastAsia" w:ascii="黑体" w:hAnsi="黑体" w:eastAsia="黑体" w:cs="黑体"/>
          <w:b w:val="0"/>
          <w:bCs/>
          <w:color w:val="auto"/>
          <w:kern w:val="44"/>
          <w:sz w:val="32"/>
          <w:szCs w:val="32"/>
          <w:highlight w:val="none"/>
          <w:lang w:val="en-US" w:eastAsia="zh-CN" w:bidi="ar-SA"/>
        </w:rPr>
        <w:t>第二节 加大环境污染治理</w:t>
      </w:r>
      <w:bookmarkEnd w:id="123"/>
    </w:p>
    <w:p w14:paraId="7E9402C8">
      <w:pPr>
        <w:pageBreakBefore w:val="0"/>
        <w:widowControl w:val="0"/>
        <w:kinsoku/>
        <w:wordWrap/>
        <w:overflowPunct/>
        <w:topLinePunct w:val="0"/>
        <w:autoSpaceDE/>
        <w:autoSpaceDN/>
        <w:bidi w:val="0"/>
        <w:adjustRightInd/>
        <w:snapToGrid/>
        <w:spacing w:line="626" w:lineRule="exact"/>
        <w:ind w:firstLine="640" w:firstLineChars="200"/>
        <w:jc w:val="both"/>
        <w:textAlignment w:val="auto"/>
        <w:rPr>
          <w:rFonts w:hint="eastAsia" w:ascii="仿宋" w:hAnsi="仿宋" w:eastAsia="仿宋" w:cs="仿宋"/>
          <w:b/>
          <w:bCs/>
          <w:color w:val="auto"/>
          <w:highlight w:val="none"/>
        </w:rPr>
      </w:pPr>
      <w:r>
        <w:rPr>
          <w:rFonts w:hint="eastAsia" w:ascii="仿宋" w:hAnsi="仿宋" w:eastAsia="仿宋" w:cs="仿宋"/>
          <w:color w:val="auto"/>
          <w:sz w:val="32"/>
          <w:szCs w:val="32"/>
          <w:highlight w:val="none"/>
        </w:rPr>
        <w:t>实行最严格的环境保护制度，</w:t>
      </w:r>
      <w:r>
        <w:rPr>
          <w:rFonts w:hint="eastAsia" w:ascii="仿宋" w:hAnsi="仿宋" w:eastAsia="仿宋" w:cs="仿宋"/>
          <w:color w:val="auto"/>
          <w:highlight w:val="none"/>
          <w:lang w:eastAsia="zh-CN"/>
        </w:rPr>
        <w:t>加强</w:t>
      </w:r>
      <w:r>
        <w:rPr>
          <w:rFonts w:hint="eastAsia" w:ascii="仿宋" w:hAnsi="仿宋" w:eastAsia="仿宋" w:cs="仿宋"/>
          <w:color w:val="auto"/>
          <w:highlight w:val="none"/>
        </w:rPr>
        <w:t>水</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大气</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土壤</w:t>
      </w:r>
      <w:r>
        <w:rPr>
          <w:rFonts w:hint="eastAsia" w:ascii="仿宋" w:hAnsi="仿宋" w:eastAsia="仿宋" w:cs="仿宋"/>
          <w:color w:val="auto"/>
          <w:highlight w:val="none"/>
          <w:lang w:eastAsia="zh-CN"/>
        </w:rPr>
        <w:t>等</w:t>
      </w:r>
      <w:r>
        <w:rPr>
          <w:rFonts w:hint="eastAsia" w:ascii="仿宋" w:hAnsi="仿宋" w:eastAsia="仿宋" w:cs="仿宋"/>
          <w:color w:val="auto"/>
          <w:highlight w:val="none"/>
        </w:rPr>
        <w:t>污染</w:t>
      </w:r>
      <w:r>
        <w:rPr>
          <w:rFonts w:hint="eastAsia" w:ascii="仿宋" w:hAnsi="仿宋" w:eastAsia="仿宋" w:cs="仿宋"/>
          <w:color w:val="auto"/>
          <w:highlight w:val="none"/>
          <w:lang w:eastAsia="zh-CN"/>
        </w:rPr>
        <w:t>防治，从根本上促进环境好转</w:t>
      </w:r>
      <w:r>
        <w:rPr>
          <w:rFonts w:hint="eastAsia" w:ascii="仿宋" w:hAnsi="仿宋" w:eastAsia="仿宋" w:cs="仿宋"/>
          <w:color w:val="auto"/>
          <w:highlight w:val="none"/>
        </w:rPr>
        <w:t>。</w:t>
      </w:r>
    </w:p>
    <w:p w14:paraId="5D643D41">
      <w:pPr>
        <w:keepNext w:val="0"/>
        <w:keepLines w:val="0"/>
        <w:pageBreakBefore w:val="0"/>
        <w:widowControl w:val="0"/>
        <w:kinsoku/>
        <w:wordWrap/>
        <w:overflowPunct/>
        <w:topLinePunct w:val="0"/>
        <w:autoSpaceDE/>
        <w:autoSpaceDN/>
        <w:bidi w:val="0"/>
        <w:adjustRightInd/>
        <w:snapToGrid/>
        <w:spacing w:line="61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rPr>
        <w:t>水污染防治。</w:t>
      </w:r>
      <w:r>
        <w:rPr>
          <w:rFonts w:hint="eastAsia" w:ascii="仿宋" w:hAnsi="仿宋" w:eastAsia="仿宋" w:cs="仿宋"/>
          <w:color w:val="auto"/>
          <w:highlight w:val="none"/>
        </w:rPr>
        <w:t>强化城镇生活污水治理</w:t>
      </w:r>
      <w:r>
        <w:rPr>
          <w:rFonts w:hint="eastAsia" w:ascii="仿宋" w:hAnsi="仿宋" w:eastAsia="仿宋" w:cs="仿宋"/>
          <w:color w:val="auto"/>
          <w:highlight w:val="none"/>
          <w:lang w:eastAsia="zh-CN"/>
        </w:rPr>
        <w:t>，城市内无</w:t>
      </w:r>
      <w:r>
        <w:rPr>
          <w:rFonts w:hint="eastAsia" w:ascii="仿宋" w:hAnsi="仿宋" w:eastAsia="仿宋" w:cs="仿宋"/>
          <w:color w:val="auto"/>
          <w:highlight w:val="none"/>
        </w:rPr>
        <w:t>黑臭水体，</w:t>
      </w:r>
      <w:r>
        <w:rPr>
          <w:rFonts w:hint="eastAsia" w:ascii="仿宋" w:hAnsi="仿宋" w:eastAsia="仿宋" w:cs="仿宋"/>
          <w:color w:val="auto"/>
          <w:highlight w:val="none"/>
          <w:lang w:eastAsia="zh-CN"/>
        </w:rPr>
        <w:t>完</w:t>
      </w:r>
      <w:r>
        <w:rPr>
          <w:rFonts w:hint="eastAsia" w:ascii="仿宋" w:hAnsi="仿宋" w:eastAsia="仿宋" w:cs="仿宋"/>
          <w:color w:val="auto"/>
          <w:highlight w:val="none"/>
        </w:rPr>
        <w:t>成武冈市城市污水处理厂和第二污水处理厂二期工程</w:t>
      </w:r>
      <w:r>
        <w:rPr>
          <w:rFonts w:hint="eastAsia" w:ascii="仿宋" w:hAnsi="仿宋" w:eastAsia="仿宋" w:cs="仿宋"/>
          <w:color w:val="auto"/>
          <w:highlight w:val="none"/>
          <w:lang w:eastAsia="zh-CN"/>
        </w:rPr>
        <w:t>建设</w:t>
      </w:r>
      <w:r>
        <w:rPr>
          <w:rFonts w:hint="eastAsia" w:ascii="仿宋" w:hAnsi="仿宋" w:eastAsia="仿宋" w:cs="仿宋"/>
          <w:color w:val="auto"/>
          <w:highlight w:val="none"/>
        </w:rPr>
        <w:t>，城区污水处理能力达到</w:t>
      </w:r>
      <w:r>
        <w:rPr>
          <w:rFonts w:hint="eastAsia" w:ascii="仿宋" w:hAnsi="仿宋" w:eastAsia="仿宋" w:cs="仿宋"/>
          <w:color w:val="auto"/>
          <w:highlight w:val="none"/>
          <w:lang w:val="en-US" w:eastAsia="zh-CN"/>
        </w:rPr>
        <w:t>6.5</w:t>
      </w:r>
      <w:r>
        <w:rPr>
          <w:rFonts w:hint="eastAsia" w:ascii="仿宋" w:hAnsi="仿宋" w:eastAsia="仿宋" w:cs="仿宋"/>
          <w:color w:val="auto"/>
          <w:highlight w:val="none"/>
        </w:rPr>
        <w:t>万吨/日，实现污水全收集、全处理。推进重点镇污水处理设施建设。全面推进农村环境连片整治。全面建成各乡镇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街道</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所在地的生活污水集中收集处理厂（站），</w:t>
      </w:r>
      <w:r>
        <w:rPr>
          <w:rFonts w:hint="eastAsia" w:ascii="仿宋" w:hAnsi="仿宋" w:eastAsia="仿宋" w:cs="仿宋"/>
          <w:color w:val="auto"/>
          <w:highlight w:val="none"/>
          <w:lang w:eastAsia="zh-CN"/>
        </w:rPr>
        <w:t>实现</w:t>
      </w:r>
      <w:r>
        <w:rPr>
          <w:rFonts w:hint="eastAsia" w:ascii="仿宋" w:hAnsi="仿宋" w:eastAsia="仿宋" w:cs="仿宋"/>
          <w:color w:val="auto"/>
          <w:highlight w:val="none"/>
        </w:rPr>
        <w:t>农村地区生活污水治理全覆盖。加快农村畜禽养殖和农村面源污染治理，推进畜禽养殖废弃物处理和资源化，加快农村黑臭水体综合整治。加强饮用水水源地保护。完成城乡集中式饮用水水源地环境问题整改，建立饮用水水源保护区环境管理长效机制。</w:t>
      </w:r>
    </w:p>
    <w:p w14:paraId="3A16D2FD">
      <w:pPr>
        <w:keepNext w:val="0"/>
        <w:keepLines w:val="0"/>
        <w:pageBreakBefore w:val="0"/>
        <w:widowControl w:val="0"/>
        <w:kinsoku/>
        <w:wordWrap/>
        <w:overflowPunct/>
        <w:topLinePunct w:val="0"/>
        <w:autoSpaceDE/>
        <w:autoSpaceDN/>
        <w:bidi w:val="0"/>
        <w:spacing w:line="610" w:lineRule="exact"/>
        <w:ind w:firstLine="643" w:firstLineChars="200"/>
        <w:jc w:val="both"/>
        <w:textAlignment w:val="auto"/>
        <w:rPr>
          <w:rFonts w:hint="eastAsia" w:ascii="仿宋" w:hAnsi="仿宋" w:eastAsia="仿宋" w:cs="仿宋"/>
          <w:color w:val="auto"/>
          <w:szCs w:val="32"/>
          <w:highlight w:val="none"/>
          <w:lang w:val="en-US" w:eastAsia="zh-CN"/>
        </w:rPr>
      </w:pPr>
      <w:r>
        <w:rPr>
          <w:rFonts w:hint="eastAsia" w:ascii="楷体" w:hAnsi="楷体" w:eastAsia="楷体" w:cs="楷体"/>
          <w:b/>
          <w:color w:val="auto"/>
          <w:szCs w:val="32"/>
          <w:highlight w:val="none"/>
        </w:rPr>
        <w:t>大气污染防治。</w:t>
      </w:r>
      <w:r>
        <w:rPr>
          <w:rFonts w:hint="eastAsia" w:ascii="仿宋" w:hAnsi="仿宋" w:eastAsia="仿宋" w:cs="仿宋"/>
          <w:bCs/>
          <w:color w:val="auto"/>
          <w:szCs w:val="32"/>
          <w:highlight w:val="none"/>
        </w:rPr>
        <w:t>优化调整能源结构，实施清洁能源替代。</w:t>
      </w:r>
      <w:r>
        <w:rPr>
          <w:rFonts w:hint="eastAsia" w:ascii="仿宋" w:hAnsi="仿宋" w:eastAsia="仿宋" w:cs="仿宋"/>
          <w:bCs/>
          <w:color w:val="auto"/>
          <w:szCs w:val="32"/>
          <w:highlight w:val="none"/>
          <w:lang w:eastAsia="zh-CN"/>
        </w:rPr>
        <w:t>推进“气化邵阳”二期工程武冈段建设</w:t>
      </w:r>
      <w:r>
        <w:rPr>
          <w:rFonts w:hint="eastAsia" w:ascii="仿宋" w:hAnsi="仿宋" w:eastAsia="仿宋" w:cs="仿宋"/>
          <w:bCs/>
          <w:color w:val="auto"/>
          <w:szCs w:val="32"/>
          <w:highlight w:val="none"/>
        </w:rPr>
        <w:t>，完善城区天</w:t>
      </w:r>
      <w:r>
        <w:rPr>
          <w:rFonts w:hint="eastAsia" w:ascii="仿宋" w:hAnsi="仿宋" w:eastAsia="仿宋" w:cs="仿宋"/>
          <w:bCs/>
          <w:color w:val="auto"/>
          <w:szCs w:val="32"/>
          <w:highlight w:val="none"/>
          <w:lang w:eastAsia="zh-CN"/>
        </w:rPr>
        <w:t>然</w:t>
      </w:r>
      <w:r>
        <w:rPr>
          <w:rFonts w:hint="eastAsia" w:ascii="仿宋" w:hAnsi="仿宋" w:eastAsia="仿宋" w:cs="仿宋"/>
          <w:bCs/>
          <w:color w:val="auto"/>
          <w:szCs w:val="32"/>
          <w:highlight w:val="none"/>
        </w:rPr>
        <w:t>气管道，通过集中供应天然气和使用电及其他清洁能源，逐步提高城市清洁能源使用比重。新增天然气优先保障居民生活或用于替代燃煤。鼓励工业窑炉和锅炉使用清洁能源。</w:t>
      </w:r>
      <w:r>
        <w:rPr>
          <w:rFonts w:hint="eastAsia" w:ascii="仿宋" w:hAnsi="仿宋" w:eastAsia="仿宋" w:cs="仿宋"/>
          <w:bCs/>
          <w:color w:val="auto"/>
          <w:szCs w:val="32"/>
          <w:highlight w:val="none"/>
          <w:lang w:eastAsia="zh-CN"/>
        </w:rPr>
        <w:t>全面禁止露天焚烧垃圾、秸秆，</w:t>
      </w:r>
      <w:r>
        <w:rPr>
          <w:rFonts w:hint="eastAsia" w:ascii="仿宋" w:hAnsi="仿宋" w:eastAsia="仿宋" w:cs="仿宋"/>
          <w:bCs/>
          <w:color w:val="auto"/>
          <w:szCs w:val="32"/>
          <w:highlight w:val="none"/>
        </w:rPr>
        <w:t>大力推进可再生能源与建筑一体化应用，推广使用太阳能热水、地源热泵等技术和设备。强化精准治污。推进水泥行业实施清洁化改造，推动食品加工、包装印刷、沥青搅拌、汽车修理等行业企业VOCs治理和餐饮油烟综合整治，强化建筑扬尘治理管控，各类工地管理达到“六个100%”，严格控制烟花爆竹燃放。</w:t>
      </w:r>
    </w:p>
    <w:p w14:paraId="0608850D">
      <w:pPr>
        <w:keepNext w:val="0"/>
        <w:keepLines w:val="0"/>
        <w:pageBreakBefore w:val="0"/>
        <w:widowControl w:val="0"/>
        <w:kinsoku/>
        <w:wordWrap/>
        <w:overflowPunct/>
        <w:topLinePunct w:val="0"/>
        <w:autoSpaceDE/>
        <w:autoSpaceDN/>
        <w:bidi w:val="0"/>
        <w:adjustRightInd w:val="0"/>
        <w:snapToGrid w:val="0"/>
        <w:spacing w:line="610" w:lineRule="exact"/>
        <w:ind w:firstLine="643" w:firstLineChars="200"/>
        <w:jc w:val="both"/>
        <w:textAlignment w:val="auto"/>
        <w:rPr>
          <w:rFonts w:hint="eastAsia" w:ascii="仿宋" w:hAnsi="仿宋" w:eastAsia="仿宋" w:cs="仿宋"/>
          <w:bCs/>
          <w:color w:val="auto"/>
          <w:szCs w:val="32"/>
          <w:highlight w:val="none"/>
        </w:rPr>
      </w:pPr>
      <w:r>
        <w:rPr>
          <w:rFonts w:hint="eastAsia" w:ascii="楷体" w:hAnsi="楷体" w:eastAsia="楷体" w:cs="楷体"/>
          <w:b/>
          <w:color w:val="auto"/>
          <w:szCs w:val="32"/>
          <w:highlight w:val="none"/>
        </w:rPr>
        <w:t>土壤污染治理与修复。</w:t>
      </w:r>
      <w:r>
        <w:rPr>
          <w:rFonts w:hint="eastAsia" w:ascii="仿宋" w:hAnsi="仿宋" w:eastAsia="仿宋" w:cs="仿宋"/>
          <w:bCs/>
          <w:color w:val="auto"/>
          <w:szCs w:val="32"/>
          <w:highlight w:val="none"/>
        </w:rPr>
        <w:t>严控工矿企业污染，控制污染源头。加强涉重金属行业污染防控，加大涉重金属企业治污设施升级与清洁生产改造力度。有序推进土壤污染治理与修复。建立土壤与重金属污染防治项目储备库，结合污染地块调查及风险等级划分结果，以拟开发建设居住、商业、学校、医疗和养老机构等项目的污染地块为重点，合理确定治理修复的优先次序，有序推进土壤污染治理与修复。实施农用地分类管理。持续推进耕地重金属污染修复及农作物种植结构调整。以耕地为重点，按受污染程度将农用地划为优先保护类、安全利用类、严格管控类三个类别。将符合条件的优先保护类耕地划为基本农田，实行严格保护</w:t>
      </w:r>
      <w:r>
        <w:rPr>
          <w:rFonts w:hint="eastAsia" w:ascii="仿宋" w:hAnsi="仿宋" w:eastAsia="仿宋" w:cs="仿宋"/>
          <w:bCs/>
          <w:color w:val="auto"/>
          <w:szCs w:val="32"/>
          <w:highlight w:val="none"/>
          <w:lang w:eastAsia="zh-CN"/>
        </w:rPr>
        <w:t>，</w:t>
      </w:r>
      <w:r>
        <w:rPr>
          <w:rFonts w:hint="eastAsia" w:ascii="仿宋" w:hAnsi="仿宋" w:eastAsia="仿宋" w:cs="仿宋"/>
          <w:bCs/>
          <w:color w:val="auto"/>
          <w:szCs w:val="32"/>
          <w:highlight w:val="none"/>
        </w:rPr>
        <w:t>制定重度污染耕地种植结构调整或休耕、退耕还林还草还湿计划，继续开展重金属污染耕地休耕。推进污泥处理处置</w:t>
      </w:r>
      <w:r>
        <w:rPr>
          <w:rFonts w:hint="eastAsia" w:ascii="仿宋" w:hAnsi="仿宋" w:eastAsia="仿宋" w:cs="仿宋"/>
          <w:bCs/>
          <w:color w:val="auto"/>
          <w:szCs w:val="32"/>
          <w:highlight w:val="none"/>
          <w:lang w:val="en-US" w:eastAsia="zh-CN"/>
        </w:rPr>
        <w:t>，建设污泥处置工程，</w:t>
      </w:r>
      <w:r>
        <w:rPr>
          <w:rFonts w:hint="eastAsia" w:ascii="仿宋" w:hAnsi="仿宋" w:eastAsia="仿宋" w:cs="仿宋"/>
          <w:bCs/>
          <w:color w:val="auto"/>
          <w:szCs w:val="32"/>
          <w:highlight w:val="none"/>
        </w:rPr>
        <w:t>污水处理设施产生的污泥应</w:t>
      </w:r>
      <w:r>
        <w:rPr>
          <w:rFonts w:hint="eastAsia" w:ascii="仿宋" w:hAnsi="仿宋" w:eastAsia="仿宋" w:cs="仿宋"/>
          <w:bCs/>
          <w:color w:val="auto"/>
          <w:szCs w:val="32"/>
          <w:highlight w:val="none"/>
          <w:lang w:eastAsia="zh-CN"/>
        </w:rPr>
        <w:t>全部纳入污泥处置中心</w:t>
      </w:r>
      <w:r>
        <w:rPr>
          <w:rFonts w:hint="eastAsia" w:ascii="仿宋" w:hAnsi="仿宋" w:eastAsia="仿宋" w:cs="仿宋"/>
          <w:bCs/>
          <w:color w:val="auto"/>
          <w:szCs w:val="32"/>
          <w:highlight w:val="none"/>
        </w:rPr>
        <w:t>进行稳定化、无害化和资源化处理处置，禁止处理处置不达标的污泥进入耕地，非法污泥堆放点一律予以取缔。</w:t>
      </w:r>
    </w:p>
    <w:p w14:paraId="2322DF54">
      <w:pPr>
        <w:keepNext w:val="0"/>
        <w:keepLines w:val="0"/>
        <w:pageBreakBefore w:val="0"/>
        <w:widowControl w:val="0"/>
        <w:kinsoku/>
        <w:wordWrap/>
        <w:overflowPunct/>
        <w:topLinePunct w:val="0"/>
        <w:autoSpaceDE/>
        <w:autoSpaceDN/>
        <w:bidi w:val="0"/>
        <w:spacing w:line="610" w:lineRule="exact"/>
        <w:ind w:firstLine="643" w:firstLineChars="200"/>
        <w:jc w:val="both"/>
        <w:textAlignment w:val="auto"/>
        <w:rPr>
          <w:rFonts w:hint="eastAsia" w:ascii="仿宋" w:hAnsi="仿宋" w:eastAsia="仿宋" w:cs="仿宋"/>
          <w:bCs/>
          <w:color w:val="auto"/>
          <w:szCs w:val="32"/>
          <w:highlight w:val="none"/>
        </w:rPr>
      </w:pPr>
      <w:r>
        <w:rPr>
          <w:rFonts w:hint="eastAsia" w:ascii="楷体" w:hAnsi="楷体" w:eastAsia="楷体" w:cs="楷体"/>
          <w:b/>
          <w:bCs/>
          <w:color w:val="auto"/>
          <w:highlight w:val="none"/>
        </w:rPr>
        <w:t>危废</w:t>
      </w:r>
      <w:r>
        <w:rPr>
          <w:rFonts w:hint="eastAsia" w:ascii="楷体" w:hAnsi="楷体" w:eastAsia="楷体" w:cs="楷体"/>
          <w:b/>
          <w:bCs/>
          <w:color w:val="auto"/>
          <w:highlight w:val="none"/>
          <w:lang w:eastAsia="zh-CN"/>
        </w:rPr>
        <w:t>安全处置</w:t>
      </w:r>
      <w:r>
        <w:rPr>
          <w:rFonts w:hint="eastAsia" w:ascii="楷体" w:hAnsi="楷体" w:eastAsia="楷体" w:cs="楷体"/>
          <w:b/>
          <w:bCs/>
          <w:color w:val="auto"/>
          <w:highlight w:val="none"/>
        </w:rPr>
        <w:t>。</w:t>
      </w:r>
      <w:r>
        <w:rPr>
          <w:rFonts w:hint="eastAsia" w:ascii="仿宋" w:hAnsi="仿宋" w:eastAsia="仿宋" w:cs="仿宋"/>
          <w:bCs/>
          <w:color w:val="auto"/>
          <w:szCs w:val="32"/>
          <w:highlight w:val="none"/>
        </w:rPr>
        <w:t>实施环境风险全过程管理，加强化学品、危险废物、医疗废物、持久性有机污染物、放射性物品等规范化管理，建立收集、储存、运输、利用和处置等全过程环境管理体系，实行流量流向登记制度，加强对危险废物产生单位和经营单位的监督管理，严格落实各项管理制度，强化企业内部台账。到2025年，全市危险废物、医疗废物和放射性废物安全处置率达100%。</w:t>
      </w:r>
    </w:p>
    <w:p w14:paraId="7B411B90">
      <w:pPr>
        <w:keepNext w:val="0"/>
        <w:keepLines w:val="0"/>
        <w:pageBreakBefore w:val="0"/>
        <w:widowControl w:val="0"/>
        <w:kinsoku/>
        <w:wordWrap/>
        <w:overflowPunct/>
        <w:topLinePunct w:val="0"/>
        <w:autoSpaceDE/>
        <w:autoSpaceDN/>
        <w:bidi w:val="0"/>
        <w:spacing w:line="61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rPr>
        <w:t>白色污染治理。</w:t>
      </w:r>
      <w:r>
        <w:rPr>
          <w:rFonts w:hint="eastAsia" w:ascii="仿宋" w:hAnsi="仿宋" w:eastAsia="仿宋" w:cs="仿宋"/>
          <w:bCs/>
          <w:color w:val="auto"/>
          <w:szCs w:val="32"/>
          <w:highlight w:val="none"/>
        </w:rPr>
        <w:t>建立健全塑料制品生产、流通、使用、回收处置等环节管理制度，分区域分品种分阶段禁止、限制部分塑料制品的销售和使用，推广使用可降解、可循环、易回收的替代产品，规范塑料废弃物回收利用，有效治理白色污染，提升城乡生态文明水平。</w:t>
      </w:r>
    </w:p>
    <w:p w14:paraId="0916F34A">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highlight w:val="none"/>
          <w:lang w:val="en-US" w:eastAsia="zh-CN"/>
        </w:rPr>
      </w:pPr>
      <w:bookmarkStart w:id="124" w:name="_Toc26727"/>
      <w:r>
        <w:rPr>
          <w:rFonts w:hint="eastAsia" w:ascii="黑体" w:hAnsi="黑体" w:eastAsia="黑体" w:cs="黑体"/>
          <w:b w:val="0"/>
          <w:bCs/>
          <w:color w:val="auto"/>
          <w:kern w:val="44"/>
          <w:sz w:val="32"/>
          <w:szCs w:val="32"/>
          <w:highlight w:val="none"/>
          <w:lang w:val="en-US" w:eastAsia="zh-CN" w:bidi="ar-SA"/>
        </w:rPr>
        <w:t>第三节 加强生态系统保护</w:t>
      </w:r>
      <w:bookmarkEnd w:id="124"/>
    </w:p>
    <w:p w14:paraId="2D581A0A">
      <w:pPr>
        <w:pageBreakBefore w:val="0"/>
        <w:widowControl w:val="0"/>
        <w:kinsoku/>
        <w:wordWrap/>
        <w:overflowPunct/>
        <w:bidi w:val="0"/>
        <w:adjustRightInd/>
        <w:snapToGrid/>
        <w:spacing w:before="0" w:after="0" w:line="570" w:lineRule="exact"/>
        <w:ind w:firstLine="64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sz w:val="32"/>
          <w:szCs w:val="32"/>
          <w:highlight w:val="none"/>
        </w:rPr>
        <w:t>坚持保护为先、自然恢复为主的方针，</w:t>
      </w:r>
      <w:r>
        <w:rPr>
          <w:rFonts w:hint="eastAsia" w:ascii="仿宋" w:hAnsi="仿宋" w:eastAsia="仿宋" w:cs="仿宋"/>
          <w:color w:val="auto"/>
          <w:sz w:val="32"/>
          <w:szCs w:val="32"/>
          <w:highlight w:val="none"/>
          <w:lang w:eastAsia="zh-CN"/>
        </w:rPr>
        <w:t>协同推进经济高质量发展和生态环境高水平保护，</w:t>
      </w:r>
      <w:r>
        <w:rPr>
          <w:rFonts w:hint="eastAsia" w:ascii="仿宋" w:hAnsi="仿宋" w:eastAsia="仿宋" w:cs="仿宋"/>
          <w:color w:val="auto"/>
          <w:sz w:val="32"/>
          <w:szCs w:val="32"/>
          <w:highlight w:val="none"/>
        </w:rPr>
        <w:t>构建安全可靠的生态环保体系，增进人民群众的生态福祉。</w:t>
      </w:r>
    </w:p>
    <w:p w14:paraId="658C0C27">
      <w:pPr>
        <w:pageBreakBefore w:val="0"/>
        <w:widowControl w:val="0"/>
        <w:kinsoku/>
        <w:wordWrap/>
        <w:overflowPunct/>
        <w:bidi w:val="0"/>
        <w:ind w:firstLine="643" w:firstLineChars="200"/>
        <w:jc w:val="both"/>
        <w:rPr>
          <w:rFonts w:hint="eastAsia" w:ascii="仿宋" w:hAnsi="仿宋" w:eastAsia="仿宋" w:cs="仿宋"/>
          <w:color w:val="auto"/>
          <w:szCs w:val="32"/>
          <w:highlight w:val="none"/>
        </w:rPr>
      </w:pPr>
      <w:r>
        <w:rPr>
          <w:rFonts w:hint="eastAsia" w:ascii="楷体" w:hAnsi="楷体" w:eastAsia="楷体" w:cs="楷体"/>
          <w:b/>
          <w:bCs/>
          <w:color w:val="auto"/>
          <w:highlight w:val="none"/>
        </w:rPr>
        <w:t>加强“三线一单”管理工作。</w:t>
      </w:r>
      <w:r>
        <w:rPr>
          <w:rFonts w:hint="eastAsia" w:ascii="仿宋" w:hAnsi="仿宋" w:eastAsia="仿宋" w:cs="仿宋"/>
          <w:color w:val="auto"/>
          <w:szCs w:val="32"/>
          <w:highlight w:val="none"/>
        </w:rPr>
        <w:t>遵循全省一盘棋的原则，严格依照“三线一单”管控要求和“一空三线”国土空间布局，严把审批关，杜绝落后淘汰产能和高污染企业落户武冈。加强水源涵养地和水土流失功能区保护，划定生态红线和自然保护地区域界线，设置标志牌和警示标牌。建立生态环境分区管控体系，健全生态保护补偿机制，完善评价考核制度与生态保护红线台账，武冈经济开发区布局为高排放区，水西门、迎春亭、法相岩街道和邓元泰镇、湾头桥镇为重点管控单元，辕门口街道为优先保护单元，其他乡镇规划为一般管控单元。</w:t>
      </w:r>
    </w:p>
    <w:p w14:paraId="08C44517">
      <w:pPr>
        <w:pageBreakBefore w:val="0"/>
        <w:widowControl w:val="0"/>
        <w:kinsoku/>
        <w:wordWrap/>
        <w:overflowPunct/>
        <w:topLinePunct w:val="0"/>
        <w:autoSpaceDE/>
        <w:autoSpaceDN/>
        <w:bidi w:val="0"/>
        <w:adjustRightInd w:val="0"/>
        <w:snapToGrid w:val="0"/>
        <w:spacing w:line="570" w:lineRule="exact"/>
        <w:ind w:firstLine="643" w:firstLineChars="200"/>
        <w:jc w:val="left"/>
        <w:textAlignment w:val="auto"/>
        <w:rPr>
          <w:rFonts w:hint="eastAsia" w:ascii="仿宋" w:hAnsi="仿宋" w:eastAsia="仿宋" w:cs="仿宋"/>
          <w:color w:val="auto"/>
          <w:szCs w:val="32"/>
          <w:highlight w:val="none"/>
          <w:lang w:eastAsia="zh-CN"/>
        </w:rPr>
      </w:pPr>
      <w:r>
        <w:rPr>
          <w:rFonts w:hint="eastAsia" w:ascii="楷体" w:hAnsi="楷体" w:eastAsia="楷体" w:cs="楷体"/>
          <w:b/>
          <w:bCs/>
          <w:color w:val="auto"/>
          <w:highlight w:val="none"/>
          <w:lang w:val="en-US" w:eastAsia="zh-CN"/>
        </w:rPr>
        <w:t>加大生态保护力度</w:t>
      </w:r>
      <w:r>
        <w:rPr>
          <w:rFonts w:hint="eastAsia" w:ascii="楷体" w:hAnsi="楷体" w:eastAsia="楷体" w:cs="楷体"/>
          <w:b/>
          <w:bCs/>
          <w:color w:val="auto"/>
          <w:highlight w:val="none"/>
        </w:rPr>
        <w:t>。</w:t>
      </w:r>
      <w:r>
        <w:rPr>
          <w:rFonts w:hint="eastAsia" w:ascii="仿宋" w:hAnsi="仿宋" w:eastAsia="仿宋" w:cs="仿宋"/>
          <w:color w:val="auto"/>
          <w:szCs w:val="32"/>
          <w:highlight w:val="none"/>
        </w:rPr>
        <w:t>降低水土流失面积，生态系统在维持稳定的基础上，生态服务功能要有所改善</w:t>
      </w:r>
      <w:r>
        <w:rPr>
          <w:rFonts w:hint="eastAsia" w:ascii="仿宋" w:hAnsi="仿宋" w:eastAsia="仿宋" w:cs="仿宋"/>
          <w:color w:val="auto"/>
          <w:szCs w:val="32"/>
          <w:highlight w:val="none"/>
          <w:lang w:eastAsia="zh-CN"/>
        </w:rPr>
        <w:t>。</w:t>
      </w:r>
      <w:r>
        <w:rPr>
          <w:rFonts w:hint="eastAsia" w:ascii="仿宋" w:hAnsi="仿宋" w:eastAsia="仿宋" w:cs="仿宋"/>
          <w:b w:val="0"/>
          <w:bCs w:val="0"/>
          <w:color w:val="auto"/>
          <w:szCs w:val="32"/>
          <w:highlight w:val="none"/>
        </w:rPr>
        <w:t>按照主导功能要求，根据武冈自然地理条件，建设三个示范区：</w:t>
      </w:r>
      <w:r>
        <w:rPr>
          <w:rFonts w:hint="eastAsia" w:ascii="仿宋" w:hAnsi="仿宋" w:eastAsia="仿宋" w:cs="仿宋"/>
          <w:b w:val="0"/>
          <w:bCs w:val="0"/>
          <w:color w:val="auto"/>
          <w:szCs w:val="32"/>
          <w:highlight w:val="none"/>
          <w:lang w:eastAsia="zh-CN"/>
        </w:rPr>
        <w:t>西部</w:t>
      </w:r>
      <w:r>
        <w:rPr>
          <w:rFonts w:hint="eastAsia" w:ascii="仿宋" w:hAnsi="仿宋" w:eastAsia="仿宋" w:cs="仿宋"/>
          <w:b w:val="0"/>
          <w:bCs w:val="0"/>
          <w:color w:val="auto"/>
          <w:szCs w:val="32"/>
          <w:highlight w:val="none"/>
        </w:rPr>
        <w:t>森林生态</w:t>
      </w:r>
      <w:r>
        <w:rPr>
          <w:rFonts w:hint="eastAsia" w:ascii="仿宋" w:hAnsi="仿宋" w:eastAsia="仿宋" w:cs="仿宋"/>
          <w:b w:val="0"/>
          <w:bCs w:val="0"/>
          <w:color w:val="auto"/>
          <w:szCs w:val="32"/>
          <w:highlight w:val="none"/>
          <w:lang w:eastAsia="zh-CN"/>
        </w:rPr>
        <w:t>圈</w:t>
      </w:r>
      <w:r>
        <w:rPr>
          <w:rFonts w:hint="eastAsia" w:ascii="仿宋" w:hAnsi="仿宋" w:eastAsia="仿宋" w:cs="仿宋"/>
          <w:b w:val="0"/>
          <w:bCs w:val="0"/>
          <w:color w:val="auto"/>
          <w:szCs w:val="32"/>
          <w:highlight w:val="none"/>
        </w:rPr>
        <w:t>建设示范区；湿地生态保护示范区；秀美村庄建设示范区。建设四个基地：生态保护基地、科技示范基地、森林旅游和森林康养等林业生态产业基地、森林生态文化产业基地。狠抓生态保护修复</w:t>
      </w:r>
      <w:r>
        <w:rPr>
          <w:rFonts w:hint="eastAsia" w:ascii="仿宋" w:hAnsi="仿宋" w:eastAsia="仿宋" w:cs="仿宋"/>
          <w:b w:val="0"/>
          <w:bCs w:val="0"/>
          <w:color w:val="auto"/>
          <w:szCs w:val="32"/>
          <w:highlight w:val="none"/>
        </w:rPr>
        <w:tab/>
      </w:r>
      <w:r>
        <w:rPr>
          <w:rFonts w:hint="eastAsia" w:ascii="仿宋" w:hAnsi="仿宋" w:eastAsia="仿宋" w:cs="仿宋"/>
          <w:b w:val="0"/>
          <w:bCs w:val="0"/>
          <w:color w:val="auto"/>
          <w:szCs w:val="32"/>
          <w:highlight w:val="none"/>
          <w:lang w:eastAsia="zh-CN"/>
        </w:rPr>
        <w:t>。</w:t>
      </w:r>
      <w:r>
        <w:rPr>
          <w:rFonts w:hint="eastAsia" w:ascii="仿宋" w:hAnsi="仿宋" w:eastAsia="仿宋" w:cs="仿宋"/>
          <w:color w:val="auto"/>
          <w:sz w:val="32"/>
          <w:szCs w:val="32"/>
          <w:highlight w:val="none"/>
          <w:lang w:val="zh-CN"/>
        </w:rPr>
        <w:t>推进山水林田系统治理，加快全域土地综合整治工作，加大退耕还林、还草、还湿力度，提升生态环境系统功能整体性，实行林长制，重点推进生态廊道</w:t>
      </w:r>
      <w:r>
        <w:rPr>
          <w:rFonts w:hint="eastAsia" w:ascii="仿宋" w:hAnsi="仿宋" w:eastAsia="仿宋" w:cs="仿宋"/>
          <w:color w:val="auto"/>
          <w:sz w:val="32"/>
          <w:szCs w:val="32"/>
          <w:highlight w:val="none"/>
          <w:lang w:val="zh-CN" w:eastAsia="zh-CN"/>
        </w:rPr>
        <w:t>、</w:t>
      </w:r>
      <w:r>
        <w:rPr>
          <w:rFonts w:hint="eastAsia" w:ascii="仿宋" w:hAnsi="仿宋" w:eastAsia="仿宋" w:cs="仿宋"/>
          <w:color w:val="auto"/>
          <w:sz w:val="32"/>
          <w:szCs w:val="32"/>
          <w:highlight w:val="none"/>
          <w:lang w:val="zh-CN"/>
        </w:rPr>
        <w:t>长江防护林</w:t>
      </w:r>
      <w:r>
        <w:rPr>
          <w:rFonts w:hint="eastAsia" w:ascii="仿宋" w:hAnsi="仿宋" w:eastAsia="仿宋" w:cs="仿宋"/>
          <w:color w:val="auto"/>
          <w:sz w:val="32"/>
          <w:szCs w:val="32"/>
          <w:highlight w:val="none"/>
          <w:lang w:val="zh-CN" w:eastAsia="zh-CN"/>
        </w:rPr>
        <w:t>、</w:t>
      </w:r>
      <w:r>
        <w:rPr>
          <w:rFonts w:hint="eastAsia" w:ascii="仿宋" w:hAnsi="仿宋" w:eastAsia="仿宋" w:cs="仿宋"/>
          <w:bCs w:val="0"/>
          <w:color w:val="auto"/>
          <w:sz w:val="32"/>
          <w:szCs w:val="32"/>
          <w:highlight w:val="none"/>
          <w:lang w:val="zh-CN"/>
        </w:rPr>
        <w:t>“五边”造林</w:t>
      </w:r>
      <w:r>
        <w:rPr>
          <w:rFonts w:hint="eastAsia" w:ascii="仿宋" w:hAnsi="仿宋" w:eastAsia="仿宋" w:cs="仿宋"/>
          <w:bCs w:val="0"/>
          <w:color w:val="auto"/>
          <w:sz w:val="32"/>
          <w:szCs w:val="32"/>
          <w:highlight w:val="none"/>
          <w:lang w:val="zh-CN" w:eastAsia="zh-CN"/>
        </w:rPr>
        <w:t>、</w:t>
      </w:r>
      <w:r>
        <w:rPr>
          <w:rFonts w:hint="eastAsia" w:ascii="仿宋" w:hAnsi="仿宋" w:eastAsia="仿宋" w:cs="仿宋"/>
          <w:bCs w:val="0"/>
          <w:color w:val="auto"/>
          <w:sz w:val="32"/>
          <w:szCs w:val="32"/>
          <w:highlight w:val="none"/>
          <w:lang w:val="zh-CN"/>
        </w:rPr>
        <w:t>防护林等建设，</w:t>
      </w:r>
      <w:r>
        <w:rPr>
          <w:rFonts w:hint="eastAsia" w:ascii="仿宋" w:hAnsi="仿宋" w:eastAsia="仿宋" w:cs="仿宋"/>
          <w:color w:val="auto"/>
          <w:sz w:val="32"/>
          <w:szCs w:val="32"/>
          <w:highlight w:val="none"/>
          <w:lang w:val="zh-CN"/>
        </w:rPr>
        <w:t>深化采煤沉陷区土地整治、矿山复绿。进一步加强云山、天子山等自然保护地</w:t>
      </w:r>
      <w:r>
        <w:rPr>
          <w:rFonts w:hint="eastAsia" w:ascii="仿宋" w:hAnsi="仿宋" w:eastAsia="仿宋" w:cs="仿宋"/>
          <w:color w:val="auto"/>
          <w:sz w:val="32"/>
          <w:szCs w:val="32"/>
          <w:highlight w:val="none"/>
        </w:rPr>
        <w:t>建设管理，</w:t>
      </w:r>
      <w:r>
        <w:rPr>
          <w:rFonts w:hint="eastAsia" w:ascii="仿宋" w:hAnsi="仿宋" w:eastAsia="仿宋" w:cs="仿宋"/>
          <w:color w:val="auto"/>
          <w:sz w:val="32"/>
          <w:szCs w:val="32"/>
          <w:highlight w:val="none"/>
          <w:lang w:val="zh-CN"/>
        </w:rPr>
        <w:t>加大自然保护区珍贵物种遗传资源保护和培育，对受损的栖息地开展生态修复与治理，加大野生动物疫源疫病防控力度。启动实施一系列生态建设工程，实现“森林走进城市，城市拥抱森林”，创建国家森林城市。</w:t>
      </w:r>
      <w:r>
        <w:rPr>
          <w:rFonts w:hint="eastAsia" w:ascii="仿宋" w:hAnsi="仿宋" w:eastAsia="仿宋" w:cs="仿宋"/>
          <w:color w:val="auto"/>
          <w:szCs w:val="32"/>
          <w:highlight w:val="none"/>
        </w:rPr>
        <w:t>“十四五”期间，全市森林覆盖率达</w:t>
      </w:r>
      <w:r>
        <w:rPr>
          <w:rFonts w:hint="eastAsia" w:ascii="仿宋" w:hAnsi="仿宋" w:eastAsia="仿宋" w:cs="仿宋"/>
          <w:color w:val="auto"/>
          <w:szCs w:val="32"/>
          <w:highlight w:val="none"/>
          <w:lang w:val="en-US" w:eastAsia="zh-CN"/>
        </w:rPr>
        <w:t>41.22</w:t>
      </w:r>
      <w:r>
        <w:rPr>
          <w:rFonts w:hint="eastAsia" w:ascii="仿宋" w:hAnsi="仿宋" w:eastAsia="仿宋" w:cs="仿宋"/>
          <w:color w:val="auto"/>
          <w:szCs w:val="32"/>
          <w:highlight w:val="none"/>
        </w:rPr>
        <w:t>%，森林资源蓄积量增长4%以上</w:t>
      </w:r>
      <w:r>
        <w:rPr>
          <w:rFonts w:hint="eastAsia" w:ascii="仿宋" w:hAnsi="仿宋" w:eastAsia="仿宋" w:cs="仿宋"/>
          <w:color w:val="auto"/>
          <w:szCs w:val="32"/>
          <w:highlight w:val="none"/>
          <w:lang w:eastAsia="zh-CN"/>
        </w:rPr>
        <w:t>，全市湿地面积不低于5.09万亩，全市湿地保护率稳定在76%以上。</w:t>
      </w:r>
    </w:p>
    <w:p w14:paraId="5200554E">
      <w:pPr>
        <w:pStyle w:val="4"/>
        <w:keepNext/>
        <w:keepLines/>
        <w:pageBreakBefore w:val="0"/>
        <w:widowControl w:val="0"/>
        <w:kinsoku/>
        <w:wordWrap/>
        <w:overflowPunct/>
        <w:topLinePunct w:val="0"/>
        <w:autoSpaceDE/>
        <w:autoSpaceDN/>
        <w:bidi w:val="0"/>
        <w:adjustRightInd/>
        <w:snapToGrid/>
        <w:spacing w:before="100" w:after="100" w:line="570" w:lineRule="exact"/>
        <w:jc w:val="center"/>
        <w:textAlignment w:val="auto"/>
        <w:rPr>
          <w:rFonts w:hint="eastAsia" w:ascii="黑体" w:hAnsi="黑体" w:eastAsia="黑体" w:cs="黑体"/>
          <w:b/>
          <w:bCs/>
          <w:color w:val="auto"/>
          <w:szCs w:val="32"/>
          <w:highlight w:val="none"/>
          <w:lang w:val="en-US" w:eastAsia="zh-CN"/>
        </w:rPr>
      </w:pPr>
      <w:bookmarkStart w:id="125" w:name="_Toc26668"/>
      <w:r>
        <w:rPr>
          <w:rFonts w:hint="eastAsia" w:ascii="黑体" w:hAnsi="黑体" w:eastAsia="黑体" w:cs="黑体"/>
          <w:b w:val="0"/>
          <w:bCs/>
          <w:color w:val="auto"/>
          <w:kern w:val="44"/>
          <w:sz w:val="32"/>
          <w:szCs w:val="32"/>
          <w:highlight w:val="none"/>
          <w:lang w:val="en-US" w:eastAsia="zh-CN" w:bidi="ar-SA"/>
        </w:rPr>
        <w:t>第四节 完善生态治理体系</w:t>
      </w:r>
      <w:bookmarkEnd w:id="125"/>
    </w:p>
    <w:p w14:paraId="31CE7D03">
      <w:pPr>
        <w:pageBreakBefore w:val="0"/>
        <w:widowControl w:val="0"/>
        <w:kinsoku/>
        <w:wordWrap/>
        <w:overflowPunct/>
        <w:topLinePunct w:val="0"/>
        <w:autoSpaceDE/>
        <w:autoSpaceDN/>
        <w:bidi w:val="0"/>
        <w:spacing w:line="57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按照源头严防、过程严管、损害严惩、责任严究的要求，积极构建科学长效的生态文明建设利益导向机制。</w:t>
      </w:r>
    </w:p>
    <w:p w14:paraId="119E1FE0">
      <w:pPr>
        <w:pageBreakBefore w:val="0"/>
        <w:widowControl w:val="0"/>
        <w:kinsoku/>
        <w:wordWrap/>
        <w:overflowPunct/>
        <w:topLinePunct w:val="0"/>
        <w:autoSpaceDE/>
        <w:autoSpaceDN/>
        <w:bidi w:val="0"/>
        <w:spacing w:line="570" w:lineRule="exact"/>
        <w:ind w:firstLine="643" w:firstLineChars="200"/>
        <w:jc w:val="both"/>
        <w:textAlignment w:val="auto"/>
        <w:rPr>
          <w:rFonts w:hint="eastAsia" w:ascii="FangSong_GB2312" w:hAnsi="Times New Roman" w:cs="Times New Roman"/>
          <w:color w:val="auto"/>
          <w:szCs w:val="32"/>
          <w:highlight w:val="none"/>
        </w:rPr>
      </w:pPr>
      <w:r>
        <w:rPr>
          <w:rFonts w:hint="eastAsia" w:ascii="楷体" w:hAnsi="楷体" w:eastAsia="楷体" w:cs="楷体"/>
          <w:b/>
          <w:bCs/>
          <w:color w:val="auto"/>
          <w:highlight w:val="none"/>
          <w:lang w:val="en-US" w:eastAsia="zh-CN"/>
        </w:rPr>
        <w:t>完善生态管理长效机制。</w:t>
      </w:r>
      <w:r>
        <w:rPr>
          <w:rFonts w:hint="eastAsia" w:ascii="仿宋" w:hAnsi="仿宋" w:eastAsia="仿宋" w:cs="仿宋"/>
          <w:color w:val="auto"/>
          <w:szCs w:val="32"/>
          <w:highlight w:val="none"/>
        </w:rPr>
        <w:t>树立正确的生态道德观、生态价值观和生态政绩观。</w:t>
      </w:r>
      <w:r>
        <w:rPr>
          <w:rFonts w:hint="eastAsia" w:ascii="仿宋" w:hAnsi="仿宋" w:eastAsia="仿宋" w:cs="仿宋"/>
          <w:color w:val="auto"/>
          <w:szCs w:val="32"/>
          <w:highlight w:val="none"/>
          <w:lang w:val="en-US" w:eastAsia="zh-CN"/>
        </w:rPr>
        <w:t>强化对</w:t>
      </w:r>
      <w:r>
        <w:rPr>
          <w:rFonts w:hint="eastAsia" w:ascii="仿宋" w:hAnsi="仿宋" w:eastAsia="仿宋" w:cs="仿宋"/>
          <w:color w:val="auto"/>
          <w:szCs w:val="32"/>
          <w:highlight w:val="none"/>
        </w:rPr>
        <w:t>党政领导干部自然资源离任审计和生态环境损害责任终身追究制度，推进生态环境保护督查，完善生态环境管理长效机制。培育和提升公民生态环保素养。全面落实河库长制，充分发挥</w:t>
      </w:r>
      <w:r>
        <w:rPr>
          <w:rFonts w:hint="eastAsia" w:ascii="仿宋" w:hAnsi="仿宋" w:eastAsia="仿宋" w:cs="仿宋"/>
          <w:color w:val="auto"/>
          <w:szCs w:val="32"/>
          <w:highlight w:val="none"/>
          <w:lang w:eastAsia="zh-CN"/>
        </w:rPr>
        <w:t>县</w:t>
      </w:r>
      <w:r>
        <w:rPr>
          <w:rFonts w:hint="eastAsia" w:ascii="仿宋" w:hAnsi="仿宋" w:eastAsia="仿宋" w:cs="仿宋"/>
          <w:color w:val="auto"/>
          <w:szCs w:val="32"/>
          <w:highlight w:val="none"/>
        </w:rPr>
        <w:t>乡村三级河长作用，全面落实长江“十年禁渔”重大决策，建立健全非法捕捞长效监管机制和水域生态保护巡查机制，依法严厉打击非法捕捞行为。建立生态产品价值实现制度，完善市场化、多元化生态补偿</w:t>
      </w:r>
      <w:r>
        <w:rPr>
          <w:rFonts w:hint="eastAsia" w:ascii="仿宋" w:hAnsi="仿宋" w:eastAsia="仿宋" w:cs="仿宋"/>
          <w:color w:val="auto"/>
          <w:szCs w:val="32"/>
          <w:highlight w:val="none"/>
          <w:lang w:eastAsia="zh-CN"/>
        </w:rPr>
        <w:t>机制</w:t>
      </w:r>
      <w:r>
        <w:rPr>
          <w:rFonts w:hint="eastAsia" w:ascii="仿宋" w:hAnsi="仿宋" w:eastAsia="仿宋" w:cs="仿宋"/>
          <w:color w:val="auto"/>
          <w:szCs w:val="32"/>
          <w:highlight w:val="none"/>
        </w:rPr>
        <w:t>。</w:t>
      </w:r>
    </w:p>
    <w:p w14:paraId="26BE2621">
      <w:pPr>
        <w:pageBreakBefore w:val="0"/>
        <w:widowControl w:val="0"/>
        <w:kinsoku/>
        <w:wordWrap/>
        <w:overflowPunct/>
        <w:topLinePunct w:val="0"/>
        <w:autoSpaceDE/>
        <w:autoSpaceDN/>
        <w:bidi w:val="0"/>
        <w:spacing w:line="570" w:lineRule="exact"/>
        <w:ind w:firstLine="640" w:firstLineChars="0"/>
        <w:jc w:val="both"/>
        <w:textAlignment w:val="auto"/>
        <w:rPr>
          <w:rFonts w:hint="eastAsia" w:ascii="仿宋" w:hAnsi="仿宋" w:eastAsia="仿宋" w:cs="仿宋"/>
          <w:color w:val="auto"/>
          <w:szCs w:val="32"/>
          <w:highlight w:val="none"/>
        </w:rPr>
      </w:pPr>
      <w:r>
        <w:rPr>
          <w:rFonts w:hint="eastAsia" w:ascii="楷体" w:hAnsi="楷体" w:eastAsia="楷体" w:cs="楷体"/>
          <w:b/>
          <w:bCs/>
          <w:color w:val="auto"/>
          <w:highlight w:val="none"/>
          <w:lang w:val="en-US" w:eastAsia="zh-CN"/>
        </w:rPr>
        <w:t>严格落实企业主体责任。</w:t>
      </w:r>
      <w:r>
        <w:rPr>
          <w:rFonts w:hint="eastAsia" w:ascii="仿宋" w:hAnsi="仿宋" w:eastAsia="仿宋" w:cs="仿宋"/>
          <w:color w:val="auto"/>
          <w:szCs w:val="32"/>
          <w:highlight w:val="none"/>
        </w:rPr>
        <w:t>全面实行排污许可证制，推进排污权、用能权、用水权、碳排放权市场化交易。加强社会监督，建立企业环境信息记录和违法排污黑名单制度，全面推行环境信息公开制度，扩大环境决策的公众参与，完善环境公益制度，畅通环境污染举报渠道</w:t>
      </w:r>
      <w:r>
        <w:rPr>
          <w:rFonts w:hint="eastAsia" w:ascii="仿宋" w:hAnsi="仿宋" w:eastAsia="仿宋" w:cs="仿宋"/>
          <w:color w:val="auto"/>
          <w:szCs w:val="32"/>
          <w:highlight w:val="none"/>
          <w:lang w:eastAsia="zh-CN"/>
        </w:rPr>
        <w:t>。</w:t>
      </w:r>
    </w:p>
    <w:p w14:paraId="2005EFC0">
      <w:pPr>
        <w:keepNext w:val="0"/>
        <w:keepLines w:val="0"/>
        <w:pageBreakBefore w:val="0"/>
        <w:widowControl w:val="0"/>
        <w:kinsoku/>
        <w:wordWrap/>
        <w:overflowPunct/>
        <w:topLinePunct w:val="0"/>
        <w:autoSpaceDE/>
        <w:autoSpaceDN/>
        <w:bidi w:val="0"/>
        <w:adjustRightInd/>
        <w:snapToGrid/>
        <w:spacing w:before="0" w:after="157" w:afterLines="50" w:line="560" w:lineRule="exact"/>
        <w:ind w:firstLine="643" w:firstLineChars="200"/>
        <w:jc w:val="both"/>
        <w:textAlignment w:val="auto"/>
        <w:rPr>
          <w:rFonts w:hint="eastAsia" w:ascii="仿宋" w:hAnsi="仿宋" w:eastAsia="仿宋" w:cs="仿宋"/>
          <w:color w:val="auto"/>
          <w:highlight w:val="none"/>
          <w:lang w:eastAsia="zh-CN"/>
        </w:rPr>
      </w:pPr>
      <w:r>
        <w:rPr>
          <w:rFonts w:hint="eastAsia" w:ascii="楷体" w:hAnsi="楷体" w:eastAsia="楷体" w:cs="楷体"/>
          <w:b/>
          <w:bCs/>
          <w:color w:val="auto"/>
          <w:highlight w:val="none"/>
          <w:lang w:val="en-US" w:eastAsia="zh-CN"/>
        </w:rPr>
        <w:t>提高生态环境管理能力。</w:t>
      </w:r>
      <w:r>
        <w:rPr>
          <w:rFonts w:hint="eastAsia" w:ascii="仿宋" w:hAnsi="仿宋" w:eastAsia="仿宋" w:cs="仿宋"/>
          <w:color w:val="auto"/>
          <w:szCs w:val="32"/>
          <w:highlight w:val="none"/>
        </w:rPr>
        <w:t>加快完成环境质量自动监测系统、湘西南五县（市）生态环境监测中心建设，加强基层环保执法力量配备，加大环境执法队伍专业技术培训，建设“智慧环保”服务平台，提高环境监管执法能力</w:t>
      </w:r>
      <w:r>
        <w:rPr>
          <w:rFonts w:hint="eastAsia" w:ascii="仿宋" w:hAnsi="仿宋" w:eastAsia="仿宋" w:cs="仿宋"/>
          <w:color w:val="auto"/>
          <w:sz w:val="32"/>
          <w:szCs w:val="32"/>
          <w:highlight w:val="none"/>
        </w:rPr>
        <w:t>，推进网格化环境监管体系建设。</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6E6A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000" w:type="pct"/>
            <w:shd w:val="clear" w:color="auto" w:fill="auto"/>
          </w:tcPr>
          <w:p w14:paraId="7B97F10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专栏1</w:t>
            </w:r>
            <w:r>
              <w:rPr>
                <w:rFonts w:hint="eastAsia" w:ascii="宋体" w:hAnsi="宋体" w:eastAsia="宋体" w:cs="宋体"/>
                <w:b/>
                <w:bCs w:val="0"/>
                <w:color w:val="auto"/>
                <w:kern w:val="0"/>
                <w:sz w:val="28"/>
                <w:szCs w:val="28"/>
                <w:highlight w:val="none"/>
                <w:lang w:val="en-US" w:eastAsia="zh-CN"/>
              </w:rPr>
              <w:t>9</w:t>
            </w:r>
            <w:r>
              <w:rPr>
                <w:rFonts w:hint="eastAsia" w:ascii="宋体" w:hAnsi="宋体" w:eastAsia="宋体" w:cs="宋体"/>
                <w:b/>
                <w:bCs w:val="0"/>
                <w:color w:val="auto"/>
                <w:kern w:val="0"/>
                <w:sz w:val="28"/>
                <w:szCs w:val="28"/>
                <w:highlight w:val="none"/>
              </w:rPr>
              <w:t>：生态建设重点工程</w:t>
            </w:r>
          </w:p>
        </w:tc>
      </w:tr>
      <w:tr w14:paraId="1E22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2B189CCA">
            <w:pPr>
              <w:pStyle w:val="10"/>
              <w:keepNext w:val="0"/>
              <w:keepLines w:val="0"/>
              <w:pageBreakBefore w:val="0"/>
              <w:widowControl w:val="0"/>
              <w:kinsoku/>
              <w:wordWrap/>
              <w:overflowPunct/>
              <w:topLinePunct w:val="0"/>
              <w:autoSpaceDE/>
              <w:autoSpaceDN/>
              <w:bidi w:val="0"/>
              <w:adjustRightInd w:val="0"/>
              <w:snapToGrid w:val="0"/>
              <w:spacing w:line="590"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1.大气污染防治</w:t>
            </w:r>
            <w:r>
              <w:rPr>
                <w:rFonts w:hint="eastAsia" w:ascii="仿宋" w:hAnsi="仿宋" w:eastAsia="仿宋" w:cs="仿宋"/>
                <w:b/>
                <w:bCs/>
                <w:color w:val="auto"/>
                <w:sz w:val="28"/>
                <w:szCs w:val="28"/>
                <w:highlight w:val="none"/>
                <w:lang w:eastAsia="zh-CN"/>
              </w:rPr>
              <w:t>：</w:t>
            </w:r>
            <w:r>
              <w:rPr>
                <w:rFonts w:hint="eastAsia" w:ascii="仿宋" w:hAnsi="仿宋" w:eastAsia="仿宋" w:cs="仿宋"/>
                <w:b w:val="0"/>
                <w:bCs w:val="0"/>
                <w:color w:val="auto"/>
                <w:sz w:val="28"/>
                <w:szCs w:val="28"/>
                <w:highlight w:val="none"/>
              </w:rPr>
              <w:t>新建大气环境质量数据管理中心及</w:t>
            </w:r>
            <w:r>
              <w:rPr>
                <w:rFonts w:hint="eastAsia" w:ascii="仿宋" w:hAnsi="仿宋" w:eastAsia="仿宋" w:cs="仿宋"/>
                <w:b w:val="0"/>
                <w:bCs w:val="0"/>
                <w:color w:val="auto"/>
                <w:sz w:val="28"/>
                <w:szCs w:val="28"/>
                <w:highlight w:val="none"/>
                <w:lang w:val="en-US" w:eastAsia="zh-CN"/>
              </w:rPr>
              <w:t>10</w:t>
            </w:r>
            <w:r>
              <w:rPr>
                <w:rFonts w:hint="eastAsia" w:ascii="仿宋" w:hAnsi="仿宋" w:eastAsia="仿宋" w:cs="仿宋"/>
                <w:b w:val="0"/>
                <w:bCs w:val="0"/>
                <w:color w:val="auto"/>
                <w:sz w:val="28"/>
                <w:szCs w:val="28"/>
                <w:highlight w:val="none"/>
              </w:rPr>
              <w:t>个大气环境质量自动监测站点。</w:t>
            </w:r>
          </w:p>
          <w:p w14:paraId="3589E742">
            <w:pPr>
              <w:pStyle w:val="10"/>
              <w:keepNext w:val="0"/>
              <w:keepLines w:val="0"/>
              <w:pageBreakBefore w:val="0"/>
              <w:widowControl w:val="0"/>
              <w:kinsoku/>
              <w:wordWrap/>
              <w:overflowPunct/>
              <w:topLinePunct w:val="0"/>
              <w:autoSpaceDE/>
              <w:autoSpaceDN/>
              <w:bidi w:val="0"/>
              <w:adjustRightInd w:val="0"/>
              <w:snapToGrid w:val="0"/>
              <w:spacing w:line="590"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2.水污染防治</w:t>
            </w:r>
            <w:r>
              <w:rPr>
                <w:rFonts w:hint="eastAsia" w:ascii="仿宋" w:hAnsi="仿宋" w:eastAsia="仿宋" w:cs="仿宋"/>
                <w:b/>
                <w:bCs/>
                <w:color w:val="auto"/>
                <w:sz w:val="28"/>
                <w:szCs w:val="28"/>
                <w:highlight w:val="none"/>
                <w:lang w:eastAsia="zh-CN"/>
              </w:rPr>
              <w:t>：</w:t>
            </w:r>
            <w:r>
              <w:rPr>
                <w:rFonts w:hint="eastAsia" w:ascii="仿宋" w:hAnsi="仿宋" w:eastAsia="仿宋" w:cs="仿宋"/>
                <w:b w:val="0"/>
                <w:bCs w:val="0"/>
                <w:color w:val="auto"/>
                <w:sz w:val="28"/>
                <w:szCs w:val="28"/>
                <w:highlight w:val="none"/>
              </w:rPr>
              <w:t>城区污水处理和污泥无害化处理设施提质升级改造工程、乡镇污水处理厂及配套管网建设项目、赧水河流域治理、文坪沉陷区石井矿泽水污染治理工程。</w:t>
            </w:r>
          </w:p>
          <w:p w14:paraId="270F9040">
            <w:pPr>
              <w:pStyle w:val="10"/>
              <w:keepNext w:val="0"/>
              <w:keepLines w:val="0"/>
              <w:pageBreakBefore w:val="0"/>
              <w:widowControl w:val="0"/>
              <w:kinsoku/>
              <w:wordWrap/>
              <w:overflowPunct/>
              <w:topLinePunct w:val="0"/>
              <w:autoSpaceDE/>
              <w:autoSpaceDN/>
              <w:bidi w:val="0"/>
              <w:adjustRightInd w:val="0"/>
              <w:snapToGrid w:val="0"/>
              <w:spacing w:line="590" w:lineRule="exact"/>
              <w:ind w:firstLine="562" w:firstLineChars="200"/>
              <w:jc w:val="both"/>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bCs/>
                <w:color w:val="auto"/>
                <w:sz w:val="28"/>
                <w:szCs w:val="28"/>
                <w:highlight w:val="none"/>
              </w:rPr>
              <w:t>3.土壤污染防治：</w:t>
            </w:r>
            <w:r>
              <w:rPr>
                <w:rFonts w:hint="eastAsia" w:ascii="仿宋" w:hAnsi="仿宋" w:eastAsia="仿宋" w:cs="仿宋"/>
                <w:b w:val="0"/>
                <w:bCs w:val="0"/>
                <w:color w:val="auto"/>
                <w:sz w:val="28"/>
                <w:szCs w:val="28"/>
                <w:highlight w:val="none"/>
              </w:rPr>
              <w:t>矿山开采遗留的地块生态修复工程、历史遗留的工业企业污染地块土壤修复工程</w:t>
            </w:r>
            <w:r>
              <w:rPr>
                <w:rFonts w:hint="eastAsia" w:ascii="仿宋" w:hAnsi="仿宋" w:eastAsia="仿宋" w:cs="仿宋"/>
                <w:b w:val="0"/>
                <w:bCs w:val="0"/>
                <w:color w:val="auto"/>
                <w:sz w:val="28"/>
                <w:szCs w:val="28"/>
                <w:highlight w:val="none"/>
                <w:lang w:eastAsia="zh-CN"/>
              </w:rPr>
              <w:t>、受污染耕地治理项目。</w:t>
            </w:r>
          </w:p>
          <w:p w14:paraId="1C09C95F">
            <w:pPr>
              <w:pStyle w:val="10"/>
              <w:keepNext w:val="0"/>
              <w:keepLines w:val="0"/>
              <w:pageBreakBefore w:val="0"/>
              <w:widowControl w:val="0"/>
              <w:kinsoku/>
              <w:wordWrap/>
              <w:overflowPunct/>
              <w:topLinePunct w:val="0"/>
              <w:autoSpaceDE/>
              <w:autoSpaceDN/>
              <w:bidi w:val="0"/>
              <w:adjustRightInd w:val="0"/>
              <w:snapToGrid w:val="0"/>
              <w:spacing w:line="590"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4.生态环境保护修复：</w:t>
            </w:r>
            <w:r>
              <w:rPr>
                <w:rFonts w:hint="eastAsia" w:ascii="仿宋" w:hAnsi="仿宋" w:eastAsia="仿宋" w:cs="仿宋"/>
                <w:b w:val="0"/>
                <w:bCs w:val="0"/>
                <w:color w:val="auto"/>
                <w:sz w:val="28"/>
                <w:szCs w:val="28"/>
                <w:highlight w:val="none"/>
              </w:rPr>
              <w:t>生态廊道建设、石漠化治理、林业保护及信息化工程、自然保护地生态安全保护工程、采煤区土地整治、矿山复绿项目、水源地保护及</w:t>
            </w:r>
            <w:r>
              <w:rPr>
                <w:rFonts w:hint="eastAsia" w:ascii="仿宋" w:hAnsi="仿宋" w:eastAsia="仿宋" w:cs="仿宋"/>
                <w:b w:val="0"/>
                <w:bCs w:val="0"/>
                <w:color w:val="auto"/>
                <w:sz w:val="28"/>
                <w:szCs w:val="28"/>
                <w:highlight w:val="none"/>
                <w:lang w:eastAsia="zh-CN"/>
              </w:rPr>
              <w:t>饮用水</w:t>
            </w:r>
            <w:r>
              <w:rPr>
                <w:rFonts w:hint="eastAsia" w:ascii="仿宋" w:hAnsi="仿宋" w:eastAsia="仿宋" w:cs="仿宋"/>
                <w:b w:val="0"/>
                <w:bCs w:val="0"/>
                <w:color w:val="auto"/>
                <w:sz w:val="28"/>
                <w:szCs w:val="28"/>
                <w:highlight w:val="none"/>
              </w:rPr>
              <w:t>源保护区环境问题整治、受污染耕地治理项目、</w:t>
            </w:r>
            <w:r>
              <w:rPr>
                <w:rFonts w:hint="eastAsia" w:ascii="仿宋" w:hAnsi="仿宋" w:eastAsia="仿宋" w:cs="仿宋"/>
                <w:color w:val="auto"/>
                <w:szCs w:val="28"/>
                <w:highlight w:val="none"/>
              </w:rPr>
              <w:t>云山生态环境保护工程建设</w:t>
            </w:r>
            <w:r>
              <w:rPr>
                <w:rFonts w:hint="eastAsia" w:ascii="仿宋" w:hAnsi="仿宋" w:eastAsia="仿宋" w:cs="仿宋"/>
                <w:b w:val="0"/>
                <w:bCs w:val="0"/>
                <w:color w:val="auto"/>
                <w:sz w:val="28"/>
                <w:szCs w:val="28"/>
                <w:highlight w:val="none"/>
              </w:rPr>
              <w:t>、西南五县（市）生态环境监测中心。</w:t>
            </w:r>
          </w:p>
          <w:p w14:paraId="24BE8F14">
            <w:pPr>
              <w:pStyle w:val="10"/>
              <w:keepNext w:val="0"/>
              <w:keepLines w:val="0"/>
              <w:pageBreakBefore w:val="0"/>
              <w:widowControl w:val="0"/>
              <w:kinsoku/>
              <w:wordWrap/>
              <w:overflowPunct/>
              <w:topLinePunct w:val="0"/>
              <w:autoSpaceDE/>
              <w:autoSpaceDN/>
              <w:bidi w:val="0"/>
              <w:adjustRightInd w:val="0"/>
              <w:snapToGrid w:val="0"/>
              <w:spacing w:line="590" w:lineRule="exact"/>
              <w:ind w:firstLine="562" w:firstLineChars="200"/>
              <w:jc w:val="both"/>
              <w:textAlignment w:val="auto"/>
              <w:rPr>
                <w:rFonts w:ascii="仿宋" w:hAnsi="仿宋" w:eastAsia="仿宋" w:cs="仿宋"/>
                <w:color w:val="auto"/>
                <w:szCs w:val="28"/>
                <w:highlight w:val="none"/>
              </w:rPr>
            </w:pPr>
            <w:r>
              <w:rPr>
                <w:rFonts w:hint="eastAsia" w:ascii="仿宋" w:hAnsi="仿宋" w:eastAsia="仿宋" w:cs="仿宋"/>
                <w:b/>
                <w:bCs/>
                <w:color w:val="auto"/>
                <w:sz w:val="28"/>
                <w:szCs w:val="28"/>
                <w:highlight w:val="none"/>
              </w:rPr>
              <w:t>5.资源节约循环利用：</w:t>
            </w:r>
            <w:r>
              <w:rPr>
                <w:rFonts w:hint="eastAsia" w:ascii="仿宋" w:hAnsi="仿宋" w:eastAsia="仿宋" w:cs="仿宋"/>
                <w:b w:val="0"/>
                <w:bCs w:val="0"/>
                <w:color w:val="auto"/>
                <w:sz w:val="28"/>
                <w:szCs w:val="28"/>
                <w:highlight w:val="none"/>
                <w:lang w:eastAsia="zh-CN"/>
              </w:rPr>
              <w:t>中部生活垃圾焚烧发电项目、</w:t>
            </w:r>
            <w:r>
              <w:rPr>
                <w:rFonts w:hint="eastAsia" w:ascii="仿宋" w:hAnsi="仿宋" w:eastAsia="仿宋" w:cs="仿宋"/>
                <w:b w:val="0"/>
                <w:bCs w:val="0"/>
                <w:color w:val="auto"/>
                <w:sz w:val="28"/>
                <w:szCs w:val="28"/>
                <w:highlight w:val="none"/>
              </w:rPr>
              <w:t>餐厨垃圾处理、再生资源循环利用产业园、整县畜禽粪污资源化利用。</w:t>
            </w:r>
          </w:p>
        </w:tc>
      </w:tr>
      <w:bookmarkEnd w:id="89"/>
      <w:bookmarkEnd w:id="90"/>
      <w:bookmarkEnd w:id="91"/>
    </w:tbl>
    <w:p w14:paraId="4CFEB149">
      <w:pPr>
        <w:pageBreakBefore w:val="0"/>
        <w:widowControl w:val="0"/>
        <w:kinsoku/>
        <w:wordWrap/>
        <w:overflowPunct/>
        <w:bidi w:val="0"/>
        <w:jc w:val="center"/>
        <w:outlineLvl w:val="0"/>
        <w:rPr>
          <w:rFonts w:hint="eastAsia" w:ascii="黑体" w:hAnsi="黑体" w:eastAsia="黑体" w:cs="黑体"/>
          <w:color w:val="auto"/>
          <w:highlight w:val="none"/>
          <w:lang w:val="en-US" w:eastAsia="zh-CN"/>
        </w:rPr>
      </w:pPr>
      <w:bookmarkStart w:id="126" w:name="_Toc11231"/>
      <w:r>
        <w:rPr>
          <w:rFonts w:hint="eastAsia" w:ascii="黑体" w:hAnsi="黑体" w:eastAsia="黑体" w:cs="黑体"/>
          <w:color w:val="auto"/>
          <w:highlight w:val="none"/>
          <w:lang w:val="en-US" w:eastAsia="zh-CN"/>
        </w:rPr>
        <w:t>第十一章  保障和改善社会民生，增进人民福祉</w:t>
      </w:r>
      <w:bookmarkEnd w:id="126"/>
    </w:p>
    <w:p w14:paraId="77E88EF7">
      <w:pPr>
        <w:pageBreakBefore w:val="0"/>
        <w:widowControl w:val="0"/>
        <w:kinsoku/>
        <w:wordWrap/>
        <w:overflowPunct/>
        <w:topLinePunct w:val="0"/>
        <w:autoSpaceDE/>
        <w:autoSpaceDN/>
        <w:bidi w:val="0"/>
        <w:adjustRightInd/>
        <w:snapToGrid/>
        <w:spacing w:line="630" w:lineRule="exact"/>
        <w:ind w:firstLine="64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坚持以人民为中心，按照人人参与、人人尽力、人人享有的要求，提高公共服务共建能力和共享水平，着力办好群众各项“急难愁盼”问题，扎实推动共同富裕，改善人民生活品质，不断增强人民群众获得感、幸福感、安全感。</w:t>
      </w:r>
    </w:p>
    <w:p w14:paraId="1FA77F24">
      <w:pPr>
        <w:pStyle w:val="4"/>
        <w:keepNext/>
        <w:keepLines/>
        <w:pageBreakBefore w:val="0"/>
        <w:widowControl w:val="0"/>
        <w:kinsoku/>
        <w:wordWrap/>
        <w:overflowPunct/>
        <w:topLinePunct w:val="0"/>
        <w:autoSpaceDE/>
        <w:autoSpaceDN/>
        <w:bidi w:val="0"/>
        <w:adjustRightInd/>
        <w:snapToGrid/>
        <w:spacing w:before="100" w:after="100" w:line="630" w:lineRule="exact"/>
        <w:jc w:val="center"/>
        <w:textAlignment w:val="auto"/>
        <w:rPr>
          <w:rFonts w:hint="eastAsia" w:ascii="黑体" w:hAnsi="黑体" w:eastAsia="黑体" w:cs="黑体"/>
          <w:b w:val="0"/>
          <w:bCs/>
          <w:color w:val="auto"/>
          <w:highlight w:val="none"/>
          <w:lang w:val="en-US" w:eastAsia="zh-CN"/>
        </w:rPr>
      </w:pPr>
      <w:bookmarkStart w:id="127" w:name="_Toc23532"/>
      <w:r>
        <w:rPr>
          <w:rFonts w:hint="eastAsia" w:ascii="黑体" w:hAnsi="黑体" w:eastAsia="黑体" w:cs="黑体"/>
          <w:b w:val="0"/>
          <w:bCs/>
          <w:color w:val="auto"/>
          <w:kern w:val="44"/>
          <w:sz w:val="32"/>
          <w:szCs w:val="32"/>
          <w:highlight w:val="none"/>
          <w:lang w:val="en-US" w:eastAsia="zh-CN" w:bidi="ar-SA"/>
        </w:rPr>
        <w:t>第一节 提高人民收入水平</w:t>
      </w:r>
      <w:bookmarkEnd w:id="127"/>
    </w:p>
    <w:p w14:paraId="39CB6B58">
      <w:pPr>
        <w:pageBreakBefore w:val="0"/>
        <w:widowControl w:val="0"/>
        <w:kinsoku/>
        <w:wordWrap/>
        <w:overflowPunct/>
        <w:topLinePunct w:val="0"/>
        <w:autoSpaceDE/>
        <w:autoSpaceDN/>
        <w:bidi w:val="0"/>
        <w:adjustRightInd/>
        <w:snapToGrid/>
        <w:spacing w:before="0" w:after="0" w:line="63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改善收入分配结构，稳定物价水平，确保实现居民收入增长与经济发展同步。</w:t>
      </w:r>
    </w:p>
    <w:p w14:paraId="2133850D">
      <w:pPr>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lang w:val="en-US" w:eastAsia="zh-CN"/>
        </w:rPr>
        <w:t>全面实施计划。</w:t>
      </w:r>
      <w:r>
        <w:rPr>
          <w:rFonts w:hint="eastAsia" w:ascii="仿宋" w:hAnsi="仿宋" w:eastAsia="仿宋" w:cs="仿宋"/>
          <w:color w:val="auto"/>
          <w:w w:val="98"/>
          <w:szCs w:val="32"/>
          <w:highlight w:val="none"/>
        </w:rPr>
        <w:t>实施城乡居民收入倍增计划，</w:t>
      </w:r>
      <w:r>
        <w:rPr>
          <w:rFonts w:hint="eastAsia" w:ascii="仿宋" w:hAnsi="仿宋" w:eastAsia="仿宋" w:cs="仿宋"/>
          <w:color w:val="auto"/>
          <w:szCs w:val="32"/>
          <w:highlight w:val="none"/>
        </w:rPr>
        <w:t>坚持按劳分配为主体、多种分配方式并存，提高劳动报酬在初次分配中的比重，完善工资制度，健全工资合理增长机制，明显增加低收入劳动者收入，持续扩大中等收入群体规模，让老百姓的钱袋子</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鼓起来”。</w:t>
      </w:r>
      <w:r>
        <w:rPr>
          <w:rFonts w:hint="eastAsia" w:ascii="仿宋" w:hAnsi="仿宋" w:eastAsia="仿宋" w:cs="仿宋"/>
          <w:color w:val="auto"/>
          <w:highlight w:val="none"/>
        </w:rPr>
        <w:t>拓</w:t>
      </w:r>
      <w:r>
        <w:rPr>
          <w:rFonts w:hint="eastAsia" w:ascii="仿宋" w:hAnsi="仿宋" w:eastAsia="仿宋" w:cs="仿宋"/>
          <w:color w:val="auto"/>
          <w:highlight w:val="none"/>
          <w:lang w:eastAsia="zh-CN"/>
        </w:rPr>
        <w:t>宽</w:t>
      </w:r>
      <w:r>
        <w:rPr>
          <w:rFonts w:hint="eastAsia" w:ascii="仿宋" w:hAnsi="仿宋" w:eastAsia="仿宋" w:cs="仿宋"/>
          <w:color w:val="auto"/>
          <w:highlight w:val="none"/>
        </w:rPr>
        <w:t>农民增收渠道，稳步提高农民收入，构建促进农民持续较快增收的长效政策机制，完善农民工工资支付保障长效机制，根治拖欠农民工工资问题。</w:t>
      </w:r>
    </w:p>
    <w:p w14:paraId="335978A2">
      <w:pPr>
        <w:pStyle w:val="2"/>
        <w:pageBreakBefore w:val="0"/>
        <w:widowControl w:val="0"/>
        <w:kinsoku/>
        <w:wordWrap/>
        <w:overflowPunct/>
        <w:topLinePunct w:val="0"/>
        <w:autoSpaceDE/>
        <w:autoSpaceDN/>
        <w:bidi w:val="0"/>
        <w:adjustRightInd/>
        <w:snapToGrid/>
        <w:spacing w:line="630" w:lineRule="exact"/>
        <w:textAlignment w:val="auto"/>
        <w:rPr>
          <w:rFonts w:hint="eastAsia" w:ascii="仿宋" w:hAnsi="仿宋" w:eastAsia="仿宋" w:cs="仿宋"/>
          <w:color w:val="auto"/>
          <w:highlight w:val="none"/>
          <w:lang w:val="en-US" w:eastAsia="zh-CN"/>
        </w:rPr>
      </w:pPr>
      <w:r>
        <w:rPr>
          <w:rFonts w:hint="eastAsia" w:ascii="FangSong_GB2312" w:hAnsi="FangSong_GB2312" w:eastAsia="宋体" w:cs="FangSong_GB2312"/>
          <w:color w:val="auto"/>
          <w:highlight w:val="none"/>
          <w:lang w:val="en-US" w:eastAsia="zh-CN"/>
        </w:rPr>
        <w:t xml:space="preserve">    </w:t>
      </w:r>
      <w:r>
        <w:rPr>
          <w:rFonts w:hint="eastAsia" w:ascii="楷体" w:hAnsi="楷体" w:eastAsia="楷体" w:cs="楷体"/>
          <w:b/>
          <w:bCs/>
          <w:color w:val="auto"/>
          <w:kern w:val="2"/>
          <w:sz w:val="32"/>
          <w:szCs w:val="24"/>
          <w:highlight w:val="none"/>
          <w:lang w:val="en-US" w:eastAsia="zh-CN" w:bidi="ar-SA"/>
        </w:rPr>
        <w:t>合理有序分配。</w:t>
      </w:r>
      <w:r>
        <w:rPr>
          <w:rFonts w:hint="eastAsia" w:ascii="仿宋" w:hAnsi="仿宋" w:eastAsia="仿宋" w:cs="仿宋"/>
          <w:color w:val="auto"/>
          <w:szCs w:val="32"/>
          <w:highlight w:val="none"/>
        </w:rPr>
        <w:t>完善按要素分配政策制度，健全资本、知识、技术、管理等由要素市场决定的报酬机制，探索通过要素使用权、收益权增加中低收入群体要素收入，多渠道增加城乡居民财产性收入。</w:t>
      </w:r>
      <w:r>
        <w:rPr>
          <w:rFonts w:hint="eastAsia" w:ascii="仿宋" w:hAnsi="仿宋" w:eastAsia="仿宋" w:cs="仿宋"/>
          <w:color w:val="auto"/>
          <w:highlight w:val="none"/>
        </w:rPr>
        <w:t>完善以税收、社保、转移支付为主要手段的再分配机制，</w:t>
      </w:r>
      <w:r>
        <w:rPr>
          <w:rFonts w:hint="eastAsia" w:ascii="仿宋" w:hAnsi="仿宋" w:eastAsia="仿宋" w:cs="仿宋"/>
          <w:color w:val="auto"/>
          <w:szCs w:val="32"/>
          <w:highlight w:val="none"/>
        </w:rPr>
        <w:t>发挥第三次分配作用，发展慈善事业，改善收入和财富分配格局。</w:t>
      </w:r>
    </w:p>
    <w:p w14:paraId="395ED125">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highlight w:val="none"/>
          <w:lang w:val="en-US" w:eastAsia="zh-CN"/>
        </w:rPr>
      </w:pPr>
      <w:bookmarkStart w:id="128" w:name="_Toc19907"/>
      <w:r>
        <w:rPr>
          <w:rFonts w:hint="eastAsia" w:ascii="黑体" w:hAnsi="黑体" w:eastAsia="黑体" w:cs="黑体"/>
          <w:b w:val="0"/>
          <w:bCs/>
          <w:color w:val="auto"/>
          <w:kern w:val="44"/>
          <w:sz w:val="32"/>
          <w:szCs w:val="32"/>
          <w:highlight w:val="none"/>
          <w:lang w:val="en-US" w:eastAsia="zh-CN" w:bidi="ar-SA"/>
        </w:rPr>
        <w:t>第二节 促进更加充分就业</w:t>
      </w:r>
      <w:bookmarkEnd w:id="128"/>
    </w:p>
    <w:p w14:paraId="4AB3DFCF">
      <w:pPr>
        <w:keepNext w:val="0"/>
        <w:keepLines w:val="0"/>
        <w:pageBreakBefore w:val="0"/>
        <w:widowControl w:val="0"/>
        <w:kinsoku/>
        <w:wordWrap/>
        <w:overflowPunct/>
        <w:topLinePunct w:val="0"/>
        <w:autoSpaceDE/>
        <w:autoSpaceDN/>
        <w:bidi w:val="0"/>
        <w:adjustRightInd/>
        <w:snapToGrid/>
        <w:spacing w:line="63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坚持就业优先，实施更加积极的就业创业政策，有效挖掘和培育新的就业增长点</w:t>
      </w:r>
      <w:r>
        <w:rPr>
          <w:rFonts w:hint="eastAsia" w:ascii="仿宋" w:hAnsi="仿宋" w:eastAsia="仿宋" w:cs="仿宋"/>
          <w:color w:val="auto"/>
          <w:sz w:val="32"/>
          <w:szCs w:val="32"/>
          <w:highlight w:val="none"/>
          <w:lang w:eastAsia="zh-CN"/>
        </w:rPr>
        <w:t>，以</w:t>
      </w:r>
      <w:r>
        <w:rPr>
          <w:rFonts w:hint="eastAsia" w:ascii="仿宋" w:hAnsi="仿宋" w:eastAsia="仿宋" w:cs="仿宋"/>
          <w:color w:val="auto"/>
          <w:sz w:val="32"/>
          <w:szCs w:val="32"/>
          <w:highlight w:val="none"/>
          <w:lang w:val="en-US" w:eastAsia="zh-CN"/>
        </w:rPr>
        <w:t>创业带就业，培训稳就业，服务促就业。</w:t>
      </w:r>
    </w:p>
    <w:p w14:paraId="0EC36231">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b/>
          <w:bCs/>
          <w:color w:val="auto"/>
          <w:highlight w:val="none"/>
        </w:rPr>
      </w:pPr>
      <w:r>
        <w:rPr>
          <w:rFonts w:hint="eastAsia" w:ascii="楷体" w:hAnsi="楷体" w:eastAsia="楷体" w:cs="楷体"/>
          <w:b/>
          <w:bCs/>
          <w:color w:val="auto"/>
          <w:highlight w:val="none"/>
          <w:lang w:val="en-US" w:eastAsia="zh-CN"/>
        </w:rPr>
        <w:t>创业带就业。</w:t>
      </w:r>
      <w:r>
        <w:rPr>
          <w:rFonts w:hint="eastAsia" w:ascii="仿宋" w:hAnsi="仿宋" w:eastAsia="仿宋" w:cs="仿宋"/>
          <w:color w:val="auto"/>
          <w:highlight w:val="none"/>
        </w:rPr>
        <w:t>坚持以创业带动就业，促进中小微企业发展，支持多渠道灵活就业，提升就业质量，促进充分就业，保障劳动者待遇和权益。推动“大众创业、万众创新”提质增效，建立创业基地和产业孵化园，完善创业指导服务体系和创业激励机制，</w:t>
      </w:r>
      <w:r>
        <w:rPr>
          <w:rFonts w:hint="eastAsia" w:ascii="仿宋" w:hAnsi="仿宋" w:eastAsia="仿宋" w:cs="仿宋"/>
          <w:color w:val="auto"/>
          <w:highlight w:val="none"/>
          <w:lang w:eastAsia="zh-CN"/>
        </w:rPr>
        <w:t>扩大创业贷款、政府贴息力度，优化服务环境，提高服务水平，</w:t>
      </w:r>
      <w:r>
        <w:rPr>
          <w:rFonts w:hint="eastAsia" w:ascii="仿宋" w:hAnsi="仿宋" w:eastAsia="仿宋" w:cs="仿宋"/>
          <w:color w:val="auto"/>
          <w:highlight w:val="none"/>
        </w:rPr>
        <w:t>鼓励扶持大学生、农民工和退役军人返乡创业</w:t>
      </w:r>
      <w:r>
        <w:rPr>
          <w:rFonts w:hint="eastAsia" w:ascii="仿宋" w:hAnsi="仿宋" w:eastAsia="仿宋" w:cs="仿宋"/>
          <w:color w:val="auto"/>
          <w:highlight w:val="none"/>
          <w:lang w:eastAsia="zh-CN"/>
        </w:rPr>
        <w:t>。</w:t>
      </w:r>
      <w:r>
        <w:rPr>
          <w:rFonts w:hint="eastAsia" w:ascii="仿宋" w:hAnsi="仿宋" w:eastAsia="仿宋" w:cs="仿宋"/>
          <w:color w:val="auto"/>
          <w:szCs w:val="32"/>
          <w:highlight w:val="none"/>
        </w:rPr>
        <w:t>“十四五”期间，</w:t>
      </w:r>
      <w:r>
        <w:rPr>
          <w:rFonts w:hint="eastAsia" w:ascii="仿宋" w:hAnsi="仿宋" w:eastAsia="仿宋" w:cs="仿宋"/>
          <w:color w:val="auto"/>
          <w:highlight w:val="none"/>
        </w:rPr>
        <w:t>城镇登记失业率控制在</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%以内。</w:t>
      </w:r>
    </w:p>
    <w:p w14:paraId="4FD985A0">
      <w:pPr>
        <w:keepNext w:val="0"/>
        <w:keepLines w:val="0"/>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lang w:val="en-US" w:eastAsia="zh-CN"/>
        </w:rPr>
        <w:t>培训稳就业。</w:t>
      </w:r>
      <w:r>
        <w:rPr>
          <w:rFonts w:hint="eastAsia" w:ascii="仿宋" w:hAnsi="仿宋" w:eastAsia="仿宋" w:cs="仿宋"/>
          <w:color w:val="auto"/>
          <w:highlight w:val="none"/>
        </w:rPr>
        <w:t>健全职业培训机制，推进职业技能</w:t>
      </w:r>
      <w:r>
        <w:rPr>
          <w:rFonts w:hint="eastAsia" w:ascii="仿宋" w:hAnsi="仿宋" w:eastAsia="仿宋" w:cs="仿宋"/>
          <w:color w:val="auto"/>
          <w:highlight w:val="none"/>
          <w:lang w:eastAsia="zh-CN"/>
        </w:rPr>
        <w:t>提升</w:t>
      </w:r>
      <w:r>
        <w:rPr>
          <w:rFonts w:hint="eastAsia" w:ascii="仿宋" w:hAnsi="仿宋" w:eastAsia="仿宋" w:cs="仿宋"/>
          <w:color w:val="auto"/>
          <w:highlight w:val="none"/>
        </w:rPr>
        <w:t>培训制度。实施困难群体免费接受职业培训计划和新生代农民工职业技能提升计划，推广“互联网+职业培训”模式，支持武冈市技工学校公共实训基地建设</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提高就业群体技能。完善重点群体就业支持体系，统筹城乡就业政策体系，扩大公益性岗位安置，帮扶残疾人、零就业家庭成员就业。</w:t>
      </w:r>
    </w:p>
    <w:p w14:paraId="529F9A9C">
      <w:pPr>
        <w:keepNext w:val="0"/>
        <w:keepLines w:val="0"/>
        <w:pageBreakBefore w:val="0"/>
        <w:widowControl w:val="0"/>
        <w:kinsoku/>
        <w:wordWrap/>
        <w:overflowPunct/>
        <w:topLinePunct w:val="0"/>
        <w:autoSpaceDE/>
        <w:autoSpaceDN/>
        <w:bidi w:val="0"/>
        <w:adjustRightInd/>
        <w:snapToGrid/>
        <w:spacing w:after="157" w:afterLines="50" w:line="630" w:lineRule="exact"/>
        <w:ind w:firstLine="643" w:firstLineChars="200"/>
        <w:jc w:val="both"/>
        <w:textAlignment w:val="auto"/>
        <w:rPr>
          <w:rFonts w:hint="eastAsia" w:ascii="仿宋" w:hAnsi="仿宋" w:eastAsia="仿宋" w:cs="仿宋"/>
          <w:b/>
          <w:bCs/>
          <w:color w:val="auto"/>
          <w:highlight w:val="none"/>
        </w:rPr>
      </w:pPr>
      <w:r>
        <w:rPr>
          <w:rFonts w:hint="eastAsia" w:ascii="楷体" w:hAnsi="楷体" w:eastAsia="楷体" w:cs="楷体"/>
          <w:b/>
          <w:bCs/>
          <w:color w:val="auto"/>
          <w:highlight w:val="none"/>
          <w:lang w:val="en-US" w:eastAsia="zh-CN"/>
        </w:rPr>
        <w:t>服务促就业。</w:t>
      </w:r>
      <w:r>
        <w:rPr>
          <w:rFonts w:hint="eastAsia" w:ascii="仿宋" w:hAnsi="仿宋" w:eastAsia="仿宋" w:cs="仿宋"/>
          <w:color w:val="auto"/>
          <w:highlight w:val="none"/>
        </w:rPr>
        <w:t>进一步提升就业质量，完善就业公共服务体系，健全劳动人事争议调解仲裁机制，构建和谐劳动关系。完善促进创业带动就业、多渠道灵活就业的保障制度，支持和规范发展新就业形态，健全就业需求调查和失业监测预警机制。深入推进居家灵活就业，加强对网约配送员、互联网营销师、全媒体运营师、养老护理员、电子竞技员等新就业形态的支持，促进劳动者自主就业。</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69C6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top"/>
          </w:tcPr>
          <w:p w14:paraId="1119BC71">
            <w:pPr>
              <w:pageBreakBefore w:val="0"/>
              <w:widowControl w:val="0"/>
              <w:kinsoku/>
              <w:wordWrap/>
              <w:overflowPunct/>
              <w:bidi w:val="0"/>
              <w:spacing w:line="420" w:lineRule="auto"/>
              <w:jc w:val="center"/>
              <w:rPr>
                <w:rFonts w:hint="eastAsia" w:ascii="Times New Roman" w:hAnsi="Times New Roman" w:eastAsia="黑体" w:cs="Times New Roman"/>
                <w:bCs/>
                <w:color w:val="auto"/>
                <w:kern w:val="0"/>
                <w:sz w:val="28"/>
                <w:szCs w:val="28"/>
                <w:highlight w:val="none"/>
                <w:lang w:val="en-US" w:eastAsia="zh-CN" w:bidi="ar-SA"/>
              </w:rPr>
            </w:pPr>
            <w:r>
              <w:rPr>
                <w:rFonts w:hint="eastAsia" w:ascii="宋体" w:hAnsi="宋体" w:eastAsia="宋体" w:cs="宋体"/>
                <w:b/>
                <w:bCs w:val="0"/>
                <w:color w:val="auto"/>
                <w:kern w:val="0"/>
                <w:sz w:val="28"/>
                <w:szCs w:val="28"/>
                <w:highlight w:val="none"/>
              </w:rPr>
              <w:t>专栏</w:t>
            </w:r>
            <w:r>
              <w:rPr>
                <w:rFonts w:hint="eastAsia" w:ascii="宋体" w:hAnsi="宋体" w:eastAsia="宋体" w:cs="宋体"/>
                <w:b/>
                <w:bCs w:val="0"/>
                <w:color w:val="auto"/>
                <w:kern w:val="0"/>
                <w:sz w:val="28"/>
                <w:szCs w:val="28"/>
                <w:highlight w:val="none"/>
                <w:lang w:val="en-US" w:eastAsia="zh-CN"/>
              </w:rPr>
              <w:t>20</w:t>
            </w:r>
            <w:r>
              <w:rPr>
                <w:rFonts w:hint="eastAsia" w:ascii="宋体" w:hAnsi="宋体" w:eastAsia="宋体" w:cs="宋体"/>
                <w:b/>
                <w:bCs w:val="0"/>
                <w:color w:val="auto"/>
                <w:kern w:val="0"/>
                <w:sz w:val="28"/>
                <w:szCs w:val="28"/>
                <w:highlight w:val="none"/>
              </w:rPr>
              <w:t>：就业培训重点行动</w:t>
            </w:r>
          </w:p>
        </w:tc>
      </w:tr>
      <w:tr w14:paraId="7F58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top"/>
          </w:tcPr>
          <w:p w14:paraId="2752B9C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jc w:val="both"/>
              <w:textAlignment w:val="auto"/>
              <w:rPr>
                <w:rFonts w:hint="eastAsia" w:ascii="仿宋" w:hAnsi="仿宋" w:eastAsia="仿宋" w:cs="仿宋"/>
                <w:b w:val="0"/>
                <w:bCs w:val="0"/>
                <w:color w:val="auto"/>
                <w:kern w:val="0"/>
                <w:sz w:val="28"/>
                <w:szCs w:val="28"/>
                <w:highlight w:val="none"/>
                <w:lang w:bidi="ar"/>
              </w:rPr>
            </w:pPr>
            <w:r>
              <w:rPr>
                <w:rFonts w:hint="eastAsia" w:ascii="仿宋" w:hAnsi="仿宋" w:eastAsia="仿宋" w:cs="仿宋"/>
                <w:b/>
                <w:bCs/>
                <w:color w:val="auto"/>
                <w:kern w:val="0"/>
                <w:sz w:val="28"/>
                <w:szCs w:val="28"/>
                <w:highlight w:val="none"/>
                <w:lang w:val="en-US" w:eastAsia="zh-CN" w:bidi="ar"/>
              </w:rPr>
              <w:t>1.</w:t>
            </w:r>
            <w:r>
              <w:rPr>
                <w:rFonts w:hint="eastAsia" w:ascii="仿宋" w:hAnsi="仿宋" w:eastAsia="仿宋" w:cs="仿宋"/>
                <w:b/>
                <w:bCs/>
                <w:color w:val="auto"/>
                <w:kern w:val="0"/>
                <w:sz w:val="28"/>
                <w:szCs w:val="28"/>
                <w:highlight w:val="none"/>
                <w:lang w:bidi="ar"/>
              </w:rPr>
              <w:t>“农村实用技术”培训</w:t>
            </w:r>
            <w:r>
              <w:rPr>
                <w:rFonts w:hint="eastAsia" w:ascii="仿宋" w:hAnsi="仿宋" w:eastAsia="仿宋" w:cs="仿宋"/>
                <w:b/>
                <w:bCs/>
                <w:color w:val="auto"/>
                <w:kern w:val="0"/>
                <w:sz w:val="28"/>
                <w:szCs w:val="28"/>
                <w:highlight w:val="none"/>
                <w:lang w:eastAsia="zh-CN" w:bidi="ar"/>
              </w:rPr>
              <w:t>：</w:t>
            </w:r>
            <w:r>
              <w:rPr>
                <w:rFonts w:hint="eastAsia" w:ascii="仿宋" w:hAnsi="仿宋" w:eastAsia="仿宋" w:cs="仿宋"/>
                <w:b w:val="0"/>
                <w:bCs w:val="0"/>
                <w:color w:val="auto"/>
                <w:kern w:val="0"/>
                <w:sz w:val="28"/>
                <w:szCs w:val="28"/>
                <w:highlight w:val="none"/>
                <w:lang w:bidi="ar"/>
              </w:rPr>
              <w:t>面向农村广大劳动力，开展覆盖面更为广泛的农村劳动力培训，邀请省、市院校教授及专业技术人员到乡、村进行现场授课，让劳动者能掌握一至两门增收技能，提高致富本领，发展产业。</w:t>
            </w:r>
          </w:p>
          <w:p w14:paraId="7E5CEB53">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kern w:val="0"/>
                <w:sz w:val="28"/>
                <w:szCs w:val="28"/>
                <w:highlight w:val="none"/>
                <w:lang w:bidi="ar"/>
              </w:rPr>
              <w:t>2</w:t>
            </w:r>
            <w:r>
              <w:rPr>
                <w:rFonts w:hint="eastAsia" w:ascii="仿宋" w:hAnsi="仿宋" w:eastAsia="仿宋" w:cs="仿宋"/>
                <w:b/>
                <w:bCs/>
                <w:color w:val="auto"/>
                <w:kern w:val="0"/>
                <w:sz w:val="28"/>
                <w:szCs w:val="28"/>
                <w:highlight w:val="none"/>
                <w:lang w:eastAsia="zh-CN" w:bidi="ar"/>
              </w:rPr>
              <w:t>.</w:t>
            </w:r>
            <w:r>
              <w:rPr>
                <w:rFonts w:hint="eastAsia" w:ascii="仿宋" w:hAnsi="仿宋" w:eastAsia="仿宋" w:cs="仿宋"/>
                <w:b/>
                <w:bCs/>
                <w:color w:val="auto"/>
                <w:kern w:val="0"/>
                <w:sz w:val="28"/>
                <w:szCs w:val="28"/>
                <w:highlight w:val="none"/>
                <w:lang w:bidi="ar"/>
              </w:rPr>
              <w:t>“能工巧匠”培训</w:t>
            </w:r>
            <w:r>
              <w:rPr>
                <w:rFonts w:hint="eastAsia" w:ascii="仿宋" w:hAnsi="仿宋" w:eastAsia="仿宋" w:cs="仿宋"/>
                <w:b/>
                <w:bCs/>
                <w:color w:val="auto"/>
                <w:kern w:val="0"/>
                <w:sz w:val="28"/>
                <w:szCs w:val="28"/>
                <w:highlight w:val="none"/>
                <w:lang w:eastAsia="zh-CN" w:bidi="ar"/>
              </w:rPr>
              <w:t>：</w:t>
            </w:r>
            <w:r>
              <w:rPr>
                <w:rFonts w:hint="eastAsia" w:ascii="仿宋" w:hAnsi="仿宋" w:eastAsia="仿宋" w:cs="仿宋"/>
                <w:b w:val="0"/>
                <w:bCs w:val="0"/>
                <w:color w:val="auto"/>
                <w:kern w:val="0"/>
                <w:sz w:val="28"/>
                <w:szCs w:val="28"/>
                <w:highlight w:val="none"/>
                <w:lang w:bidi="ar"/>
              </w:rPr>
              <w:t>面向全市城乡居民、拟就业应往届农村初高中毕业生及退役士兵，依托职业培训中心、机动车驾驶培训学校等培训机构举办各类培训班，提高就业能力和职业素质，促进农村劳动力有序向二、三产业转移。</w:t>
            </w:r>
          </w:p>
          <w:p w14:paraId="4B5C4F69">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kern w:val="0"/>
                <w:sz w:val="28"/>
                <w:szCs w:val="28"/>
                <w:highlight w:val="none"/>
                <w:lang w:bidi="ar"/>
              </w:rPr>
              <w:t>“村干部能力素质提升工程”培训</w:t>
            </w:r>
            <w:r>
              <w:rPr>
                <w:rFonts w:hint="eastAsia" w:ascii="仿宋" w:hAnsi="仿宋" w:eastAsia="仿宋" w:cs="仿宋"/>
                <w:b/>
                <w:bCs/>
                <w:color w:val="auto"/>
                <w:kern w:val="0"/>
                <w:sz w:val="28"/>
                <w:szCs w:val="28"/>
                <w:highlight w:val="none"/>
                <w:lang w:eastAsia="zh-CN" w:bidi="ar"/>
              </w:rPr>
              <w:t>：</w:t>
            </w:r>
            <w:r>
              <w:rPr>
                <w:rFonts w:hint="eastAsia" w:ascii="仿宋" w:hAnsi="仿宋" w:eastAsia="仿宋" w:cs="仿宋"/>
                <w:b w:val="0"/>
                <w:bCs w:val="0"/>
                <w:color w:val="auto"/>
                <w:kern w:val="0"/>
                <w:sz w:val="28"/>
                <w:szCs w:val="28"/>
                <w:highlight w:val="none"/>
                <w:lang w:bidi="ar"/>
              </w:rPr>
              <w:t>面向村主</w:t>
            </w:r>
            <w:r>
              <w:rPr>
                <w:rFonts w:hint="eastAsia" w:ascii="仿宋" w:hAnsi="仿宋" w:eastAsia="仿宋" w:cs="仿宋"/>
                <w:b w:val="0"/>
                <w:bCs w:val="0"/>
                <w:color w:val="auto"/>
                <w:kern w:val="0"/>
                <w:sz w:val="28"/>
                <w:szCs w:val="28"/>
                <w:highlight w:val="none"/>
                <w:lang w:eastAsia="zh-CN" w:bidi="ar"/>
              </w:rPr>
              <w:t>职</w:t>
            </w:r>
            <w:r>
              <w:rPr>
                <w:rFonts w:hint="eastAsia" w:ascii="仿宋" w:hAnsi="仿宋" w:eastAsia="仿宋" w:cs="仿宋"/>
                <w:b w:val="0"/>
                <w:bCs w:val="0"/>
                <w:color w:val="auto"/>
                <w:kern w:val="0"/>
                <w:sz w:val="28"/>
                <w:szCs w:val="28"/>
                <w:highlight w:val="none"/>
                <w:lang w:bidi="ar"/>
              </w:rPr>
              <w:t>干部及村、支两委后备干部，培养致富带头人。依托市委党校、技工学校等，提高领导能力、工作能力及带领群众致富的能力。</w:t>
            </w:r>
          </w:p>
          <w:p w14:paraId="69DA9E75">
            <w:pPr>
              <w:keepNext w:val="0"/>
              <w:keepLines w:val="0"/>
              <w:pageBreakBefore w:val="0"/>
              <w:widowControl w:val="0"/>
              <w:kinsoku/>
              <w:wordWrap/>
              <w:overflowPunct/>
              <w:topLinePunct w:val="0"/>
              <w:autoSpaceDE/>
              <w:autoSpaceDN/>
              <w:bidi w:val="0"/>
              <w:adjustRightInd/>
              <w:snapToGrid/>
              <w:spacing w:line="540" w:lineRule="exact"/>
              <w:ind w:firstLine="562" w:firstLineChars="200"/>
              <w:jc w:val="both"/>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b/>
                <w:bCs/>
                <w:color w:val="auto"/>
                <w:sz w:val="28"/>
                <w:szCs w:val="28"/>
                <w:highlight w:val="none"/>
              </w:rPr>
              <w:t>4</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kern w:val="0"/>
                <w:sz w:val="28"/>
                <w:szCs w:val="28"/>
                <w:highlight w:val="none"/>
                <w:lang w:bidi="ar"/>
              </w:rPr>
              <w:t>建立公共就业服务长效机制</w:t>
            </w:r>
            <w:r>
              <w:rPr>
                <w:rFonts w:hint="eastAsia" w:ascii="仿宋" w:hAnsi="仿宋" w:eastAsia="仿宋" w:cs="仿宋"/>
                <w:b/>
                <w:bCs/>
                <w:color w:val="auto"/>
                <w:kern w:val="0"/>
                <w:sz w:val="28"/>
                <w:szCs w:val="28"/>
                <w:highlight w:val="none"/>
                <w:lang w:eastAsia="zh-CN" w:bidi="ar"/>
              </w:rPr>
              <w:t>：</w:t>
            </w:r>
            <w:r>
              <w:rPr>
                <w:rFonts w:hint="eastAsia" w:ascii="仿宋" w:hAnsi="仿宋" w:eastAsia="仿宋" w:cs="仿宋"/>
                <w:b w:val="0"/>
                <w:bCs w:val="0"/>
                <w:color w:val="auto"/>
                <w:kern w:val="0"/>
                <w:sz w:val="28"/>
                <w:szCs w:val="28"/>
                <w:highlight w:val="none"/>
                <w:lang w:bidi="ar"/>
              </w:rPr>
              <w:t>对就业人员，提供权益保护、人事代理、社会保障等服务。切实加强就业指导和创业服务，强化创业培训与小额担保贷款、税费减免等扶持政策及创业咨询、创业孵化等服务手段的衔接，促进其实现产业创业。</w:t>
            </w:r>
          </w:p>
        </w:tc>
      </w:tr>
    </w:tbl>
    <w:p w14:paraId="3AE01DE1">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highlight w:val="none"/>
          <w:lang w:val="en-US" w:eastAsia="zh-CN"/>
        </w:rPr>
      </w:pPr>
      <w:bookmarkStart w:id="129" w:name="_Toc22519"/>
      <w:r>
        <w:rPr>
          <w:rFonts w:hint="eastAsia" w:ascii="黑体" w:hAnsi="黑体" w:eastAsia="黑体" w:cs="黑体"/>
          <w:b w:val="0"/>
          <w:bCs/>
          <w:color w:val="auto"/>
          <w:kern w:val="44"/>
          <w:sz w:val="32"/>
          <w:szCs w:val="32"/>
          <w:highlight w:val="none"/>
          <w:lang w:val="en-US" w:eastAsia="zh-CN" w:bidi="ar-SA"/>
        </w:rPr>
        <w:t>第三节 办好人民满意教育</w:t>
      </w:r>
      <w:bookmarkEnd w:id="129"/>
    </w:p>
    <w:p w14:paraId="4D74BE72">
      <w:pPr>
        <w:pageBreakBefore w:val="0"/>
        <w:widowControl w:val="0"/>
        <w:kinsoku/>
        <w:wordWrap/>
        <w:overflowPunct/>
        <w:bidi w:val="0"/>
        <w:adjustRightInd/>
        <w:snapToGrid/>
        <w:spacing w:before="0" w:after="0" w:line="570" w:lineRule="exact"/>
        <w:ind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始终把教育摆在优先发展的战略地位，深化教育改革，合理配置公共教育资源，努力提高教育质量，促进教育公平，推进教育现代化。</w:t>
      </w:r>
    </w:p>
    <w:p w14:paraId="5E531D0B">
      <w:pPr>
        <w:keepNext w:val="0"/>
        <w:keepLines w:val="0"/>
        <w:pageBreakBefore w:val="0"/>
        <w:widowControl w:val="0"/>
        <w:kinsoku/>
        <w:wordWrap/>
        <w:overflowPunct/>
        <w:topLinePunct w:val="0"/>
        <w:autoSpaceDE/>
        <w:autoSpaceDN/>
        <w:bidi w:val="0"/>
        <w:adjustRightInd/>
        <w:spacing w:line="610" w:lineRule="exact"/>
        <w:ind w:firstLine="643" w:firstLineChars="200"/>
        <w:jc w:val="both"/>
        <w:textAlignment w:val="auto"/>
        <w:rPr>
          <w:rFonts w:hint="eastAsia" w:ascii="仿宋" w:hAnsi="仿宋" w:eastAsia="仿宋" w:cs="仿宋"/>
          <w:b/>
          <w:bCs/>
          <w:color w:val="auto"/>
          <w:highlight w:val="none"/>
        </w:rPr>
      </w:pPr>
      <w:r>
        <w:rPr>
          <w:rFonts w:hint="eastAsia" w:ascii="楷体" w:hAnsi="楷体" w:eastAsia="楷体" w:cs="楷体"/>
          <w:b/>
          <w:bCs/>
          <w:color w:val="auto"/>
          <w:highlight w:val="none"/>
        </w:rPr>
        <w:t>落实立德树人根本任务。</w:t>
      </w:r>
      <w:r>
        <w:rPr>
          <w:rFonts w:hint="eastAsia" w:ascii="仿宋" w:hAnsi="仿宋" w:eastAsia="仿宋" w:cs="仿宋"/>
          <w:color w:val="auto"/>
          <w:highlight w:val="none"/>
        </w:rPr>
        <w:t>坚持把立德树人成效作为检验学校一切工作的根本标准，融入思想道德教育、文化知识教育、社会实践教育各环节，贯穿基础教育、高中教育、职业教育各领域。健全学校家庭社会协同育人机制，突出学校主体地位，贯通校内外多种教育形式，为培育时代新人提供更大空间、凝聚强大合力。</w:t>
      </w:r>
    </w:p>
    <w:p w14:paraId="41A6EF2B">
      <w:pPr>
        <w:keepNext w:val="0"/>
        <w:keepLines w:val="0"/>
        <w:pageBreakBefore w:val="0"/>
        <w:widowControl w:val="0"/>
        <w:kinsoku/>
        <w:wordWrap/>
        <w:overflowPunct/>
        <w:topLinePunct w:val="0"/>
        <w:autoSpaceDE/>
        <w:autoSpaceDN/>
        <w:bidi w:val="0"/>
        <w:adjustRightInd/>
        <w:snapToGrid w:val="0"/>
        <w:spacing w:line="610" w:lineRule="exact"/>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highlight w:val="none"/>
        </w:rPr>
        <w:t>发展学前教育。</w:t>
      </w:r>
      <w:r>
        <w:rPr>
          <w:rFonts w:hint="eastAsia" w:ascii="仿宋" w:hAnsi="仿宋" w:eastAsia="仿宋" w:cs="仿宋"/>
          <w:color w:val="auto"/>
          <w:highlight w:val="none"/>
        </w:rPr>
        <w:t>推进城乡学前教育资源布局一体化发展，构建以公益性、普惠性为主的学前教育公共服务体系</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val="en-US" w:eastAsia="zh-CN"/>
        </w:rPr>
        <w:t>扩大学前教育资源。2025年，学前三年幼儿教育毛入园率达到90%，</w:t>
      </w:r>
      <w:r>
        <w:rPr>
          <w:rFonts w:hint="eastAsia" w:ascii="仿宋" w:hAnsi="仿宋" w:eastAsia="仿宋" w:cs="仿宋"/>
          <w:color w:val="auto"/>
          <w:sz w:val="32"/>
          <w:szCs w:val="32"/>
          <w:highlight w:val="none"/>
        </w:rPr>
        <w:t>普惠性幼儿园覆盖率达到85%以上，公办幼儿园在园幼儿占比达到</w:t>
      </w:r>
      <w:r>
        <w:rPr>
          <w:rFonts w:hint="eastAsia" w:ascii="仿宋" w:hAnsi="仿宋" w:eastAsia="仿宋" w:cs="仿宋"/>
          <w:color w:val="auto"/>
          <w:sz w:val="32"/>
          <w:szCs w:val="32"/>
          <w:highlight w:val="none"/>
          <w:u w:val="none"/>
        </w:rPr>
        <w:t>50</w:t>
      </w:r>
      <w:r>
        <w:rPr>
          <w:rFonts w:hint="eastAsia" w:ascii="仿宋" w:hAnsi="仿宋" w:eastAsia="仿宋" w:cs="仿宋"/>
          <w:color w:val="auto"/>
          <w:sz w:val="32"/>
          <w:szCs w:val="32"/>
          <w:highlight w:val="none"/>
        </w:rPr>
        <w:t>%以上。</w:t>
      </w:r>
    </w:p>
    <w:p w14:paraId="4A916E26">
      <w:pPr>
        <w:keepNext w:val="0"/>
        <w:keepLines w:val="0"/>
        <w:pageBreakBefore w:val="0"/>
        <w:widowControl w:val="0"/>
        <w:kinsoku/>
        <w:wordWrap/>
        <w:overflowPunct/>
        <w:topLinePunct w:val="0"/>
        <w:autoSpaceDE/>
        <w:autoSpaceDN/>
        <w:bidi w:val="0"/>
        <w:adjustRightInd/>
        <w:spacing w:line="61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rPr>
        <w:t>促进义务教育</w:t>
      </w:r>
      <w:r>
        <w:rPr>
          <w:rFonts w:hint="eastAsia" w:ascii="楷体" w:hAnsi="楷体" w:eastAsia="楷体" w:cs="楷体"/>
          <w:b/>
          <w:bCs/>
          <w:color w:val="auto"/>
          <w:highlight w:val="none"/>
          <w:lang w:eastAsia="zh-CN"/>
        </w:rPr>
        <w:t>优质</w:t>
      </w:r>
      <w:r>
        <w:rPr>
          <w:rFonts w:hint="eastAsia" w:ascii="楷体" w:hAnsi="楷体" w:eastAsia="楷体" w:cs="楷体"/>
          <w:b/>
          <w:bCs/>
          <w:color w:val="auto"/>
          <w:highlight w:val="none"/>
        </w:rPr>
        <w:t>均衡发展。</w:t>
      </w:r>
      <w:r>
        <w:rPr>
          <w:rFonts w:hint="eastAsia" w:ascii="仿宋" w:hAnsi="仿宋" w:eastAsia="仿宋" w:cs="仿宋"/>
          <w:color w:val="auto"/>
          <w:highlight w:val="none"/>
        </w:rPr>
        <w:t>进一步补齐义务教育短板，巩固义务教育成果，均衡配置教育资源，改善办学条件，实现县域内义务教育优质均衡发展。加快义务教育公办学校标准化建设，加强城乡对口支援，全面改善贫困地区、少数民族地区义务教育薄弱学校办学条件，重点完成168所中小学校生活设施和教学设施建设，改善全市10万中小学生的生活学习环境。</w:t>
      </w:r>
      <w:r>
        <w:rPr>
          <w:rFonts w:hint="eastAsia" w:ascii="仿宋" w:hAnsi="仿宋" w:eastAsia="仿宋" w:cs="仿宋"/>
          <w:color w:val="auto"/>
          <w:sz w:val="32"/>
          <w:szCs w:val="32"/>
          <w:highlight w:val="none"/>
          <w:lang w:val="en-US" w:eastAsia="zh-CN"/>
        </w:rPr>
        <w:t>探索学校发展“共同体”和“一校多区”的集团化办学模式，促进教育公平</w:t>
      </w:r>
      <w:r>
        <w:rPr>
          <w:rFonts w:hint="eastAsia" w:ascii="仿宋" w:hAnsi="仿宋" w:eastAsia="仿宋" w:cs="仿宋"/>
          <w:color w:val="auto"/>
          <w:highlight w:val="none"/>
        </w:rPr>
        <w:t>优化农村和城区中小学校布局，完善招生入学机制，逐步消除义务教育择校现象。以校园足球训练为依托，大力发展足球特色校园，争创30所“全国青少年校园足球特色学校”。积极引进足球特色人才，加强青少年儿童足球培养培训，组建规模化、标准化的足球队，积极开展相关赛事。到2025年，小学适龄儿童入学率达100%，初中适龄少年入学率达100%，九年义务教育年巩固率达到99%以上。</w:t>
      </w:r>
    </w:p>
    <w:p w14:paraId="65CDB3E6">
      <w:pPr>
        <w:keepNext w:val="0"/>
        <w:keepLines w:val="0"/>
        <w:pageBreakBefore w:val="0"/>
        <w:widowControl w:val="0"/>
        <w:kinsoku/>
        <w:wordWrap/>
        <w:overflowPunct/>
        <w:topLinePunct w:val="0"/>
        <w:autoSpaceDE/>
        <w:autoSpaceDN/>
        <w:bidi w:val="0"/>
        <w:adjustRightInd/>
        <w:spacing w:line="610" w:lineRule="exact"/>
        <w:ind w:firstLine="643" w:firstLineChars="200"/>
        <w:jc w:val="both"/>
        <w:textAlignment w:val="auto"/>
        <w:rPr>
          <w:rFonts w:hint="eastAsia" w:ascii="仿宋" w:hAnsi="仿宋" w:eastAsia="仿宋" w:cs="仿宋"/>
          <w:b/>
          <w:bCs/>
          <w:color w:val="auto"/>
          <w:highlight w:val="none"/>
        </w:rPr>
      </w:pPr>
      <w:r>
        <w:rPr>
          <w:rFonts w:hint="eastAsia" w:ascii="楷体" w:hAnsi="楷体" w:eastAsia="楷体" w:cs="楷体"/>
          <w:b/>
          <w:bCs/>
          <w:color w:val="auto"/>
          <w:highlight w:val="none"/>
        </w:rPr>
        <w:t>推动高中教育提档升级。</w:t>
      </w:r>
      <w:r>
        <w:rPr>
          <w:rFonts w:hint="eastAsia" w:ascii="仿宋" w:hAnsi="仿宋" w:eastAsia="仿宋" w:cs="仿宋"/>
          <w:color w:val="auto"/>
          <w:highlight w:val="none"/>
        </w:rPr>
        <w:t>实施普及普通高中计划，恢复五中、六中、七中三所农村学校高中部，加强高中学校标准化建设，</w:t>
      </w:r>
      <w:r>
        <w:rPr>
          <w:rFonts w:hint="eastAsia" w:ascii="仿宋" w:hAnsi="仿宋" w:eastAsia="仿宋" w:cs="仿宋"/>
          <w:color w:val="auto"/>
          <w:highlight w:val="none"/>
          <w:lang w:eastAsia="zh-CN"/>
        </w:rPr>
        <w:t>实施</w:t>
      </w:r>
      <w:r>
        <w:rPr>
          <w:rFonts w:hint="eastAsia" w:ascii="仿宋" w:hAnsi="仿宋" w:eastAsia="仿宋" w:cs="仿宋"/>
          <w:color w:val="auto"/>
          <w:sz w:val="32"/>
          <w:szCs w:val="32"/>
          <w:highlight w:val="none"/>
          <w:u w:val="none"/>
        </w:rPr>
        <w:t>武冈一中（湖南师大附属武冈实验中学）</w:t>
      </w:r>
      <w:r>
        <w:rPr>
          <w:rFonts w:hint="eastAsia" w:ascii="仿宋" w:hAnsi="仿宋" w:eastAsia="仿宋" w:cs="仿宋"/>
          <w:color w:val="auto"/>
          <w:sz w:val="32"/>
          <w:szCs w:val="32"/>
          <w:highlight w:val="none"/>
          <w:u w:val="none"/>
          <w:lang w:eastAsia="zh-CN"/>
        </w:rPr>
        <w:t>、</w:t>
      </w:r>
      <w:r>
        <w:rPr>
          <w:rFonts w:hint="eastAsia" w:ascii="仿宋" w:hAnsi="仿宋" w:eastAsia="仿宋" w:cs="仿宋"/>
          <w:color w:val="auto"/>
          <w:highlight w:val="none"/>
        </w:rPr>
        <w:t>武冈二中、武冈十中</w:t>
      </w:r>
      <w:r>
        <w:rPr>
          <w:rFonts w:hint="eastAsia" w:ascii="仿宋" w:hAnsi="仿宋" w:eastAsia="仿宋" w:cs="仿宋"/>
          <w:color w:val="auto"/>
          <w:highlight w:val="none"/>
          <w:lang w:eastAsia="zh-CN"/>
        </w:rPr>
        <w:t>教育水平</w:t>
      </w:r>
      <w:r>
        <w:rPr>
          <w:rFonts w:hint="eastAsia" w:ascii="仿宋" w:hAnsi="仿宋" w:eastAsia="仿宋" w:cs="仿宋"/>
          <w:color w:val="auto"/>
          <w:highlight w:val="none"/>
        </w:rPr>
        <w:t>提质</w:t>
      </w:r>
      <w:r>
        <w:rPr>
          <w:rFonts w:hint="eastAsia" w:ascii="仿宋" w:hAnsi="仿宋" w:eastAsia="仿宋" w:cs="仿宋"/>
          <w:color w:val="auto"/>
          <w:highlight w:val="none"/>
          <w:lang w:eastAsia="zh-CN"/>
        </w:rPr>
        <w:t>工程</w:t>
      </w:r>
      <w:r>
        <w:rPr>
          <w:rFonts w:hint="eastAsia" w:ascii="仿宋" w:hAnsi="仿宋" w:eastAsia="仿宋" w:cs="仿宋"/>
          <w:color w:val="auto"/>
          <w:highlight w:val="none"/>
        </w:rPr>
        <w:t>，打造三大优质高中教育集团，完善教学配套设备设施，提高教学质量。力争到2025年，高中教育发展水平处于全省前列，初中毕业生升学率达到95%以上。</w:t>
      </w:r>
    </w:p>
    <w:p w14:paraId="15D15D05">
      <w:pPr>
        <w:keepNext w:val="0"/>
        <w:keepLines w:val="0"/>
        <w:pageBreakBefore w:val="0"/>
        <w:widowControl w:val="0"/>
        <w:kinsoku/>
        <w:wordWrap/>
        <w:overflowPunct/>
        <w:topLinePunct w:val="0"/>
        <w:autoSpaceDE/>
        <w:autoSpaceDN/>
        <w:bidi w:val="0"/>
        <w:adjustRightInd/>
        <w:snapToGrid w:val="0"/>
        <w:spacing w:line="610" w:lineRule="exact"/>
        <w:ind w:left="0" w:firstLine="643" w:firstLineChars="200"/>
        <w:jc w:val="both"/>
        <w:textAlignment w:val="auto"/>
        <w:outlineLvl w:val="9"/>
        <w:rPr>
          <w:rFonts w:hint="eastAsia" w:ascii="仿宋" w:hAnsi="仿宋" w:eastAsia="仿宋" w:cs="仿宋"/>
          <w:color w:val="auto"/>
          <w:highlight w:val="none"/>
          <w:lang w:eastAsia="zh-CN"/>
        </w:rPr>
      </w:pPr>
      <w:r>
        <w:rPr>
          <w:rFonts w:hint="eastAsia" w:ascii="楷体" w:hAnsi="楷体" w:eastAsia="楷体" w:cs="楷体"/>
          <w:b/>
          <w:bCs/>
          <w:color w:val="auto"/>
          <w:highlight w:val="none"/>
        </w:rPr>
        <w:t>推动职业教育</w:t>
      </w:r>
      <w:r>
        <w:rPr>
          <w:rFonts w:hint="eastAsia" w:ascii="楷体" w:hAnsi="楷体" w:eastAsia="楷体" w:cs="楷体"/>
          <w:b/>
          <w:bCs/>
          <w:color w:val="auto"/>
          <w:highlight w:val="none"/>
          <w:lang w:eastAsia="zh-CN"/>
        </w:rPr>
        <w:t>发展</w:t>
      </w:r>
      <w:r>
        <w:rPr>
          <w:rFonts w:hint="eastAsia" w:ascii="楷体" w:hAnsi="楷体" w:eastAsia="楷体" w:cs="楷体"/>
          <w:b/>
          <w:bCs/>
          <w:color w:val="auto"/>
          <w:highlight w:val="none"/>
        </w:rPr>
        <w:t>。</w:t>
      </w:r>
      <w:r>
        <w:rPr>
          <w:rFonts w:hint="eastAsia" w:ascii="仿宋" w:hAnsi="仿宋" w:eastAsia="仿宋" w:cs="仿宋"/>
          <w:color w:val="auto"/>
          <w:sz w:val="32"/>
          <w:szCs w:val="32"/>
          <w:highlight w:val="none"/>
          <w:lang w:val="en-US" w:eastAsia="zh-CN"/>
        </w:rPr>
        <w:t>引进高新技术人才，建设“双师型”教师队伍，推进产教协同育人，提升现有中职学校办学水平，发挥示范性职教中心功能，以职业中专为龙头，整合全市职业教育资源，筹建湘西南职业技术学院。建设武冈市技能培训中心，争取3-5家省级产教融合型企业落地武冈，</w:t>
      </w:r>
      <w:r>
        <w:rPr>
          <w:rFonts w:hint="eastAsia" w:ascii="仿宋" w:hAnsi="仿宋" w:eastAsia="仿宋" w:cs="仿宋"/>
          <w:color w:val="auto"/>
          <w:highlight w:val="none"/>
          <w:lang w:eastAsia="zh-CN"/>
        </w:rPr>
        <w:t>建成湘西南最大的技能人才培训基地。</w:t>
      </w:r>
    </w:p>
    <w:p w14:paraId="0E710101">
      <w:pPr>
        <w:keepNext w:val="0"/>
        <w:keepLines w:val="0"/>
        <w:pageBreakBefore w:val="0"/>
        <w:widowControl w:val="0"/>
        <w:kinsoku/>
        <w:wordWrap/>
        <w:overflowPunct/>
        <w:topLinePunct w:val="0"/>
        <w:autoSpaceDE/>
        <w:autoSpaceDN/>
        <w:bidi w:val="0"/>
        <w:adjustRightInd/>
        <w:spacing w:line="610" w:lineRule="exact"/>
        <w:ind w:firstLine="643" w:firstLineChars="200"/>
        <w:jc w:val="both"/>
        <w:textAlignment w:val="auto"/>
        <w:rPr>
          <w:color w:val="auto"/>
          <w:highlight w:val="none"/>
        </w:rPr>
      </w:pPr>
      <w:r>
        <w:rPr>
          <w:rFonts w:hint="eastAsia" w:ascii="楷体" w:hAnsi="楷体" w:eastAsia="楷体" w:cs="楷体"/>
          <w:b/>
          <w:bCs/>
          <w:color w:val="auto"/>
          <w:highlight w:val="none"/>
        </w:rPr>
        <w:t>抓好特殊教育发展。</w:t>
      </w:r>
      <w:r>
        <w:rPr>
          <w:rFonts w:hint="eastAsia" w:ascii="仿宋" w:hAnsi="仿宋" w:eastAsia="仿宋" w:cs="仿宋"/>
          <w:color w:val="auto"/>
          <w:highlight w:val="none"/>
        </w:rPr>
        <w:t>加强专业化特教教师队伍建设，充实特教教师力量，继续增加特殊教育的经费投入，提高特教教师的地位和待遇。加强普特结合，建立以普通学校随班就读为主体、以特殊教育学校为骨干、以送教上门为补充的教育安置方式，投入5000万元，完成标准化特殊教育学校建设和全市特教网络建设，力争让每一个残疾少年儿童都能接受合适的教育。</w:t>
      </w:r>
    </w:p>
    <w:p w14:paraId="4D392CCC">
      <w:pPr>
        <w:keepNext w:val="0"/>
        <w:keepLines w:val="0"/>
        <w:pageBreakBefore w:val="0"/>
        <w:widowControl w:val="0"/>
        <w:kinsoku/>
        <w:wordWrap/>
        <w:overflowPunct/>
        <w:topLinePunct w:val="0"/>
        <w:autoSpaceDE/>
        <w:autoSpaceDN/>
        <w:bidi w:val="0"/>
        <w:adjustRightInd/>
        <w:snapToGrid/>
        <w:spacing w:before="0" w:after="157" w:afterLines="50" w:line="610" w:lineRule="exact"/>
        <w:ind w:firstLine="643" w:firstLineChars="200"/>
        <w:jc w:val="both"/>
        <w:textAlignment w:val="auto"/>
        <w:rPr>
          <w:color w:val="auto"/>
          <w:highlight w:val="none"/>
        </w:rPr>
      </w:pPr>
      <w:r>
        <w:rPr>
          <w:rFonts w:hint="eastAsia" w:ascii="楷体" w:hAnsi="楷体" w:eastAsia="楷体" w:cs="楷体"/>
          <w:b/>
          <w:bCs/>
          <w:color w:val="auto"/>
          <w:highlight w:val="none"/>
        </w:rPr>
        <w:t>增强教育发展保障。</w:t>
      </w:r>
      <w:r>
        <w:rPr>
          <w:rFonts w:hint="eastAsia" w:ascii="仿宋" w:hAnsi="仿宋" w:eastAsia="仿宋" w:cs="仿宋"/>
          <w:b w:val="0"/>
          <w:bCs w:val="0"/>
          <w:color w:val="auto"/>
          <w:spacing w:val="0"/>
          <w:sz w:val="32"/>
          <w:szCs w:val="32"/>
          <w:highlight w:val="none"/>
          <w:lang w:val="en-US" w:eastAsia="zh-CN"/>
        </w:rPr>
        <w:t>实施“名师”“名校长”</w:t>
      </w:r>
      <w:r>
        <w:rPr>
          <w:rFonts w:hint="eastAsia" w:ascii="仿宋" w:hAnsi="仿宋" w:eastAsia="仿宋" w:cs="仿宋"/>
          <w:color w:val="auto"/>
          <w:spacing w:val="0"/>
          <w:sz w:val="32"/>
          <w:szCs w:val="32"/>
          <w:highlight w:val="none"/>
          <w:lang w:eastAsia="zh-CN"/>
        </w:rPr>
        <w:t>和“基础教育质量整体提升”工程，</w:t>
      </w:r>
      <w:r>
        <w:rPr>
          <w:rFonts w:hint="eastAsia" w:ascii="仿宋" w:hAnsi="仿宋" w:eastAsia="仿宋" w:cs="仿宋"/>
          <w:color w:val="auto"/>
          <w:spacing w:val="0"/>
          <w:sz w:val="32"/>
          <w:szCs w:val="32"/>
          <w:highlight w:val="none"/>
          <w:lang w:val="en-US" w:eastAsia="zh-CN"/>
        </w:rPr>
        <w:t>培养德智体美劳全面发展的社会主义建设者和接班人。</w:t>
      </w:r>
      <w:r>
        <w:rPr>
          <w:rFonts w:hint="eastAsia" w:ascii="仿宋" w:hAnsi="仿宋" w:eastAsia="仿宋" w:cs="仿宋"/>
          <w:color w:val="auto"/>
          <w:highlight w:val="none"/>
        </w:rPr>
        <w:t>培育师资力量，加强与湖南师大、长沙学院合作，培养一批本土教育家，到2025年，培养特级教师36人，市级学科带头人、骨干教师800人。全面推行中小学职称制度改革，提高教师地位待遇，推进名师优师公寓、农村学校教师周转宿舍建设，吸引优秀人才长期从教，终身从教，重点对长</w:t>
      </w:r>
      <w:r>
        <w:rPr>
          <w:rFonts w:hint="eastAsia" w:ascii="仿宋" w:hAnsi="仿宋" w:eastAsia="仿宋" w:cs="仿宋"/>
          <w:color w:val="auto"/>
          <w:spacing w:val="6"/>
          <w:highlight w:val="none"/>
        </w:rPr>
        <w:t>期在农村基层和高寒偏远地区工作的教师，在工资、职务职称等方面实行倾斜政策。构建覆盖城乡的家庭教育指导服务体系，健全学校家庭社会协同育人机制。</w:t>
      </w:r>
      <w:r>
        <w:rPr>
          <w:rFonts w:hint="eastAsia" w:ascii="仿宋" w:hAnsi="仿宋" w:eastAsia="仿宋" w:cs="仿宋"/>
          <w:b w:val="0"/>
          <w:bCs w:val="0"/>
          <w:color w:val="000000" w:themeColor="text1"/>
          <w:highlight w:val="none"/>
          <w:lang w:val="en-US" w:eastAsia="zh-CN"/>
          <w14:textFill>
            <w14:solidFill>
              <w14:schemeClr w14:val="tx1"/>
            </w14:solidFill>
          </w14:textFill>
        </w:rPr>
        <w:t>推进健康知识教育，</w:t>
      </w:r>
      <w:r>
        <w:rPr>
          <w:rFonts w:hint="eastAsia" w:ascii="仿宋" w:hAnsi="仿宋" w:eastAsia="仿宋" w:cs="仿宋"/>
          <w:color w:val="auto"/>
          <w:spacing w:val="6"/>
          <w:highlight w:val="none"/>
        </w:rPr>
        <w:t>营造良好成长环境，维护青少年发展权益，提高青少年身体素质大力普及青少年体育活动，培育青少年体育爱好和运动技能。推进中小学心理健康教育，有效化解儿童和青少年心理健康问题。重视青少年身体素质和心理健康教育，加大校园安保</w:t>
      </w:r>
      <w:r>
        <w:rPr>
          <w:rFonts w:hint="eastAsia" w:ascii="仿宋" w:hAnsi="仿宋" w:eastAsia="仿宋" w:cs="仿宋"/>
          <w:color w:val="auto"/>
          <w:spacing w:val="6"/>
          <w:highlight w:val="none"/>
          <w:lang w:eastAsia="zh-CN"/>
        </w:rPr>
        <w:t>力度</w:t>
      </w:r>
      <w:r>
        <w:rPr>
          <w:rFonts w:hint="eastAsia" w:ascii="仿宋" w:hAnsi="仿宋" w:eastAsia="仿宋" w:cs="仿宋"/>
          <w:color w:val="auto"/>
          <w:spacing w:val="6"/>
          <w:highlight w:val="none"/>
        </w:rPr>
        <w:t>，促进学生健康发展。推进</w:t>
      </w:r>
      <w:r>
        <w:rPr>
          <w:rFonts w:hint="eastAsia" w:ascii="仿宋" w:hAnsi="仿宋" w:eastAsia="仿宋" w:cs="仿宋"/>
          <w:color w:val="auto"/>
          <w:spacing w:val="6"/>
          <w:highlight w:val="none"/>
          <w:lang w:eastAsia="zh-CN"/>
        </w:rPr>
        <w:t>教育</w:t>
      </w:r>
      <w:r>
        <w:rPr>
          <w:rFonts w:hint="eastAsia" w:ascii="仿宋" w:hAnsi="仿宋" w:eastAsia="仿宋" w:cs="仿宋"/>
          <w:color w:val="auto"/>
          <w:spacing w:val="6"/>
          <w:highlight w:val="none"/>
        </w:rPr>
        <w:t>信息化项目</w:t>
      </w:r>
      <w:r>
        <w:rPr>
          <w:rFonts w:hint="eastAsia" w:ascii="仿宋" w:hAnsi="仿宋" w:eastAsia="仿宋" w:cs="仿宋"/>
          <w:color w:val="auto"/>
          <w:highlight w:val="none"/>
        </w:rPr>
        <w:t>建设，积极探索利用人工智能、互联网开展远程教育，完善终身学习体系，建设学习型社会。坚持公办教育为主，</w:t>
      </w:r>
      <w:r>
        <w:rPr>
          <w:rFonts w:hint="eastAsia" w:ascii="仿宋" w:hAnsi="仿宋" w:eastAsia="仿宋" w:cs="仿宋"/>
          <w:color w:val="auto"/>
          <w:sz w:val="32"/>
          <w:szCs w:val="32"/>
          <w:highlight w:val="none"/>
        </w:rPr>
        <w:t>支持和规范民办教育发展。</w:t>
      </w:r>
      <w:r>
        <w:rPr>
          <w:rFonts w:hint="eastAsia" w:ascii="仿宋" w:hAnsi="仿宋" w:eastAsia="仿宋" w:cs="仿宋"/>
          <w:color w:val="auto"/>
          <w:highlight w:val="none"/>
        </w:rPr>
        <w:t>规范校外培训机构。加强城镇居住区配套教育设施建设，实行小区开发配套义务教育学校规定，开展城镇小区配套普惠幼儿园治理工作，着力解决“入园难”“入园贵”问题。</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4221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7C2F26E7">
            <w:pPr>
              <w:pageBreakBefore w:val="0"/>
              <w:widowControl w:val="0"/>
              <w:kinsoku/>
              <w:wordWrap/>
              <w:overflowPunct/>
              <w:bidi w:val="0"/>
              <w:spacing w:line="420" w:lineRule="auto"/>
              <w:jc w:val="center"/>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专栏</w:t>
            </w:r>
            <w:r>
              <w:rPr>
                <w:rFonts w:hint="eastAsia" w:ascii="宋体" w:hAnsi="宋体" w:eastAsia="宋体" w:cs="宋体"/>
                <w:b/>
                <w:bCs w:val="0"/>
                <w:color w:val="auto"/>
                <w:kern w:val="0"/>
                <w:sz w:val="28"/>
                <w:szCs w:val="28"/>
                <w:highlight w:val="none"/>
                <w:lang w:val="en-US" w:eastAsia="zh-CN"/>
              </w:rPr>
              <w:t>21</w:t>
            </w:r>
            <w:r>
              <w:rPr>
                <w:rFonts w:hint="eastAsia" w:ascii="宋体" w:hAnsi="宋体" w:eastAsia="宋体" w:cs="宋体"/>
                <w:b/>
                <w:bCs w:val="0"/>
                <w:color w:val="auto"/>
                <w:kern w:val="0"/>
                <w:sz w:val="28"/>
                <w:szCs w:val="28"/>
                <w:highlight w:val="none"/>
              </w:rPr>
              <w:t>：教育发展重点工程</w:t>
            </w:r>
          </w:p>
        </w:tc>
      </w:tr>
      <w:tr w14:paraId="060F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1872C529">
            <w:pPr>
              <w:pageBreakBefore w:val="0"/>
              <w:wordWrap/>
              <w:bidi w:val="0"/>
              <w:spacing w:line="500" w:lineRule="exact"/>
              <w:ind w:firstLine="562" w:firstLineChars="200"/>
              <w:rPr>
                <w:rFonts w:hint="default" w:ascii="仿宋" w:hAnsi="仿宋" w:eastAsia="仿宋" w:cs="仿宋"/>
                <w:color w:val="auto"/>
                <w:kern w:val="0"/>
                <w:sz w:val="28"/>
                <w:szCs w:val="28"/>
                <w:highlight w:val="none"/>
                <w:u w:val="single"/>
                <w:lang w:val="en-US" w:eastAsia="zh-CN"/>
              </w:rPr>
            </w:pPr>
            <w:r>
              <w:rPr>
                <w:rFonts w:hint="eastAsia" w:ascii="仿宋" w:hAnsi="仿宋" w:eastAsia="仿宋" w:cs="仿宋"/>
                <w:b/>
                <w:bCs/>
                <w:color w:val="auto"/>
                <w:kern w:val="0"/>
                <w:sz w:val="28"/>
                <w:szCs w:val="28"/>
                <w:highlight w:val="none"/>
              </w:rPr>
              <w:t>1.学前教育：</w:t>
            </w:r>
            <w:r>
              <w:rPr>
                <w:rFonts w:hint="eastAsia" w:ascii="仿宋" w:hAnsi="仿宋" w:eastAsia="仿宋" w:cs="仿宋"/>
                <w:b w:val="0"/>
                <w:bCs w:val="0"/>
                <w:color w:val="auto"/>
                <w:kern w:val="0"/>
                <w:sz w:val="28"/>
                <w:szCs w:val="28"/>
                <w:highlight w:val="none"/>
                <w:lang w:eastAsia="zh-CN"/>
              </w:rPr>
              <w:t>新建（改扩建）</w:t>
            </w:r>
            <w:r>
              <w:rPr>
                <w:rFonts w:hint="eastAsia" w:ascii="仿宋" w:hAnsi="仿宋" w:eastAsia="仿宋" w:cs="仿宋"/>
                <w:b w:val="0"/>
                <w:bCs w:val="0"/>
                <w:color w:val="auto"/>
                <w:kern w:val="0"/>
                <w:sz w:val="28"/>
                <w:szCs w:val="28"/>
                <w:highlight w:val="none"/>
                <w:lang w:val="en-US" w:eastAsia="zh-CN"/>
              </w:rPr>
              <w:t>10所公办幼儿园。</w:t>
            </w:r>
          </w:p>
          <w:p w14:paraId="2875E59A">
            <w:pPr>
              <w:pageBreakBefore w:val="0"/>
              <w:wordWrap/>
              <w:bidi w:val="0"/>
              <w:spacing w:line="500" w:lineRule="exact"/>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2.义务教育：</w:t>
            </w:r>
            <w:r>
              <w:rPr>
                <w:rFonts w:hint="eastAsia" w:ascii="仿宋" w:hAnsi="仿宋" w:eastAsia="仿宋" w:cs="仿宋"/>
                <w:color w:val="auto"/>
                <w:kern w:val="0"/>
                <w:sz w:val="28"/>
                <w:szCs w:val="28"/>
                <w:highlight w:val="none"/>
              </w:rPr>
              <w:t>全市168所中小学校学生宿舍、食堂等生活设施</w:t>
            </w:r>
            <w:r>
              <w:rPr>
                <w:rFonts w:hint="eastAsia" w:ascii="仿宋" w:hAnsi="仿宋" w:eastAsia="仿宋" w:cs="仿宋"/>
                <w:color w:val="auto"/>
                <w:kern w:val="0"/>
                <w:sz w:val="28"/>
                <w:szCs w:val="28"/>
                <w:highlight w:val="none"/>
                <w:lang w:eastAsia="zh-CN"/>
              </w:rPr>
              <w:t>完善、体育活动场所</w:t>
            </w:r>
            <w:r>
              <w:rPr>
                <w:rFonts w:hint="eastAsia" w:ascii="仿宋" w:hAnsi="仿宋" w:eastAsia="仿宋" w:cs="仿宋"/>
                <w:color w:val="auto"/>
                <w:kern w:val="0"/>
                <w:sz w:val="28"/>
                <w:szCs w:val="28"/>
                <w:highlight w:val="none"/>
              </w:rPr>
              <w:t>、教学仪器、图书及实验室改造，特殊学校扩建。新建师大</w:t>
            </w:r>
            <w:r>
              <w:rPr>
                <w:rFonts w:hint="eastAsia" w:ascii="仿宋" w:hAnsi="仿宋" w:eastAsia="仿宋" w:cs="仿宋"/>
                <w:color w:val="auto"/>
                <w:kern w:val="0"/>
                <w:sz w:val="28"/>
                <w:szCs w:val="28"/>
                <w:highlight w:val="none"/>
                <w:lang w:eastAsia="zh-CN"/>
              </w:rPr>
              <w:t>武冈</w:t>
            </w:r>
            <w:r>
              <w:rPr>
                <w:rFonts w:hint="eastAsia" w:ascii="仿宋" w:hAnsi="仿宋" w:eastAsia="仿宋" w:cs="仿宋"/>
                <w:color w:val="auto"/>
                <w:kern w:val="0"/>
                <w:sz w:val="28"/>
                <w:szCs w:val="28"/>
                <w:highlight w:val="none"/>
              </w:rPr>
              <w:t>附小（武冈实验第三小学）、</w:t>
            </w:r>
            <w:r>
              <w:rPr>
                <w:rFonts w:hint="eastAsia" w:ascii="仿宋" w:hAnsi="仿宋" w:eastAsia="仿宋" w:cs="仿宋"/>
                <w:color w:val="auto"/>
                <w:kern w:val="0"/>
                <w:sz w:val="28"/>
                <w:szCs w:val="28"/>
                <w:highlight w:val="none"/>
                <w:lang w:eastAsia="zh-CN"/>
              </w:rPr>
              <w:t>幸福芙蓉学校等四所</w:t>
            </w:r>
            <w:r>
              <w:rPr>
                <w:rFonts w:hint="eastAsia" w:ascii="仿宋" w:hAnsi="仿宋" w:eastAsia="仿宋" w:cs="仿宋"/>
                <w:color w:val="auto"/>
                <w:kern w:val="0"/>
                <w:sz w:val="28"/>
                <w:szCs w:val="28"/>
                <w:highlight w:val="none"/>
              </w:rPr>
              <w:t>学校及整体搬迁安乐中学项目。</w:t>
            </w:r>
          </w:p>
          <w:p w14:paraId="2F5FC9D4">
            <w:pPr>
              <w:pageBreakBefore w:val="0"/>
              <w:wordWrap/>
              <w:bidi w:val="0"/>
              <w:spacing w:line="500" w:lineRule="exact"/>
              <w:ind w:firstLine="562" w:firstLineChars="200"/>
              <w:rPr>
                <w:rFonts w:hint="eastAsia" w:ascii="仿宋" w:hAnsi="仿宋" w:eastAsia="仿宋" w:cs="仿宋"/>
                <w:color w:val="auto"/>
                <w:kern w:val="0"/>
                <w:sz w:val="28"/>
                <w:szCs w:val="28"/>
                <w:highlight w:val="none"/>
                <w:u w:val="single"/>
                <w:lang w:eastAsia="zh-CN"/>
              </w:rPr>
            </w:pPr>
            <w:r>
              <w:rPr>
                <w:rFonts w:hint="eastAsia" w:ascii="仿宋" w:hAnsi="仿宋" w:eastAsia="仿宋" w:cs="仿宋"/>
                <w:b/>
                <w:bCs/>
                <w:color w:val="auto"/>
                <w:kern w:val="0"/>
                <w:sz w:val="28"/>
                <w:szCs w:val="28"/>
                <w:highlight w:val="none"/>
              </w:rPr>
              <w:t>3.高中教育：</w:t>
            </w:r>
            <w:r>
              <w:rPr>
                <w:rFonts w:hint="eastAsia" w:ascii="仿宋" w:hAnsi="仿宋" w:eastAsia="仿宋" w:cs="仿宋"/>
                <w:color w:val="auto"/>
                <w:kern w:val="0"/>
                <w:sz w:val="28"/>
                <w:szCs w:val="28"/>
                <w:highlight w:val="none"/>
              </w:rPr>
              <w:t>普通高中提质改造，</w:t>
            </w:r>
            <w:r>
              <w:rPr>
                <w:rFonts w:hint="eastAsia" w:ascii="仿宋" w:hAnsi="仿宋" w:eastAsia="仿宋" w:cs="仿宋"/>
                <w:color w:val="auto"/>
                <w:kern w:val="0"/>
                <w:sz w:val="28"/>
                <w:szCs w:val="28"/>
                <w:highlight w:val="none"/>
                <w:lang w:eastAsia="zh-CN"/>
              </w:rPr>
              <w:t>恢复三所农村高中学校。</w:t>
            </w:r>
          </w:p>
          <w:p w14:paraId="46C52949">
            <w:pPr>
              <w:pageBreakBefore w:val="0"/>
              <w:wordWrap/>
              <w:bidi w:val="0"/>
              <w:spacing w:line="500" w:lineRule="exact"/>
              <w:ind w:firstLine="562" w:firstLineChars="200"/>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4.职业教育：</w:t>
            </w:r>
            <w:r>
              <w:rPr>
                <w:rFonts w:hint="eastAsia" w:ascii="仿宋" w:hAnsi="仿宋" w:eastAsia="仿宋" w:cs="仿宋"/>
                <w:color w:val="auto"/>
                <w:kern w:val="0"/>
                <w:sz w:val="28"/>
                <w:szCs w:val="28"/>
                <w:highlight w:val="none"/>
              </w:rPr>
              <w:t>湘西南职业技术学院、高级技工学校建设。</w:t>
            </w:r>
          </w:p>
          <w:p w14:paraId="6B07EB39">
            <w:pPr>
              <w:keepNext w:val="0"/>
              <w:keepLines w:val="0"/>
              <w:pageBreakBefore w:val="0"/>
              <w:widowControl w:val="0"/>
              <w:kinsoku/>
              <w:wordWrap/>
              <w:overflowPunct/>
              <w:topLinePunct w:val="0"/>
              <w:autoSpaceDE/>
              <w:autoSpaceDN/>
              <w:bidi w:val="0"/>
              <w:adjustRightInd/>
              <w:snapToGrid/>
              <w:spacing w:line="500" w:lineRule="exact"/>
              <w:ind w:firstLine="562" w:firstLineChars="200"/>
              <w:jc w:val="both"/>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b/>
                <w:bCs/>
                <w:color w:val="auto"/>
                <w:kern w:val="0"/>
                <w:sz w:val="28"/>
                <w:szCs w:val="28"/>
                <w:highlight w:val="none"/>
              </w:rPr>
              <w:t>5.教育保障：</w:t>
            </w:r>
            <w:r>
              <w:rPr>
                <w:rFonts w:hint="eastAsia" w:ascii="仿宋" w:hAnsi="仿宋" w:eastAsia="仿宋" w:cs="仿宋"/>
                <w:color w:val="auto"/>
                <w:kern w:val="0"/>
                <w:sz w:val="28"/>
                <w:szCs w:val="28"/>
                <w:highlight w:val="none"/>
              </w:rPr>
              <w:t>教育信息化、名师优师公寓、农村学校教师周转房、青少年活动中心（社会主义文明实践培养中心）。</w:t>
            </w:r>
          </w:p>
        </w:tc>
      </w:tr>
    </w:tbl>
    <w:p w14:paraId="3C805E21">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highlight w:val="none"/>
          <w:lang w:val="en-US" w:eastAsia="zh-CN"/>
        </w:rPr>
      </w:pPr>
      <w:bookmarkStart w:id="130" w:name="_Toc10533"/>
      <w:r>
        <w:rPr>
          <w:rFonts w:hint="eastAsia" w:ascii="黑体" w:hAnsi="黑体" w:eastAsia="黑体" w:cs="黑体"/>
          <w:b w:val="0"/>
          <w:bCs/>
          <w:color w:val="auto"/>
          <w:kern w:val="44"/>
          <w:sz w:val="32"/>
          <w:szCs w:val="32"/>
          <w:highlight w:val="none"/>
          <w:lang w:val="en-US" w:eastAsia="zh-CN" w:bidi="ar-SA"/>
        </w:rPr>
        <w:t>第四节 完善社会保障体系</w:t>
      </w:r>
      <w:bookmarkEnd w:id="130"/>
    </w:p>
    <w:p w14:paraId="4805298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坚持和完善统筹城乡的民生保障制度，推动社会保障从制度全覆盖迈向人员全覆盖，全面建成覆盖全民、城乡统筹、权责清晰、保障适度、可持续的多层次社会保障体系。</w:t>
      </w:r>
    </w:p>
    <w:p w14:paraId="72D7FDFB">
      <w:pPr>
        <w:keepNext w:val="0"/>
        <w:keepLines w:val="0"/>
        <w:pageBreakBefore w:val="0"/>
        <w:widowControl w:val="0"/>
        <w:kinsoku/>
        <w:wordWrap/>
        <w:overflowPunct/>
        <w:topLinePunct w:val="0"/>
        <w:autoSpaceDE/>
        <w:autoSpaceDN/>
        <w:bidi w:val="0"/>
        <w:adjustRightInd/>
        <w:snapToGrid/>
        <w:spacing w:line="600" w:lineRule="exact"/>
        <w:ind w:firstLine="619" w:firstLineChars="200"/>
        <w:jc w:val="both"/>
        <w:textAlignment w:val="auto"/>
        <w:rPr>
          <w:rFonts w:hint="eastAsia" w:ascii="仿宋" w:hAnsi="仿宋" w:eastAsia="仿宋" w:cs="仿宋"/>
          <w:b/>
          <w:bCs/>
          <w:color w:val="auto"/>
          <w:highlight w:val="none"/>
          <w:lang w:eastAsia="zh-CN"/>
        </w:rPr>
      </w:pPr>
      <w:r>
        <w:rPr>
          <w:rFonts w:hint="eastAsia" w:ascii="楷体" w:hAnsi="楷体" w:eastAsia="楷体" w:cs="楷体"/>
          <w:b/>
          <w:bCs/>
          <w:color w:val="auto"/>
          <w:spacing w:val="-6"/>
          <w:highlight w:val="none"/>
          <w:lang w:eastAsia="zh-CN"/>
        </w:rPr>
        <w:t>提高社会保障水平</w:t>
      </w:r>
      <w:r>
        <w:rPr>
          <w:rFonts w:hint="eastAsia" w:ascii="楷体" w:hAnsi="楷体" w:eastAsia="楷体" w:cs="楷体"/>
          <w:b/>
          <w:bCs/>
          <w:color w:val="auto"/>
          <w:spacing w:val="-6"/>
          <w:highlight w:val="none"/>
        </w:rPr>
        <w:t>。</w:t>
      </w:r>
      <w:r>
        <w:rPr>
          <w:rFonts w:hint="eastAsia" w:ascii="仿宋" w:hAnsi="仿宋" w:eastAsia="仿宋" w:cs="仿宋"/>
          <w:color w:val="auto"/>
          <w:spacing w:val="-6"/>
          <w:highlight w:val="none"/>
        </w:rPr>
        <w:t>完善基本养老保险制度，基本实现法定人群全覆盖，健全基本养老金合理调整机制，发展多层次、多支柱养老保险体系。统筹完善医疗、失业、工伤保险制度，稳步提高各项社会保障待遇标准，扩大城乡社会保险覆盖面，做好基本医疗、大病保险与医疗救助政策衔接，全面落实医疗报销“一站式”结算服务。</w:t>
      </w:r>
      <w:r>
        <w:rPr>
          <w:rFonts w:hint="eastAsia" w:ascii="仿宋" w:hAnsi="仿宋" w:eastAsia="仿宋" w:cs="仿宋"/>
          <w:color w:val="auto"/>
          <w:spacing w:val="-6"/>
          <w:highlight w:val="none"/>
          <w:lang w:eastAsia="zh-CN"/>
        </w:rPr>
        <w:t>落实异地医保结算，</w:t>
      </w:r>
      <w:r>
        <w:rPr>
          <w:rFonts w:hint="eastAsia" w:ascii="仿宋" w:hAnsi="仿宋" w:eastAsia="仿宋" w:cs="仿宋"/>
          <w:color w:val="auto"/>
          <w:spacing w:val="-6"/>
          <w:highlight w:val="none"/>
        </w:rPr>
        <w:t>推进长期护理保险制度，积极发展商业医疗保险，加大医疗保险基金监管力</w:t>
      </w:r>
      <w:r>
        <w:rPr>
          <w:rFonts w:hint="eastAsia" w:ascii="仿宋" w:hAnsi="仿宋" w:eastAsia="仿宋" w:cs="仿宋"/>
          <w:color w:val="auto"/>
          <w:highlight w:val="none"/>
        </w:rPr>
        <w:t>度，提升管理水平，严厉打击</w:t>
      </w:r>
      <w:r>
        <w:rPr>
          <w:rFonts w:hint="eastAsia" w:ascii="仿宋" w:hAnsi="仿宋" w:eastAsia="仿宋" w:cs="仿宋"/>
          <w:color w:val="auto"/>
          <w:highlight w:val="none"/>
          <w:lang w:eastAsia="zh-CN"/>
        </w:rPr>
        <w:t>各类</w:t>
      </w:r>
      <w:r>
        <w:rPr>
          <w:rFonts w:hint="eastAsia" w:ascii="仿宋" w:hAnsi="仿宋" w:eastAsia="仿宋" w:cs="仿宋"/>
          <w:color w:val="auto"/>
          <w:highlight w:val="none"/>
        </w:rPr>
        <w:t>骗保行为，确保</w:t>
      </w:r>
      <w:r>
        <w:rPr>
          <w:rFonts w:hint="eastAsia" w:ascii="仿宋" w:hAnsi="仿宋" w:eastAsia="仿宋" w:cs="仿宋"/>
          <w:color w:val="auto"/>
          <w:highlight w:val="none"/>
          <w:lang w:eastAsia="zh-CN"/>
        </w:rPr>
        <w:t>医疗</w:t>
      </w:r>
      <w:r>
        <w:rPr>
          <w:rFonts w:hint="eastAsia" w:ascii="仿宋" w:hAnsi="仿宋" w:eastAsia="仿宋" w:cs="仿宋"/>
          <w:color w:val="auto"/>
          <w:highlight w:val="none"/>
        </w:rPr>
        <w:t>保险基金安全</w:t>
      </w:r>
      <w:r>
        <w:rPr>
          <w:rFonts w:hint="eastAsia" w:ascii="仿宋" w:hAnsi="仿宋" w:eastAsia="仿宋" w:cs="仿宋"/>
          <w:color w:val="auto"/>
          <w:highlight w:val="none"/>
          <w:lang w:eastAsia="zh-CN"/>
        </w:rPr>
        <w:t>运行</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逐步落实</w:t>
      </w:r>
      <w:r>
        <w:rPr>
          <w:rFonts w:hint="eastAsia" w:ascii="仿宋" w:hAnsi="仿宋" w:eastAsia="仿宋" w:cs="仿宋"/>
          <w:color w:val="auto"/>
          <w:highlight w:val="none"/>
        </w:rPr>
        <w:t>快递员、网约送餐员等新业态从业人员缴费能力的社会保险政策，完善灵活就业人员社保制度。</w:t>
      </w:r>
      <w:r>
        <w:rPr>
          <w:rFonts w:hint="eastAsia" w:ascii="仿宋" w:hAnsi="仿宋" w:eastAsia="仿宋" w:cs="仿宋"/>
          <w:color w:val="auto"/>
          <w:sz w:val="32"/>
          <w:szCs w:val="32"/>
          <w:highlight w:val="none"/>
        </w:rPr>
        <w:t>加大对弱势群体参加社会保险的资助力度，增强城乡居民持续缴费能力，实现“应保尽保”。</w:t>
      </w:r>
      <w:r>
        <w:rPr>
          <w:rFonts w:hint="eastAsia" w:ascii="仿宋" w:hAnsi="仿宋" w:eastAsia="仿宋" w:cs="仿宋"/>
          <w:color w:val="auto"/>
          <w:highlight w:val="none"/>
        </w:rPr>
        <w:t>到2025年，</w:t>
      </w:r>
      <w:r>
        <w:rPr>
          <w:rFonts w:hint="eastAsia" w:ascii="仿宋" w:hAnsi="仿宋" w:eastAsia="仿宋" w:cs="仿宋"/>
          <w:color w:val="auto"/>
          <w:highlight w:val="none"/>
          <w:lang w:eastAsia="zh-CN"/>
        </w:rPr>
        <w:t>基本养老保险参保率达</w:t>
      </w:r>
      <w:r>
        <w:rPr>
          <w:rFonts w:hint="eastAsia" w:ascii="仿宋" w:hAnsi="仿宋" w:eastAsia="仿宋" w:cs="仿宋"/>
          <w:color w:val="auto"/>
          <w:highlight w:val="none"/>
          <w:lang w:val="en-US" w:eastAsia="zh-CN"/>
        </w:rPr>
        <w:t>100%</w:t>
      </w:r>
      <w:r>
        <w:rPr>
          <w:rFonts w:hint="eastAsia" w:ascii="仿宋" w:hAnsi="仿宋" w:eastAsia="仿宋" w:cs="仿宋"/>
          <w:color w:val="auto"/>
          <w:highlight w:val="none"/>
          <w:lang w:eastAsia="zh-CN"/>
        </w:rPr>
        <w:t>。</w:t>
      </w:r>
    </w:p>
    <w:p w14:paraId="017CA643">
      <w:pPr>
        <w:keepNext w:val="0"/>
        <w:keepLines w:val="0"/>
        <w:pageBreakBefore w:val="0"/>
        <w:widowControl w:val="0"/>
        <w:kinsoku/>
        <w:wordWrap/>
        <w:overflowPunct/>
        <w:topLinePunct w:val="0"/>
        <w:autoSpaceDE/>
        <w:autoSpaceDN/>
        <w:bidi w:val="0"/>
        <w:adjustRightInd/>
        <w:snapToGrid/>
        <w:spacing w:line="636" w:lineRule="exact"/>
        <w:ind w:firstLine="643" w:firstLineChars="200"/>
        <w:jc w:val="both"/>
        <w:textAlignment w:val="auto"/>
        <w:rPr>
          <w:color w:val="auto"/>
          <w:highlight w:val="none"/>
        </w:rPr>
      </w:pPr>
      <w:r>
        <w:rPr>
          <w:rFonts w:hint="eastAsia" w:ascii="楷体" w:hAnsi="楷体" w:eastAsia="楷体" w:cs="楷体"/>
          <w:b/>
          <w:bCs/>
          <w:color w:val="auto"/>
          <w:highlight w:val="none"/>
          <w:lang w:val="zh-CN"/>
        </w:rPr>
        <w:t>健全社会救助体系。</w:t>
      </w:r>
      <w:r>
        <w:rPr>
          <w:rFonts w:hint="eastAsia" w:ascii="仿宋" w:hAnsi="仿宋" w:eastAsia="仿宋" w:cs="仿宋"/>
          <w:color w:val="auto"/>
          <w:highlight w:val="none"/>
          <w:lang w:val="zh-CN"/>
        </w:rPr>
        <w:t>以增强社会救助及时性、有效性为目标，加快构建政府主导、社会参与、制度健全、政策衔接、兜底有力的综合救助格局。完善低保、特困和低收入家庭认定办法，给予特困人员救助供养，积极发展服务类社会救助，形成“物质+服务”的救助方式。加大对低收入残疾人医疗救助力度，完善残疾儿童康复救助制度。统筹推进未成年人保护工作，建立未成年人保护响应机制，加强对流浪未成年人的救助保护。推进社会救助制度城乡统筹，加快实现城乡救助服务均等化，加大农村社会救助投入，推进城镇困难群众解困脱困。</w:t>
      </w:r>
    </w:p>
    <w:p w14:paraId="124072B8">
      <w:pPr>
        <w:keepNext w:val="0"/>
        <w:keepLines w:val="0"/>
        <w:pageBreakBefore w:val="0"/>
        <w:widowControl w:val="0"/>
        <w:kinsoku/>
        <w:wordWrap/>
        <w:overflowPunct/>
        <w:topLinePunct w:val="0"/>
        <w:autoSpaceDE/>
        <w:autoSpaceDN/>
        <w:bidi w:val="0"/>
        <w:adjustRightInd/>
        <w:snapToGrid/>
        <w:spacing w:line="636"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lang w:eastAsia="zh-CN"/>
        </w:rPr>
        <w:t>发展</w:t>
      </w:r>
      <w:r>
        <w:rPr>
          <w:rFonts w:hint="eastAsia" w:ascii="楷体" w:hAnsi="楷体" w:eastAsia="楷体" w:cs="楷体"/>
          <w:b/>
          <w:bCs/>
          <w:color w:val="auto"/>
          <w:highlight w:val="none"/>
        </w:rPr>
        <w:t>福利</w:t>
      </w:r>
      <w:r>
        <w:rPr>
          <w:rFonts w:hint="eastAsia" w:ascii="楷体" w:hAnsi="楷体" w:eastAsia="楷体" w:cs="楷体"/>
          <w:b/>
          <w:bCs/>
          <w:color w:val="auto"/>
          <w:highlight w:val="none"/>
          <w:lang w:eastAsia="zh-CN"/>
        </w:rPr>
        <w:t>慈善事业</w:t>
      </w:r>
      <w:r>
        <w:rPr>
          <w:rFonts w:hint="eastAsia" w:ascii="楷体" w:hAnsi="楷体" w:eastAsia="楷体" w:cs="楷体"/>
          <w:b/>
          <w:bCs/>
          <w:color w:val="auto"/>
          <w:highlight w:val="none"/>
        </w:rPr>
        <w:t>。</w:t>
      </w:r>
      <w:r>
        <w:rPr>
          <w:rFonts w:hint="eastAsia" w:ascii="仿宋" w:hAnsi="仿宋" w:eastAsia="仿宋" w:cs="仿宋"/>
          <w:color w:val="auto"/>
          <w:highlight w:val="none"/>
        </w:rPr>
        <w:t>健全农村留守儿童、妇女和老年人关爱服务体系，完善以扶老、助残、爱幼、济困、孤儿和事实无人抚养儿童为重点的社会福利制度。加大对妇女儿童关爱保护，在18个乡镇（街道）各打造一所儿童保护工作示范性基地，将183所学校儿童之家全部升级为标准型儿童之家或示范型儿童之家，推进市妇女儿</w:t>
      </w:r>
      <w:r>
        <w:rPr>
          <w:rFonts w:hint="eastAsia" w:ascii="仿宋" w:hAnsi="仿宋" w:eastAsia="仿宋" w:cs="仿宋"/>
          <w:color w:val="auto"/>
          <w:spacing w:val="6"/>
          <w:highlight w:val="none"/>
        </w:rPr>
        <w:t>童活动中心、</w:t>
      </w:r>
      <w:r>
        <w:rPr>
          <w:rFonts w:hint="eastAsia" w:ascii="仿宋" w:hAnsi="仿宋" w:eastAsia="仿宋" w:cs="仿宋"/>
          <w:color w:val="auto"/>
          <w:spacing w:val="6"/>
          <w:highlight w:val="none"/>
          <w:lang w:eastAsia="zh-CN"/>
        </w:rPr>
        <w:t>市家庭教育指导中心、</w:t>
      </w:r>
      <w:r>
        <w:rPr>
          <w:rFonts w:hint="eastAsia" w:ascii="仿宋" w:hAnsi="仿宋" w:eastAsia="仿宋" w:cs="仿宋"/>
          <w:color w:val="auto"/>
          <w:spacing w:val="6"/>
          <w:highlight w:val="none"/>
        </w:rPr>
        <w:t>市社区精神康复中心及市残疾人康复中心建设。</w:t>
      </w:r>
      <w:r>
        <w:rPr>
          <w:rFonts w:hint="eastAsia" w:ascii="仿宋" w:hAnsi="仿宋" w:eastAsia="仿宋" w:cs="仿宋"/>
          <w:bCs/>
          <w:color w:val="auto"/>
          <w:spacing w:val="6"/>
          <w:szCs w:val="32"/>
          <w:highlight w:val="none"/>
        </w:rPr>
        <w:t>支持残疾人事业发展，健全扶残助残服务体系。</w:t>
      </w:r>
      <w:r>
        <w:rPr>
          <w:rFonts w:hint="eastAsia" w:ascii="仿宋" w:hAnsi="仿宋" w:eastAsia="仿宋" w:cs="仿宋"/>
          <w:color w:val="auto"/>
          <w:spacing w:val="6"/>
          <w:highlight w:val="none"/>
        </w:rPr>
        <w:t>加强城镇无障碍设施建设和管理，保障残疾人等社会成员平等参与社会生活。加速推进殡葬改革，建成运营永安陵园。完善儿童监护和收养制度，统筹推进农村留守儿童关爱和困境儿童保障工作，保障儿童安全。支持慈善事业发展，健全经常性社会捐助机</w:t>
      </w:r>
      <w:r>
        <w:rPr>
          <w:rFonts w:hint="eastAsia" w:ascii="仿宋" w:hAnsi="仿宋" w:eastAsia="仿宋" w:cs="仿宋"/>
          <w:color w:val="auto"/>
          <w:highlight w:val="none"/>
        </w:rPr>
        <w:t>制，广泛动员社会力量开展社会救济和社会互助、志愿服务活动。</w:t>
      </w:r>
    </w:p>
    <w:p w14:paraId="3610F842">
      <w:pPr>
        <w:pStyle w:val="2"/>
        <w:keepNext w:val="0"/>
        <w:keepLines w:val="0"/>
        <w:pageBreakBefore w:val="0"/>
        <w:widowControl w:val="0"/>
        <w:kinsoku/>
        <w:wordWrap/>
        <w:overflowPunct/>
        <w:topLinePunct w:val="0"/>
        <w:autoSpaceDE/>
        <w:autoSpaceDN/>
        <w:bidi w:val="0"/>
        <w:adjustRightInd/>
        <w:snapToGrid/>
        <w:spacing w:line="636" w:lineRule="exact"/>
        <w:ind w:firstLine="643" w:firstLineChars="200"/>
        <w:textAlignment w:val="auto"/>
        <w:rPr>
          <w:rFonts w:ascii="仿宋" w:hAnsi="仿宋" w:eastAsia="仿宋" w:cs="仿宋"/>
          <w:color w:val="auto"/>
          <w:highlight w:val="none"/>
          <w:lang w:val="zh-CN"/>
        </w:rPr>
      </w:pPr>
      <w:r>
        <w:rPr>
          <w:rFonts w:hint="eastAsia" w:ascii="楷体" w:hAnsi="楷体" w:eastAsia="楷体" w:cs="楷体"/>
          <w:b/>
          <w:bCs/>
          <w:color w:val="auto"/>
          <w:highlight w:val="none"/>
          <w:lang w:val="zh-CN"/>
        </w:rPr>
        <w:t>促进男女平等和妇女全面发展。</w:t>
      </w:r>
      <w:r>
        <w:rPr>
          <w:rFonts w:hint="eastAsia" w:ascii="仿宋" w:hAnsi="仿宋" w:eastAsia="仿宋" w:cs="仿宋"/>
          <w:color w:val="auto"/>
          <w:highlight w:val="none"/>
          <w:lang w:val="zh-CN"/>
        </w:rPr>
        <w:t>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完善分性别统计制度。提高留守妇女关爱服务水平。严厉打击侵害妇女和女童人身权利的违法犯罪行为。</w:t>
      </w:r>
    </w:p>
    <w:p w14:paraId="2BC36F6D">
      <w:pPr>
        <w:keepNext w:val="0"/>
        <w:keepLines w:val="0"/>
        <w:pageBreakBefore w:val="0"/>
        <w:widowControl w:val="0"/>
        <w:kinsoku/>
        <w:wordWrap/>
        <w:overflowPunct/>
        <w:topLinePunct w:val="0"/>
        <w:autoSpaceDE/>
        <w:autoSpaceDN/>
        <w:bidi w:val="0"/>
        <w:adjustRightInd/>
        <w:snapToGrid/>
        <w:spacing w:line="636"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lang w:eastAsia="zh-CN"/>
        </w:rPr>
        <w:t>加强</w:t>
      </w:r>
      <w:r>
        <w:rPr>
          <w:rFonts w:hint="eastAsia" w:ascii="楷体" w:hAnsi="楷体" w:eastAsia="楷体" w:cs="楷体"/>
          <w:b/>
          <w:bCs/>
          <w:color w:val="auto"/>
          <w:highlight w:val="none"/>
        </w:rPr>
        <w:t>退役军人</w:t>
      </w:r>
      <w:r>
        <w:rPr>
          <w:rFonts w:hint="eastAsia" w:ascii="楷体" w:hAnsi="楷体" w:eastAsia="楷体" w:cs="楷体"/>
          <w:b/>
          <w:bCs/>
          <w:color w:val="auto"/>
          <w:highlight w:val="none"/>
          <w:lang w:eastAsia="zh-CN"/>
        </w:rPr>
        <w:t>服务保障</w:t>
      </w:r>
      <w:r>
        <w:rPr>
          <w:rFonts w:hint="eastAsia" w:ascii="楷体" w:hAnsi="楷体" w:eastAsia="楷体" w:cs="楷体"/>
          <w:b/>
          <w:bCs/>
          <w:color w:val="auto"/>
          <w:highlight w:val="none"/>
        </w:rPr>
        <w:t>。</w:t>
      </w:r>
      <w:r>
        <w:rPr>
          <w:rFonts w:hint="eastAsia" w:ascii="仿宋" w:hAnsi="仿宋" w:eastAsia="仿宋" w:cs="仿宋"/>
          <w:color w:val="auto"/>
          <w:highlight w:val="none"/>
        </w:rPr>
        <w:t>认真贯彻落实中央“六级”退役军人服务保障体系和“五有”标准要求，建设退役军人服务中心及18个乡镇退役军人服务站，健全</w:t>
      </w:r>
      <w:r>
        <w:rPr>
          <w:rFonts w:hint="eastAsia" w:ascii="仿宋" w:hAnsi="仿宋" w:eastAsia="仿宋" w:cs="仿宋"/>
          <w:color w:val="auto"/>
          <w:highlight w:val="none"/>
          <w:lang w:eastAsia="zh-CN"/>
        </w:rPr>
        <w:t>市</w:t>
      </w:r>
      <w:r>
        <w:rPr>
          <w:rFonts w:hint="eastAsia" w:ascii="仿宋" w:hAnsi="仿宋" w:eastAsia="仿宋" w:cs="仿宋"/>
          <w:color w:val="auto"/>
          <w:highlight w:val="none"/>
        </w:rPr>
        <w:t>、乡、村三级退役军人服务保障体系。</w:t>
      </w:r>
      <w:r>
        <w:rPr>
          <w:rFonts w:hint="eastAsia" w:ascii="仿宋" w:hAnsi="仿宋" w:eastAsia="仿宋" w:cs="仿宋"/>
          <w:color w:val="auto"/>
          <w:highlight w:val="none"/>
          <w:lang w:eastAsia="zh-CN"/>
        </w:rPr>
        <w:t>实施</w:t>
      </w:r>
      <w:r>
        <w:rPr>
          <w:rFonts w:hint="eastAsia" w:ascii="仿宋" w:hAnsi="仿宋" w:eastAsia="仿宋" w:cs="仿宋"/>
          <w:color w:val="auto"/>
          <w:highlight w:val="none"/>
        </w:rPr>
        <w:t>阳光安置</w:t>
      </w:r>
      <w:r>
        <w:rPr>
          <w:rFonts w:hint="eastAsia" w:ascii="仿宋" w:hAnsi="仿宋" w:eastAsia="仿宋" w:cs="仿宋"/>
          <w:color w:val="auto"/>
          <w:highlight w:val="none"/>
          <w:lang w:eastAsia="zh-CN"/>
        </w:rPr>
        <w:t>工程</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按要求</w:t>
      </w:r>
      <w:r>
        <w:rPr>
          <w:rFonts w:hint="eastAsia" w:ascii="仿宋" w:hAnsi="仿宋" w:eastAsia="仿宋" w:cs="仿宋"/>
          <w:color w:val="auto"/>
          <w:highlight w:val="none"/>
        </w:rPr>
        <w:t>完成</w:t>
      </w:r>
      <w:r>
        <w:rPr>
          <w:rFonts w:hint="eastAsia" w:ascii="仿宋" w:hAnsi="仿宋" w:eastAsia="仿宋" w:cs="仿宋"/>
          <w:color w:val="auto"/>
          <w:highlight w:val="none"/>
          <w:lang w:eastAsia="zh-CN"/>
        </w:rPr>
        <w:t>年度</w:t>
      </w:r>
      <w:r>
        <w:rPr>
          <w:rFonts w:hint="eastAsia" w:ascii="仿宋" w:hAnsi="仿宋" w:eastAsia="仿宋" w:cs="仿宋"/>
          <w:color w:val="auto"/>
          <w:highlight w:val="none"/>
        </w:rPr>
        <w:t>安置任务，积极扶持就业创业，稳妥解决实际问题，用心用情做好退役军人就业工作。认真落实退役军人和优抚对象各项优待政策，重点对武冈市</w:t>
      </w:r>
      <w:r>
        <w:rPr>
          <w:rFonts w:hint="eastAsia" w:ascii="仿宋" w:hAnsi="仿宋" w:eastAsia="仿宋" w:cs="仿宋"/>
          <w:color w:val="auto"/>
          <w:highlight w:val="none"/>
          <w:lang w:eastAsia="zh-CN"/>
        </w:rPr>
        <w:t>光荣院、优抚医院、</w:t>
      </w:r>
      <w:r>
        <w:rPr>
          <w:rFonts w:hint="eastAsia" w:ascii="仿宋" w:hAnsi="仿宋" w:eastAsia="仿宋" w:cs="仿宋"/>
          <w:color w:val="auto"/>
          <w:highlight w:val="none"/>
        </w:rPr>
        <w:t>烈士陵园</w:t>
      </w:r>
      <w:r>
        <w:rPr>
          <w:rFonts w:hint="eastAsia" w:ascii="仿宋" w:hAnsi="仿宋" w:eastAsia="仿宋" w:cs="仿宋"/>
          <w:color w:val="auto"/>
          <w:highlight w:val="none"/>
          <w:lang w:eastAsia="zh-CN"/>
        </w:rPr>
        <w:t>、零散烈士墓等</w:t>
      </w:r>
      <w:r>
        <w:rPr>
          <w:rFonts w:hint="eastAsia" w:ascii="仿宋" w:hAnsi="仿宋" w:eastAsia="仿宋" w:cs="仿宋"/>
          <w:color w:val="auto"/>
          <w:highlight w:val="none"/>
        </w:rPr>
        <w:t>进行</w:t>
      </w:r>
      <w:r>
        <w:rPr>
          <w:rFonts w:hint="eastAsia" w:ascii="仿宋" w:hAnsi="仿宋" w:eastAsia="仿宋" w:cs="仿宋"/>
          <w:color w:val="auto"/>
          <w:highlight w:val="none"/>
          <w:lang w:eastAsia="zh-CN"/>
        </w:rPr>
        <w:t>新建及</w:t>
      </w:r>
      <w:r>
        <w:rPr>
          <w:rFonts w:hint="eastAsia" w:ascii="仿宋" w:hAnsi="仿宋" w:eastAsia="仿宋" w:cs="仿宋"/>
          <w:color w:val="auto"/>
          <w:highlight w:val="none"/>
        </w:rPr>
        <w:t>维修，扩容提质革命历史纪念馆，建设四星级标准市军队离休退休干部休养所，有效维护退役军人合法权益。</w:t>
      </w:r>
    </w:p>
    <w:p w14:paraId="61D83E40">
      <w:pPr>
        <w:keepNext w:val="0"/>
        <w:keepLines w:val="0"/>
        <w:pageBreakBefore w:val="0"/>
        <w:widowControl w:val="0"/>
        <w:numPr>
          <w:ilvl w:val="0"/>
          <w:numId w:val="0"/>
        </w:numPr>
        <w:kinsoku/>
        <w:wordWrap/>
        <w:overflowPunct/>
        <w:topLinePunct w:val="0"/>
        <w:autoSpaceDE/>
        <w:autoSpaceDN/>
        <w:bidi w:val="0"/>
        <w:adjustRightInd/>
        <w:snapToGrid/>
        <w:spacing w:after="157" w:afterLines="50" w:line="636" w:lineRule="exact"/>
        <w:ind w:firstLine="643" w:firstLineChars="200"/>
        <w:textAlignment w:val="auto"/>
        <w:outlineLvl w:val="9"/>
        <w:rPr>
          <w:rFonts w:hint="eastAsia" w:ascii="仿宋" w:hAnsi="仿宋" w:eastAsia="仿宋" w:cs="仿宋"/>
          <w:b w:val="0"/>
          <w:bCs w:val="0"/>
          <w:color w:val="auto"/>
          <w:kern w:val="2"/>
          <w:sz w:val="32"/>
          <w:szCs w:val="24"/>
          <w:highlight w:val="none"/>
          <w:lang w:val="en-US" w:eastAsia="zh-CN" w:bidi="ar-SA"/>
        </w:rPr>
      </w:pPr>
      <w:r>
        <w:rPr>
          <w:rFonts w:hint="eastAsia" w:cs="Times New Roman"/>
          <w:b/>
          <w:bCs/>
          <w:color w:val="auto"/>
          <w:kern w:val="2"/>
          <w:sz w:val="32"/>
          <w:szCs w:val="24"/>
          <w:highlight w:val="none"/>
          <w:lang w:val="en-US" w:eastAsia="zh-CN" w:bidi="ar-SA"/>
        </w:rPr>
        <w:t xml:space="preserve"> </w:t>
      </w:r>
      <w:r>
        <w:rPr>
          <w:rFonts w:hint="eastAsia" w:ascii="楷体" w:hAnsi="楷体" w:eastAsia="楷体" w:cs="楷体"/>
          <w:b/>
          <w:bCs/>
          <w:color w:val="auto"/>
          <w:kern w:val="2"/>
          <w:sz w:val="32"/>
          <w:szCs w:val="24"/>
          <w:highlight w:val="none"/>
          <w:lang w:val="en-US" w:eastAsia="zh-CN" w:bidi="ar-SA"/>
        </w:rPr>
        <w:t>完善住房保障体系。</w:t>
      </w:r>
      <w:r>
        <w:rPr>
          <w:rFonts w:hint="eastAsia" w:ascii="仿宋" w:hAnsi="仿宋" w:eastAsia="仿宋" w:cs="仿宋"/>
          <w:b w:val="0"/>
          <w:bCs w:val="0"/>
          <w:color w:val="auto"/>
          <w:kern w:val="2"/>
          <w:sz w:val="32"/>
          <w:szCs w:val="24"/>
          <w:highlight w:val="none"/>
          <w:lang w:val="en-US" w:eastAsia="zh-CN" w:bidi="ar-SA"/>
        </w:rPr>
        <w:t>建立以政府为主提供基本保障、以市场为主满足多层次需求的住房供应体系，加强保障性住房建设和分配运营管理，健全全方位、多层次的住房保障体系。针对不同的住房消费能力对应提供公共租赁住房、共有产权住房和商品住房，加快老旧小区改造，完成92个小区改造及小区外配套基础设施，推进稠树塘镇、大甸镇、司马冲镇等采煤区避险安置区建设，建设210套安置房及配套设施，满足困难群众基本住房需求。</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250E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shd w:val="clear" w:color="auto" w:fill="auto"/>
          </w:tcPr>
          <w:p w14:paraId="68B588D9">
            <w:pPr>
              <w:pageBreakBefore w:val="0"/>
              <w:widowControl w:val="0"/>
              <w:kinsoku/>
              <w:wordWrap/>
              <w:overflowPunct/>
              <w:bidi w:val="0"/>
              <w:spacing w:line="420" w:lineRule="auto"/>
              <w:jc w:val="center"/>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专栏</w:t>
            </w:r>
            <w:r>
              <w:rPr>
                <w:rFonts w:hint="eastAsia" w:ascii="宋体" w:hAnsi="宋体" w:eastAsia="宋体" w:cs="宋体"/>
                <w:b/>
                <w:bCs w:val="0"/>
                <w:color w:val="auto"/>
                <w:kern w:val="0"/>
                <w:sz w:val="28"/>
                <w:szCs w:val="28"/>
                <w:highlight w:val="none"/>
                <w:lang w:val="en-US" w:eastAsia="zh-CN"/>
              </w:rPr>
              <w:t>22</w:t>
            </w:r>
            <w:r>
              <w:rPr>
                <w:rFonts w:hint="eastAsia" w:ascii="宋体" w:hAnsi="宋体" w:eastAsia="宋体" w:cs="宋体"/>
                <w:b/>
                <w:bCs w:val="0"/>
                <w:color w:val="auto"/>
                <w:kern w:val="0"/>
                <w:sz w:val="28"/>
                <w:szCs w:val="28"/>
                <w:highlight w:val="none"/>
              </w:rPr>
              <w:t>：社会保障重点工程</w:t>
            </w:r>
          </w:p>
        </w:tc>
      </w:tr>
      <w:tr w14:paraId="6AC6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5A3E5A54">
            <w:pPr>
              <w:pStyle w:val="10"/>
              <w:keepNext w:val="0"/>
              <w:keepLines w:val="0"/>
              <w:pageBreakBefore w:val="0"/>
              <w:widowControl w:val="0"/>
              <w:kinsoku/>
              <w:wordWrap/>
              <w:overflowPunct/>
              <w:topLinePunct w:val="0"/>
              <w:autoSpaceDE/>
              <w:autoSpaceDN/>
              <w:bidi w:val="0"/>
              <w:adjustRightInd w:val="0"/>
              <w:snapToGrid w:val="0"/>
              <w:spacing w:line="550" w:lineRule="exact"/>
              <w:ind w:firstLine="562"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28"/>
                <w:szCs w:val="28"/>
                <w:highlight w:val="none"/>
              </w:rPr>
              <w:t>1.退役军人：</w:t>
            </w:r>
            <w:r>
              <w:rPr>
                <w:rFonts w:hint="eastAsia" w:ascii="仿宋" w:hAnsi="仿宋" w:eastAsia="仿宋" w:cs="仿宋"/>
                <w:b w:val="0"/>
                <w:bCs w:val="0"/>
                <w:color w:val="auto"/>
                <w:sz w:val="28"/>
                <w:szCs w:val="28"/>
                <w:highlight w:val="none"/>
              </w:rPr>
              <w:t>市光荣院、</w:t>
            </w:r>
            <w:r>
              <w:rPr>
                <w:rFonts w:hint="eastAsia" w:ascii="仿宋" w:hAnsi="仿宋" w:eastAsia="仿宋" w:cs="仿宋"/>
                <w:b w:val="0"/>
                <w:bCs w:val="0"/>
                <w:color w:val="auto"/>
                <w:sz w:val="28"/>
                <w:szCs w:val="28"/>
                <w:highlight w:val="none"/>
                <w:lang w:eastAsia="zh-CN"/>
              </w:rPr>
              <w:t>优抚医院、</w:t>
            </w:r>
            <w:r>
              <w:rPr>
                <w:rFonts w:hint="eastAsia" w:ascii="仿宋" w:hAnsi="仿宋" w:eastAsia="仿宋" w:cs="仿宋"/>
                <w:b w:val="0"/>
                <w:bCs w:val="0"/>
                <w:color w:val="auto"/>
                <w:sz w:val="28"/>
                <w:szCs w:val="28"/>
                <w:highlight w:val="none"/>
              </w:rPr>
              <w:t>退役军人服务中心及乡镇服务站建设项目、烈士陵园维修及革命历史纪念馆扩容提质、四星级标准市军队离休退休干部休养所。</w:t>
            </w:r>
          </w:p>
          <w:p w14:paraId="128339B5">
            <w:pPr>
              <w:pStyle w:val="10"/>
              <w:keepNext w:val="0"/>
              <w:keepLines w:val="0"/>
              <w:pageBreakBefore w:val="0"/>
              <w:widowControl w:val="0"/>
              <w:kinsoku/>
              <w:wordWrap/>
              <w:overflowPunct/>
              <w:topLinePunct w:val="0"/>
              <w:autoSpaceDE/>
              <w:autoSpaceDN/>
              <w:bidi w:val="0"/>
              <w:adjustRightInd w:val="0"/>
              <w:snapToGrid w:val="0"/>
              <w:spacing w:line="550" w:lineRule="exact"/>
              <w:ind w:firstLine="562" w:firstLineChars="200"/>
              <w:jc w:val="both"/>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.社会福利：</w:t>
            </w:r>
            <w:r>
              <w:rPr>
                <w:rFonts w:hint="eastAsia" w:ascii="仿宋" w:hAnsi="仿宋" w:eastAsia="仿宋" w:cs="仿宋"/>
                <w:b w:val="0"/>
                <w:bCs w:val="0"/>
                <w:color w:val="auto"/>
                <w:sz w:val="28"/>
                <w:szCs w:val="28"/>
                <w:highlight w:val="none"/>
                <w:lang w:eastAsia="zh-CN"/>
              </w:rPr>
              <w:t>儿童关爱保护场所提质改造、社区精神康复中心、社区服务中心改造建设、农村公益性公墓及永安陵园墓穴建设、妇女儿童活动中心、家庭教育指导中心、残疾人康复中心项目。</w:t>
            </w:r>
          </w:p>
          <w:p w14:paraId="0C075D40">
            <w:pPr>
              <w:pStyle w:val="10"/>
              <w:keepNext w:val="0"/>
              <w:keepLines w:val="0"/>
              <w:pageBreakBefore w:val="0"/>
              <w:widowControl w:val="0"/>
              <w:kinsoku/>
              <w:wordWrap/>
              <w:overflowPunct/>
              <w:topLinePunct w:val="0"/>
              <w:autoSpaceDE/>
              <w:autoSpaceDN/>
              <w:bidi w:val="0"/>
              <w:adjustRightInd w:val="0"/>
              <w:snapToGrid w:val="0"/>
              <w:spacing w:line="550" w:lineRule="exact"/>
              <w:ind w:firstLine="562" w:firstLineChars="200"/>
              <w:jc w:val="both"/>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bCs/>
                <w:color w:val="auto"/>
                <w:sz w:val="28"/>
                <w:szCs w:val="28"/>
                <w:highlight w:val="none"/>
                <w:lang w:val="en-US" w:eastAsia="zh-CN"/>
              </w:rPr>
              <w:t>3.住房保障：</w:t>
            </w:r>
            <w:r>
              <w:rPr>
                <w:rFonts w:hint="eastAsia" w:ascii="仿宋" w:hAnsi="仿宋" w:eastAsia="仿宋" w:cs="仿宋"/>
                <w:b w:val="0"/>
                <w:bCs w:val="0"/>
                <w:color w:val="auto"/>
                <w:sz w:val="28"/>
                <w:szCs w:val="28"/>
                <w:highlight w:val="none"/>
                <w:lang w:val="en-US" w:eastAsia="zh-CN"/>
              </w:rPr>
              <w:t>采煤沉陷区避险安置点建设工程、同保山棚户区改造及配套建设、经济开发区棚户区改造拆迁安置区基础设施建设、老旧小区基础设施改造及小区外配套基础设施改造项目。</w:t>
            </w:r>
          </w:p>
        </w:tc>
      </w:tr>
    </w:tbl>
    <w:p w14:paraId="4E0C2F77">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highlight w:val="none"/>
          <w:lang w:val="en-US" w:eastAsia="zh-CN"/>
        </w:rPr>
      </w:pPr>
      <w:bookmarkStart w:id="131" w:name="_Toc31083"/>
      <w:r>
        <w:rPr>
          <w:rFonts w:hint="eastAsia" w:ascii="黑体" w:hAnsi="黑体" w:eastAsia="黑体" w:cs="黑体"/>
          <w:b w:val="0"/>
          <w:bCs/>
          <w:color w:val="auto"/>
          <w:kern w:val="44"/>
          <w:sz w:val="32"/>
          <w:szCs w:val="32"/>
          <w:highlight w:val="none"/>
          <w:lang w:val="en-US" w:eastAsia="zh-CN" w:bidi="ar-SA"/>
        </w:rPr>
        <w:t>第五节 推进健康武冈建设</w:t>
      </w:r>
      <w:bookmarkEnd w:id="131"/>
    </w:p>
    <w:p w14:paraId="7B99F0D1">
      <w:pPr>
        <w:pageBreakBefore w:val="0"/>
        <w:widowControl w:val="0"/>
        <w:kinsoku/>
        <w:wordWrap/>
        <w:overflowPunct/>
        <w:bidi w:val="0"/>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贯彻落实《“健康中国2030”规划纲要》，以完善公共卫生服务体系</w:t>
      </w:r>
      <w:r>
        <w:rPr>
          <w:rFonts w:hint="eastAsia" w:ascii="仿宋" w:hAnsi="仿宋" w:eastAsia="仿宋" w:cs="仿宋"/>
          <w:color w:val="auto"/>
          <w:sz w:val="32"/>
          <w:szCs w:val="32"/>
          <w:highlight w:val="none"/>
          <w:lang w:eastAsia="zh-CN"/>
        </w:rPr>
        <w:t>、健全医疗服务体系、强化医疗</w:t>
      </w:r>
      <w:r>
        <w:rPr>
          <w:rFonts w:hint="eastAsia" w:ascii="仿宋" w:hAnsi="仿宋" w:eastAsia="仿宋" w:cs="仿宋"/>
          <w:color w:val="auto"/>
          <w:sz w:val="32"/>
          <w:szCs w:val="32"/>
          <w:highlight w:val="none"/>
        </w:rPr>
        <w:t>卫生保障</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加快体育事业发展为重点，推动人民健康状况和基本医疗卫生服务的公平性和可及性持续改善。</w:t>
      </w:r>
    </w:p>
    <w:p w14:paraId="099702EA">
      <w:pPr>
        <w:keepNext w:val="0"/>
        <w:keepLines w:val="0"/>
        <w:pageBreakBefore w:val="0"/>
        <w:widowControl w:val="0"/>
        <w:kinsoku/>
        <w:wordWrap/>
        <w:overflowPunct/>
        <w:topLinePunct w:val="0"/>
        <w:autoSpaceDE/>
        <w:autoSpaceDN/>
        <w:bidi w:val="0"/>
        <w:adjustRightInd/>
        <w:snapToGrid/>
        <w:spacing w:line="636" w:lineRule="exact"/>
        <w:ind w:firstLine="643" w:firstLineChars="200"/>
        <w:jc w:val="both"/>
        <w:textAlignment w:val="auto"/>
        <w:rPr>
          <w:rFonts w:hint="eastAsia" w:ascii="仿宋" w:hAnsi="仿宋" w:eastAsia="仿宋" w:cs="仿宋"/>
          <w:color w:val="auto"/>
          <w:highlight w:val="none"/>
          <w:lang w:eastAsia="zh-CN"/>
        </w:rPr>
      </w:pPr>
      <w:r>
        <w:rPr>
          <w:rFonts w:hint="eastAsia" w:ascii="KaiTi_GB2312" w:hAnsi="KaiTi_GB2312" w:eastAsia="KaiTi_GB2312" w:cs="KaiTi_GB2312"/>
          <w:b/>
          <w:bCs/>
          <w:color w:val="auto"/>
          <w:highlight w:val="none"/>
        </w:rPr>
        <w:t>完善公共卫生服务体系。</w:t>
      </w:r>
      <w:r>
        <w:rPr>
          <w:rFonts w:hint="eastAsia" w:ascii="仿宋" w:hAnsi="仿宋" w:eastAsia="仿宋" w:cs="仿宋"/>
          <w:color w:val="auto"/>
          <w:highlight w:val="none"/>
          <w:lang w:eastAsia="zh-CN"/>
        </w:rPr>
        <w:t>健全卫生计生综合监督体系、公共卫生和重大疾病预防控制体系，</w:t>
      </w:r>
      <w:r>
        <w:rPr>
          <w:rFonts w:hint="eastAsia" w:ascii="仿宋" w:hAnsi="仿宋" w:eastAsia="仿宋" w:cs="仿宋"/>
          <w:color w:val="auto"/>
          <w:highlight w:val="none"/>
        </w:rPr>
        <w:t>完善突发公共卫生事件监测预警处置机制，增加防疫救治医疗设施，强化应急物资保障，提高检测预警、快速检测、应急处置、综合救治等能力</w:t>
      </w:r>
      <w:r>
        <w:rPr>
          <w:rFonts w:hint="eastAsia" w:ascii="仿宋" w:hAnsi="仿宋" w:eastAsia="仿宋" w:cs="仿宋"/>
          <w:color w:val="auto"/>
          <w:highlight w:val="none"/>
          <w:lang w:eastAsia="zh-CN"/>
        </w:rPr>
        <w:t>，建设应急医疗救治体系项目，提高应对突发重大公共卫生事件的能力水平。</w:t>
      </w:r>
      <w:r>
        <w:rPr>
          <w:rFonts w:hint="eastAsia" w:ascii="仿宋" w:hAnsi="仿宋" w:eastAsia="仿宋" w:cs="仿宋"/>
          <w:color w:val="auto"/>
          <w:highlight w:val="none"/>
        </w:rPr>
        <w:t>加强农村、社区等基层防控能力建设，加快卫生</w:t>
      </w:r>
      <w:r>
        <w:rPr>
          <w:rFonts w:hint="eastAsia" w:ascii="仿宋" w:hAnsi="仿宋" w:eastAsia="仿宋" w:cs="仿宋"/>
          <w:color w:val="auto"/>
          <w:highlight w:val="none"/>
          <w:lang w:eastAsia="zh-CN"/>
        </w:rPr>
        <w:t>健康信息平台建设</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建好公共卫生服务中心，实现医疗卫生信息互联互通。</w:t>
      </w:r>
    </w:p>
    <w:p w14:paraId="1745CF83">
      <w:pPr>
        <w:keepNext w:val="0"/>
        <w:keepLines w:val="0"/>
        <w:pageBreakBefore w:val="0"/>
        <w:widowControl w:val="0"/>
        <w:kinsoku/>
        <w:wordWrap/>
        <w:overflowPunct/>
        <w:topLinePunct w:val="0"/>
        <w:autoSpaceDE/>
        <w:autoSpaceDN/>
        <w:bidi w:val="0"/>
        <w:adjustRightInd/>
        <w:snapToGrid/>
        <w:spacing w:line="636" w:lineRule="exact"/>
        <w:ind w:firstLine="643" w:firstLineChars="200"/>
        <w:jc w:val="both"/>
        <w:textAlignment w:val="auto"/>
        <w:rPr>
          <w:rFonts w:hint="eastAsia" w:ascii="仿宋" w:hAnsi="仿宋" w:eastAsia="仿宋" w:cs="仿宋"/>
          <w:color w:val="auto"/>
          <w:highlight w:val="none"/>
        </w:rPr>
      </w:pPr>
      <w:r>
        <w:rPr>
          <w:rFonts w:hint="eastAsia" w:ascii="KaiTi_GB2312" w:hAnsi="KaiTi_GB2312" w:eastAsia="KaiTi_GB2312" w:cs="KaiTi_GB2312"/>
          <w:b/>
          <w:bCs/>
          <w:color w:val="auto"/>
          <w:highlight w:val="none"/>
          <w:lang w:eastAsia="zh-CN"/>
        </w:rPr>
        <w:t>健全医疗服务体系</w:t>
      </w:r>
      <w:r>
        <w:rPr>
          <w:rFonts w:hint="eastAsia" w:ascii="KaiTi_GB2312" w:hAnsi="KaiTi_GB2312" w:eastAsia="KaiTi_GB2312" w:cs="KaiTi_GB2312"/>
          <w:b/>
          <w:bCs/>
          <w:color w:val="auto"/>
          <w:highlight w:val="none"/>
        </w:rPr>
        <w:t>。</w:t>
      </w:r>
      <w:r>
        <w:rPr>
          <w:rFonts w:hint="eastAsia" w:ascii="仿宋" w:hAnsi="仿宋" w:eastAsia="仿宋" w:cs="仿宋"/>
          <w:color w:val="auto"/>
          <w:highlight w:val="none"/>
        </w:rPr>
        <w:t>大力改善医疗硬条件和软环境，提供优质高效的医疗服务。加快优质医疗资源扩容和区域均衡布局，加大基层医疗卫生服务体系建设投入力度，完善</w:t>
      </w:r>
      <w:r>
        <w:rPr>
          <w:rFonts w:hint="eastAsia" w:ascii="仿宋" w:hAnsi="仿宋" w:eastAsia="仿宋" w:cs="仿宋"/>
          <w:color w:val="auto"/>
          <w:highlight w:val="none"/>
          <w:lang w:eastAsia="zh-CN"/>
        </w:rPr>
        <w:t>市</w:t>
      </w:r>
      <w:r>
        <w:rPr>
          <w:rFonts w:hint="eastAsia" w:ascii="仿宋" w:hAnsi="仿宋" w:eastAsia="仿宋" w:cs="仿宋"/>
          <w:color w:val="auto"/>
          <w:highlight w:val="none"/>
        </w:rPr>
        <w:t>、乡、村三级医疗网络，建立健全基层首诊、双向转诊、急慢分治、上下联动的分级诊疗机制，促进医疗资源有效利用。</w:t>
      </w:r>
      <w:r>
        <w:rPr>
          <w:rFonts w:hint="eastAsia" w:ascii="仿宋" w:hAnsi="仿宋" w:eastAsia="仿宋" w:cs="仿宋"/>
          <w:bCs/>
          <w:color w:val="auto"/>
          <w:sz w:val="32"/>
          <w:szCs w:val="32"/>
          <w:highlight w:val="none"/>
          <w:lang w:eastAsia="zh-CN"/>
        </w:rPr>
        <w:t>全</w:t>
      </w:r>
      <w:r>
        <w:rPr>
          <w:rFonts w:hint="eastAsia" w:ascii="仿宋" w:hAnsi="仿宋" w:eastAsia="仿宋" w:cs="仿宋"/>
          <w:bCs/>
          <w:color w:val="auto"/>
          <w:sz w:val="32"/>
          <w:szCs w:val="32"/>
          <w:highlight w:val="none"/>
        </w:rPr>
        <w:t>力推进</w:t>
      </w:r>
      <w:r>
        <w:rPr>
          <w:rFonts w:hint="eastAsia" w:ascii="仿宋" w:hAnsi="仿宋" w:eastAsia="仿宋" w:cs="仿宋"/>
          <w:bCs/>
          <w:color w:val="auto"/>
          <w:sz w:val="32"/>
          <w:szCs w:val="32"/>
          <w:highlight w:val="none"/>
          <w:lang w:eastAsia="zh-CN"/>
        </w:rPr>
        <w:t>以</w:t>
      </w:r>
      <w:r>
        <w:rPr>
          <w:rFonts w:hint="eastAsia" w:ascii="仿宋" w:hAnsi="仿宋" w:eastAsia="仿宋" w:cs="仿宋"/>
          <w:color w:val="auto"/>
          <w:sz w:val="32"/>
          <w:szCs w:val="32"/>
          <w:highlight w:val="none"/>
        </w:rPr>
        <w:t>市人民医院为龙头、</w:t>
      </w:r>
      <w:r>
        <w:rPr>
          <w:rFonts w:hint="eastAsia" w:ascii="仿宋" w:hAnsi="仿宋" w:eastAsia="仿宋" w:cs="仿宋"/>
          <w:color w:val="auto"/>
          <w:sz w:val="32"/>
          <w:szCs w:val="32"/>
          <w:highlight w:val="none"/>
          <w:lang w:eastAsia="zh-CN"/>
        </w:rPr>
        <w:t>市中医医院为辅，整合</w:t>
      </w:r>
      <w:r>
        <w:rPr>
          <w:rFonts w:hint="eastAsia" w:ascii="仿宋" w:hAnsi="仿宋" w:eastAsia="仿宋" w:cs="仿宋"/>
          <w:color w:val="auto"/>
          <w:spacing w:val="10"/>
          <w:sz w:val="32"/>
          <w:szCs w:val="32"/>
          <w:highlight w:val="none"/>
        </w:rPr>
        <w:t>乡镇卫生院为成员单位的紧密型医共体</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eastAsia="zh-CN"/>
        </w:rPr>
        <w:t>组建公立医院集团，打造成湘西南区域医疗中心。</w:t>
      </w:r>
      <w:r>
        <w:rPr>
          <w:rFonts w:hint="eastAsia" w:ascii="仿宋" w:hAnsi="仿宋" w:eastAsia="仿宋" w:cs="仿宋"/>
          <w:color w:val="auto"/>
          <w:highlight w:val="none"/>
        </w:rPr>
        <w:t>加强医疗卫生队伍建设。把好思想政治关，注重专业能力、专业精神，建设强有力的医疗队伍。实施全科医生培养计划，完善医师多点执业制度，推行家庭签约医生模式，健全住院医师规范化培训制度，加强乡村医生后备力量</w:t>
      </w:r>
      <w:r>
        <w:rPr>
          <w:rFonts w:hint="eastAsia" w:ascii="仿宋" w:hAnsi="仿宋" w:eastAsia="仿宋" w:cs="仿宋"/>
          <w:color w:val="auto"/>
          <w:highlight w:val="none"/>
          <w:lang w:eastAsia="zh-CN"/>
        </w:rPr>
        <w:t>特别是全科医生</w:t>
      </w:r>
      <w:r>
        <w:rPr>
          <w:rFonts w:hint="eastAsia" w:ascii="仿宋" w:hAnsi="仿宋" w:eastAsia="仿宋" w:cs="仿宋"/>
          <w:color w:val="auto"/>
          <w:highlight w:val="none"/>
        </w:rPr>
        <w:t>储备，</w:t>
      </w:r>
      <w:r>
        <w:rPr>
          <w:rFonts w:hint="eastAsia" w:ascii="仿宋" w:hAnsi="仿宋" w:eastAsia="仿宋" w:cs="仿宋"/>
          <w:color w:val="auto"/>
          <w:highlight w:val="none"/>
          <w:lang w:eastAsia="zh-CN"/>
        </w:rPr>
        <w:t>积极实施乡村医生本土化培养</w:t>
      </w:r>
      <w:r>
        <w:rPr>
          <w:rFonts w:hint="eastAsia" w:ascii="仿宋" w:hAnsi="仿宋" w:eastAsia="仿宋" w:cs="仿宋"/>
          <w:color w:val="auto"/>
          <w:highlight w:val="none"/>
        </w:rPr>
        <w:t>。到2025年，每千人常住人口拥有执业（助理）医师2.65名。</w:t>
      </w:r>
    </w:p>
    <w:p w14:paraId="29BC44A9">
      <w:pPr>
        <w:pageBreakBefore w:val="0"/>
        <w:widowControl w:val="0"/>
        <w:kinsoku/>
        <w:wordWrap/>
        <w:overflowPunct/>
        <w:bidi w:val="0"/>
        <w:spacing w:line="420" w:lineRule="auto"/>
        <w:ind w:firstLine="643" w:firstLineChars="200"/>
        <w:jc w:val="both"/>
        <w:rPr>
          <w:rFonts w:hint="eastAsia" w:ascii="仿宋" w:hAnsi="仿宋" w:eastAsia="仿宋" w:cs="仿宋"/>
          <w:b/>
          <w:bCs/>
          <w:color w:val="auto"/>
          <w:highlight w:val="none"/>
        </w:rPr>
      </w:pPr>
      <w:r>
        <w:rPr>
          <w:rFonts w:hint="eastAsia" w:ascii="KaiTi_GB2312" w:hAnsi="KaiTi_GB2312" w:eastAsia="KaiTi_GB2312" w:cs="KaiTi_GB2312"/>
          <w:b/>
          <w:bCs/>
          <w:color w:val="auto"/>
          <w:highlight w:val="none"/>
          <w:lang w:eastAsia="zh-CN"/>
        </w:rPr>
        <w:t>强化医疗</w:t>
      </w:r>
      <w:r>
        <w:rPr>
          <w:rFonts w:hint="eastAsia" w:ascii="KaiTi_GB2312" w:hAnsi="KaiTi_GB2312" w:eastAsia="KaiTi_GB2312" w:cs="KaiTi_GB2312"/>
          <w:b/>
          <w:bCs/>
          <w:color w:val="auto"/>
          <w:highlight w:val="none"/>
        </w:rPr>
        <w:t>卫生保障。</w:t>
      </w:r>
      <w:r>
        <w:rPr>
          <w:rFonts w:hint="eastAsia" w:ascii="仿宋" w:hAnsi="仿宋" w:eastAsia="仿宋" w:cs="仿宋"/>
          <w:color w:val="auto"/>
          <w:highlight w:val="none"/>
        </w:rPr>
        <w:t>坚持基本医疗卫生事业公益属性，深化医药卫生体制改革。</w:t>
      </w:r>
      <w:r>
        <w:rPr>
          <w:rFonts w:hint="eastAsia" w:ascii="仿宋" w:hAnsi="仿宋" w:eastAsia="仿宋" w:cs="仿宋"/>
          <w:color w:val="auto"/>
          <w:highlight w:val="none"/>
          <w:lang w:eastAsia="zh-CN"/>
        </w:rPr>
        <w:t>加强公立医院建设和管理考核，推进药品和耗材集中采购使用改革。引导民办医疗注重品质和成长性，与公办医院互补分工，重点发展特色专科医院</w:t>
      </w:r>
      <w:r>
        <w:rPr>
          <w:rFonts w:hint="eastAsia" w:ascii="仿宋" w:hAnsi="仿宋" w:eastAsia="仿宋" w:cs="仿宋"/>
          <w:color w:val="auto"/>
          <w:highlight w:val="none"/>
        </w:rPr>
        <w:t>。坚持中西医并重，促进中医药传承创新发展</w:t>
      </w:r>
      <w:r>
        <w:rPr>
          <w:rFonts w:hint="eastAsia" w:ascii="仿宋" w:hAnsi="仿宋" w:eastAsia="仿宋" w:cs="仿宋"/>
          <w:color w:val="auto"/>
          <w:highlight w:val="none"/>
          <w:lang w:eastAsia="zh-CN"/>
        </w:rPr>
        <w:t>，建成以市中医医院为主体、基层医疗机构中医科为骨干、中医门诊部和诊所为补充、覆盖城乡的中医药医疗服务网络，将中医药服务融入公共卫生服务各个环节。</w:t>
      </w:r>
      <w:r>
        <w:rPr>
          <w:rFonts w:hint="eastAsia" w:ascii="仿宋" w:hAnsi="仿宋" w:eastAsia="仿宋" w:cs="仿宋"/>
          <w:color w:val="auto"/>
          <w:highlight w:val="none"/>
        </w:rPr>
        <w:t>提升妇幼健康、残疾康复、精神疾病防控等能力建设，加快推进医养托育融合，统筹医疗卫生、养老服务、托育服务资源布局，建立健全医养育结合政策体系、标准规范和管理制度。加强妇女儿童常见病筛查与早诊早治，推进实施适龄妇女</w:t>
      </w:r>
      <w:r>
        <w:rPr>
          <w:rFonts w:hint="cs" w:ascii="仿宋" w:hAnsi="仿宋" w:eastAsia="仿宋" w:cs="仿宋"/>
          <w:color w:val="auto"/>
          <w:highlight w:val="none"/>
        </w:rPr>
        <w:t>“</w:t>
      </w:r>
      <w:r>
        <w:rPr>
          <w:rFonts w:hint="eastAsia" w:ascii="仿宋" w:hAnsi="仿宋" w:eastAsia="仿宋" w:cs="仿宋"/>
          <w:color w:val="auto"/>
          <w:highlight w:val="none"/>
        </w:rPr>
        <w:t>两癌</w:t>
      </w:r>
      <w:r>
        <w:rPr>
          <w:rFonts w:hint="cs" w:ascii="仿宋" w:hAnsi="仿宋" w:eastAsia="仿宋" w:cs="仿宋"/>
          <w:color w:val="auto"/>
          <w:highlight w:val="none"/>
        </w:rPr>
        <w:t>”</w:t>
      </w:r>
      <w:r>
        <w:rPr>
          <w:rFonts w:hint="eastAsia" w:ascii="仿宋" w:hAnsi="仿宋" w:eastAsia="仿宋" w:cs="仿宋"/>
          <w:color w:val="auto"/>
          <w:highlight w:val="none"/>
        </w:rPr>
        <w:t>免费检查、预防艾滋病梅毒和乙肝母婴传播、儿童营养改善、儿童眼保健和视力检查等重大公共卫生项目。深入开展爱国卫生运动，完善国民健康促进政策。</w:t>
      </w:r>
    </w:p>
    <w:p w14:paraId="208981B9">
      <w:pPr>
        <w:keepNext w:val="0"/>
        <w:keepLines w:val="0"/>
        <w:pageBreakBefore w:val="0"/>
        <w:widowControl w:val="0"/>
        <w:pBdr>
          <w:bottom w:val="single" w:color="FFFFFF" w:sz="4" w:space="30"/>
        </w:pBdr>
        <w:kinsoku/>
        <w:wordWrap/>
        <w:overflowPunct/>
        <w:topLinePunct w:val="0"/>
        <w:autoSpaceDE/>
        <w:autoSpaceDN/>
        <w:bidi w:val="0"/>
        <w:adjustRightInd/>
        <w:snapToGrid/>
        <w:spacing w:line="580" w:lineRule="exact"/>
        <w:ind w:firstLine="643" w:firstLineChars="200"/>
        <w:jc w:val="both"/>
        <w:textAlignment w:val="auto"/>
        <w:rPr>
          <w:rFonts w:hint="eastAsia" w:ascii="仿宋" w:hAnsi="仿宋" w:eastAsia="仿宋" w:cs="仿宋"/>
          <w:color w:val="auto"/>
          <w:highlight w:val="none"/>
        </w:rPr>
      </w:pPr>
      <w:r>
        <w:rPr>
          <w:rFonts w:hint="eastAsia" w:ascii="KaiTi_GB2312" w:hAnsi="KaiTi_GB2312" w:eastAsia="KaiTi_GB2312" w:cs="KaiTi_GB2312"/>
          <w:b/>
          <w:bCs/>
          <w:color w:val="auto"/>
          <w:highlight w:val="none"/>
        </w:rPr>
        <w:t>加快体育事业发展。</w:t>
      </w:r>
      <w:r>
        <w:rPr>
          <w:rFonts w:hint="eastAsia" w:ascii="仿宋" w:hAnsi="仿宋" w:eastAsia="仿宋" w:cs="仿宋"/>
          <w:color w:val="auto"/>
          <w:szCs w:val="32"/>
          <w:highlight w:val="none"/>
        </w:rPr>
        <w:t>加快完成我市全民健身中心、体育馆建设，积极扩大体育产品和服务供给，着力把全民健身中心打造成体育产业的集聚地，引领全市体育产业发展。举办融体育文化、旅游展示和体育赛事为一体的省内外重大活动，培育有影响力、有武冈特色的赛事品牌和体育市场，打造以市体育馆为主体的体育公共服务体系。</w:t>
      </w:r>
      <w:r>
        <w:rPr>
          <w:rFonts w:hint="eastAsia" w:ascii="仿宋" w:hAnsi="仿宋" w:eastAsia="仿宋" w:cs="仿宋"/>
          <w:color w:val="auto"/>
          <w:highlight w:val="none"/>
        </w:rPr>
        <w:t>加大全民健身场地设施建设力度，建设市区健身步道20千米，骑行道及智慧健身步道30千米，合理利用户外营地、城市公园及空置场所等建设体育健身场地和设施，引导学校和企事业单位体育场地向社会开放，</w:t>
      </w:r>
      <w:r>
        <w:rPr>
          <w:rFonts w:hint="eastAsia" w:ascii="仿宋" w:hAnsi="仿宋" w:eastAsia="仿宋" w:cs="仿宋"/>
          <w:color w:val="auto"/>
          <w:highlight w:val="none"/>
          <w:lang w:eastAsia="zh-CN"/>
        </w:rPr>
        <w:t>建设</w:t>
      </w:r>
      <w:r>
        <w:rPr>
          <w:rFonts w:hint="eastAsia" w:ascii="仿宋" w:hAnsi="仿宋" w:eastAsia="仿宋" w:cs="仿宋"/>
          <w:color w:val="auto"/>
          <w:highlight w:val="none"/>
        </w:rPr>
        <w:t>体育公园、公共体育场，打造社区15分钟健身圈，推动公共体育健身设施在乡镇、行政村实现100%全覆盖。大力开展全民健身运动，办好各级各类群众性体育活动，平均每年的活动和赛事在15次以上，参与人数达到5万人次，群众体质明显提高，体育人口稳步增长。</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7F9D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vAlign w:val="top"/>
          </w:tcPr>
          <w:p w14:paraId="1B528EF5">
            <w:pPr>
              <w:pageBreakBefore w:val="0"/>
              <w:widowControl w:val="0"/>
              <w:kinsoku/>
              <w:wordWrap/>
              <w:overflowPunct/>
              <w:bidi w:val="0"/>
              <w:spacing w:line="420" w:lineRule="auto"/>
              <w:jc w:val="center"/>
              <w:rPr>
                <w:rFonts w:eastAsia="黑体"/>
                <w:bCs/>
                <w:color w:val="auto"/>
                <w:kern w:val="0"/>
                <w:sz w:val="28"/>
                <w:szCs w:val="28"/>
                <w:highlight w:val="none"/>
              </w:rPr>
            </w:pPr>
            <w:r>
              <w:rPr>
                <w:rFonts w:hint="eastAsia" w:ascii="宋体" w:hAnsi="宋体" w:eastAsia="宋体" w:cs="宋体"/>
                <w:b/>
                <w:bCs w:val="0"/>
                <w:color w:val="auto"/>
                <w:kern w:val="0"/>
                <w:sz w:val="28"/>
                <w:szCs w:val="28"/>
                <w:highlight w:val="none"/>
              </w:rPr>
              <w:t>专栏</w:t>
            </w:r>
            <w:r>
              <w:rPr>
                <w:rFonts w:hint="eastAsia" w:ascii="宋体" w:hAnsi="宋体" w:eastAsia="宋体" w:cs="宋体"/>
                <w:b/>
                <w:bCs w:val="0"/>
                <w:color w:val="auto"/>
                <w:kern w:val="0"/>
                <w:sz w:val="28"/>
                <w:szCs w:val="28"/>
                <w:highlight w:val="none"/>
                <w:lang w:val="en-US" w:eastAsia="zh-CN"/>
              </w:rPr>
              <w:t>23</w:t>
            </w:r>
            <w:r>
              <w:rPr>
                <w:rFonts w:hint="eastAsia" w:ascii="宋体" w:hAnsi="宋体" w:eastAsia="宋体" w:cs="宋体"/>
                <w:b/>
                <w:bCs w:val="0"/>
                <w:color w:val="auto"/>
                <w:kern w:val="0"/>
                <w:sz w:val="28"/>
                <w:szCs w:val="28"/>
                <w:highlight w:val="none"/>
              </w:rPr>
              <w:t>：卫生健康重点工程</w:t>
            </w:r>
          </w:p>
        </w:tc>
      </w:tr>
      <w:tr w14:paraId="5838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vAlign w:val="top"/>
          </w:tcPr>
          <w:p w14:paraId="7B2DDF2A">
            <w:pPr>
              <w:keepNext w:val="0"/>
              <w:keepLines w:val="0"/>
              <w:pageBreakBefore w:val="0"/>
              <w:widowControl w:val="0"/>
              <w:kinsoku/>
              <w:wordWrap/>
              <w:overflowPunct/>
              <w:topLinePunct w:val="0"/>
              <w:autoSpaceDE/>
              <w:autoSpaceDN/>
              <w:bidi w:val="0"/>
              <w:spacing w:line="600" w:lineRule="exact"/>
              <w:ind w:firstLine="562" w:firstLineChars="200"/>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rPr>
              <w:t>1.医院建设：</w:t>
            </w:r>
            <w:r>
              <w:rPr>
                <w:rFonts w:hint="eastAsia" w:ascii="仿宋" w:hAnsi="仿宋" w:eastAsia="仿宋" w:cs="仿宋"/>
                <w:color w:val="auto"/>
                <w:sz w:val="28"/>
                <w:szCs w:val="28"/>
                <w:highlight w:val="none"/>
              </w:rPr>
              <w:t>湘西南区域医疗中心建设、</w:t>
            </w:r>
            <w:r>
              <w:rPr>
                <w:rFonts w:hint="eastAsia" w:ascii="仿宋" w:hAnsi="仿宋" w:eastAsia="仿宋" w:cs="仿宋"/>
                <w:color w:val="auto"/>
                <w:sz w:val="28"/>
                <w:szCs w:val="28"/>
                <w:highlight w:val="none"/>
                <w:lang w:eastAsia="zh-CN"/>
              </w:rPr>
              <w:t>市中医医院能力提升（三级医院）工程</w:t>
            </w:r>
            <w:r>
              <w:rPr>
                <w:rFonts w:hint="eastAsia" w:ascii="仿宋" w:hAnsi="仿宋" w:eastAsia="仿宋" w:cs="仿宋"/>
                <w:color w:val="auto"/>
                <w:sz w:val="28"/>
                <w:szCs w:val="28"/>
                <w:highlight w:val="none"/>
              </w:rPr>
              <w:t>、市人民医院传染病区建设项目、邓家铺镇中心卫生院暨传染病专科建设、市妇女儿童医学中心暨市妇幼保健院整体搬迁、市现代脑科医院建设、乡镇卫生院搬迁改造工程、市云山康复医院建设、市都梁医院医养中心暨特色专科建设</w:t>
            </w:r>
            <w:r>
              <w:rPr>
                <w:rFonts w:hint="eastAsia" w:ascii="仿宋" w:hAnsi="仿宋" w:eastAsia="仿宋" w:cs="仿宋"/>
                <w:color w:val="auto"/>
                <w:sz w:val="28"/>
                <w:szCs w:val="28"/>
                <w:highlight w:val="none"/>
                <w:lang w:eastAsia="zh-CN"/>
              </w:rPr>
              <w:t>。</w:t>
            </w:r>
          </w:p>
          <w:p w14:paraId="6E3A2E27">
            <w:pPr>
              <w:pStyle w:val="9"/>
              <w:keepNext w:val="0"/>
              <w:keepLines w:val="0"/>
              <w:pageBreakBefore w:val="0"/>
              <w:widowControl w:val="0"/>
              <w:kinsoku/>
              <w:wordWrap/>
              <w:overflowPunct/>
              <w:topLinePunct w:val="0"/>
              <w:autoSpaceDE/>
              <w:autoSpaceDN/>
              <w:bidi w:val="0"/>
              <w:spacing w:line="600" w:lineRule="exact"/>
              <w:ind w:firstLine="562"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2.公共卫生：</w:t>
            </w:r>
            <w:r>
              <w:rPr>
                <w:rFonts w:hint="eastAsia" w:ascii="仿宋" w:hAnsi="仿宋" w:cs="仿宋"/>
                <w:b w:val="0"/>
                <w:bCs w:val="0"/>
                <w:color w:val="auto"/>
                <w:sz w:val="28"/>
                <w:szCs w:val="28"/>
                <w:highlight w:val="none"/>
                <w:lang w:eastAsia="zh-CN"/>
              </w:rPr>
              <w:t>市</w:t>
            </w:r>
            <w:r>
              <w:rPr>
                <w:rFonts w:hint="eastAsia" w:ascii="仿宋" w:hAnsi="仿宋" w:eastAsia="仿宋" w:cs="仿宋"/>
                <w:color w:val="auto"/>
                <w:sz w:val="28"/>
                <w:szCs w:val="28"/>
                <w:highlight w:val="none"/>
              </w:rPr>
              <w:t>公共卫生体系建设、</w:t>
            </w:r>
            <w:r>
              <w:rPr>
                <w:rFonts w:hint="eastAsia" w:ascii="仿宋" w:hAnsi="仿宋" w:cs="仿宋"/>
                <w:color w:val="auto"/>
                <w:sz w:val="28"/>
                <w:szCs w:val="28"/>
                <w:highlight w:val="none"/>
                <w:lang w:eastAsia="zh-CN"/>
              </w:rPr>
              <w:t>市</w:t>
            </w:r>
            <w:r>
              <w:rPr>
                <w:rFonts w:hint="eastAsia" w:ascii="仿宋" w:hAnsi="仿宋" w:eastAsia="仿宋" w:cs="仿宋"/>
                <w:color w:val="auto"/>
                <w:sz w:val="28"/>
                <w:szCs w:val="28"/>
                <w:highlight w:val="none"/>
              </w:rPr>
              <w:t>应急医疗救治体系建设、</w:t>
            </w:r>
            <w:r>
              <w:rPr>
                <w:rFonts w:hint="eastAsia" w:ascii="仿宋" w:hAnsi="仿宋" w:cs="仿宋"/>
                <w:color w:val="auto"/>
                <w:sz w:val="28"/>
                <w:szCs w:val="28"/>
                <w:highlight w:val="none"/>
                <w:lang w:eastAsia="zh-CN"/>
              </w:rPr>
              <w:t>市</w:t>
            </w:r>
            <w:r>
              <w:rPr>
                <w:rFonts w:hint="eastAsia" w:ascii="仿宋" w:hAnsi="仿宋" w:eastAsia="仿宋" w:cs="仿宋"/>
                <w:color w:val="auto"/>
                <w:sz w:val="28"/>
                <w:szCs w:val="28"/>
                <w:highlight w:val="none"/>
              </w:rPr>
              <w:t>疾病预防控制体系现代化建设暨</w:t>
            </w:r>
            <w:r>
              <w:rPr>
                <w:rFonts w:hint="eastAsia" w:ascii="仿宋" w:hAnsi="仿宋" w:cs="仿宋"/>
                <w:color w:val="auto"/>
                <w:sz w:val="28"/>
                <w:szCs w:val="28"/>
                <w:highlight w:val="none"/>
                <w:lang w:eastAsia="zh-CN"/>
              </w:rPr>
              <w:t>市</w:t>
            </w:r>
            <w:r>
              <w:rPr>
                <w:rFonts w:hint="eastAsia" w:ascii="仿宋" w:hAnsi="仿宋" w:eastAsia="仿宋" w:cs="仿宋"/>
                <w:color w:val="auto"/>
                <w:sz w:val="28"/>
                <w:szCs w:val="28"/>
                <w:highlight w:val="none"/>
              </w:rPr>
              <w:t>皮防站改扩建。</w:t>
            </w:r>
          </w:p>
          <w:p w14:paraId="0DA9C596">
            <w:pPr>
              <w:pStyle w:val="10"/>
              <w:keepNext w:val="0"/>
              <w:keepLines w:val="0"/>
              <w:pageBreakBefore w:val="0"/>
              <w:widowControl w:val="0"/>
              <w:kinsoku/>
              <w:wordWrap/>
              <w:overflowPunct/>
              <w:topLinePunct w:val="0"/>
              <w:autoSpaceDE/>
              <w:autoSpaceDN/>
              <w:bidi w:val="0"/>
              <w:spacing w:line="600" w:lineRule="exact"/>
              <w:ind w:firstLine="562" w:firstLineChars="200"/>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b/>
                <w:bCs/>
                <w:color w:val="auto"/>
                <w:sz w:val="28"/>
                <w:szCs w:val="28"/>
                <w:highlight w:val="none"/>
              </w:rPr>
              <w:t>3.健康保障：</w:t>
            </w:r>
            <w:r>
              <w:rPr>
                <w:rFonts w:hint="eastAsia" w:ascii="仿宋" w:hAnsi="仿宋" w:eastAsia="仿宋" w:cs="仿宋"/>
                <w:color w:val="auto"/>
                <w:sz w:val="28"/>
                <w:szCs w:val="28"/>
                <w:highlight w:val="none"/>
              </w:rPr>
              <w:t>公立医疗机构医养中心、惠康医养中心</w:t>
            </w:r>
            <w:r>
              <w:rPr>
                <w:rFonts w:hint="eastAsia" w:ascii="仿宋" w:hAnsi="仿宋" w:eastAsia="仿宋" w:cs="仿宋"/>
                <w:color w:val="auto"/>
                <w:sz w:val="28"/>
                <w:szCs w:val="28"/>
                <w:highlight w:val="none"/>
                <w:lang w:eastAsia="zh-CN"/>
              </w:rPr>
              <w:t>。</w:t>
            </w:r>
          </w:p>
          <w:p w14:paraId="6315D635">
            <w:pPr>
              <w:pStyle w:val="10"/>
              <w:keepNext w:val="0"/>
              <w:keepLines w:val="0"/>
              <w:pageBreakBefore w:val="0"/>
              <w:widowControl w:val="0"/>
              <w:kinsoku/>
              <w:wordWrap/>
              <w:overflowPunct/>
              <w:topLinePunct w:val="0"/>
              <w:autoSpaceDE/>
              <w:autoSpaceDN/>
              <w:bidi w:val="0"/>
              <w:spacing w:line="600" w:lineRule="exact"/>
              <w:ind w:firstLine="562" w:firstLineChars="200"/>
              <w:jc w:val="both"/>
              <w:textAlignment w:val="auto"/>
              <w:rPr>
                <w:rFonts w:ascii="仿宋" w:hAnsi="仿宋" w:eastAsia="仿宋" w:cs="仿宋"/>
                <w:color w:val="auto"/>
                <w:szCs w:val="28"/>
                <w:highlight w:val="none"/>
              </w:rPr>
            </w:pPr>
            <w:r>
              <w:rPr>
                <w:rFonts w:hint="eastAsia" w:ascii="仿宋" w:hAnsi="仿宋" w:eastAsia="仿宋" w:cs="仿宋"/>
                <w:b/>
                <w:bCs/>
                <w:color w:val="auto"/>
                <w:sz w:val="28"/>
                <w:szCs w:val="28"/>
                <w:highlight w:val="none"/>
              </w:rPr>
              <w:t>4.体育事业：</w:t>
            </w:r>
            <w:r>
              <w:rPr>
                <w:rFonts w:hint="eastAsia" w:ascii="仿宋" w:hAnsi="仿宋" w:eastAsia="仿宋" w:cs="仿宋"/>
                <w:color w:val="auto"/>
                <w:sz w:val="28"/>
                <w:szCs w:val="28"/>
                <w:highlight w:val="none"/>
              </w:rPr>
              <w:t>体育公园、体育健身步道、全民健身中心、体育馆。</w:t>
            </w:r>
          </w:p>
        </w:tc>
      </w:tr>
    </w:tbl>
    <w:p w14:paraId="26B2AAF5">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kern w:val="44"/>
          <w:sz w:val="32"/>
          <w:szCs w:val="32"/>
          <w:highlight w:val="none"/>
          <w:lang w:val="en-US" w:eastAsia="zh-CN" w:bidi="ar-SA"/>
        </w:rPr>
      </w:pPr>
      <w:bookmarkStart w:id="132" w:name="_Toc17308"/>
      <w:r>
        <w:rPr>
          <w:rFonts w:hint="eastAsia" w:ascii="黑体" w:hAnsi="黑体" w:eastAsia="黑体" w:cs="黑体"/>
          <w:b w:val="0"/>
          <w:bCs/>
          <w:color w:val="auto"/>
          <w:kern w:val="44"/>
          <w:sz w:val="32"/>
          <w:szCs w:val="32"/>
          <w:highlight w:val="none"/>
          <w:lang w:val="en-US" w:eastAsia="zh-CN" w:bidi="ar-SA"/>
        </w:rPr>
        <w:t>第六节 促进人口均衡发展</w:t>
      </w:r>
      <w:bookmarkEnd w:id="132"/>
    </w:p>
    <w:p w14:paraId="3D69DE04">
      <w:pPr>
        <w:pageBreakBefore w:val="0"/>
        <w:widowControl w:val="0"/>
        <w:kinsoku/>
        <w:wordWrap/>
        <w:overflowPunct/>
        <w:bidi w:val="0"/>
        <w:adjustRightInd/>
        <w:snapToGrid/>
        <w:spacing w:before="0" w:after="0" w:line="570" w:lineRule="exact"/>
        <w:ind w:firstLine="64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sz w:val="32"/>
          <w:szCs w:val="32"/>
          <w:highlight w:val="none"/>
        </w:rPr>
        <w:t>贯彻落实人口国策，提高人口素质，优化人口结构，积极应对老龄化趋势，促进人口长期均衡发展。</w:t>
      </w:r>
    </w:p>
    <w:p w14:paraId="5C54E46D">
      <w:pPr>
        <w:keepNext w:val="0"/>
        <w:keepLines w:val="0"/>
        <w:pageBreakBefore w:val="0"/>
        <w:widowControl w:val="0"/>
        <w:kinsoku/>
        <w:wordWrap/>
        <w:overflowPunct/>
        <w:topLinePunct w:val="0"/>
        <w:autoSpaceDE/>
        <w:autoSpaceDN/>
        <w:bidi w:val="0"/>
        <w:adjustRightInd/>
        <w:snapToGrid/>
        <w:spacing w:line="610" w:lineRule="exact"/>
        <w:ind w:firstLine="643" w:firstLineChars="200"/>
        <w:jc w:val="both"/>
        <w:textAlignment w:val="auto"/>
        <w:rPr>
          <w:rFonts w:hint="eastAsia" w:ascii="仿宋" w:hAnsi="仿宋" w:eastAsia="仿宋" w:cs="仿宋"/>
          <w:color w:val="auto"/>
          <w:highlight w:val="none"/>
        </w:rPr>
      </w:pPr>
      <w:r>
        <w:rPr>
          <w:rFonts w:hint="eastAsia" w:ascii="仿宋" w:hAnsi="仿宋" w:eastAsia="仿宋" w:cs="仿宋"/>
          <w:b/>
          <w:color w:val="auto"/>
          <w:szCs w:val="32"/>
          <w:highlight w:val="none"/>
        </w:rPr>
        <w:t>提升人口管理服务质量</w:t>
      </w:r>
      <w:r>
        <w:rPr>
          <w:rFonts w:hint="eastAsia" w:ascii="仿宋" w:hAnsi="仿宋" w:eastAsia="仿宋" w:cs="仿宋"/>
          <w:color w:val="auto"/>
          <w:highlight w:val="none"/>
        </w:rPr>
        <w:t>。优化生育政策，增强生育政策包容性，提高优生优育服务水平，发展普惠托育服务体系，降低生育、养育、教育成本，促进人口长期均衡发展，提高人口素质。推进婚前医学检查、孕前优生健康检查、产前筛查、高危孕产妇干预诊断、大力推进新生儿疾病筛查、诊断和治疗。控制先心病、唐氏综合征、耳聋、神经管缺陷、重型地中海贫血等出生缺陷。优化出生人口性别结构，坚决遏制出生人口性别比重度超标问题，全面推行出生人口实名登记制度，建立部门出生人口信息收集和共享机制。</w:t>
      </w:r>
    </w:p>
    <w:p w14:paraId="6C0C88EC">
      <w:pPr>
        <w:keepNext w:val="0"/>
        <w:keepLines w:val="0"/>
        <w:pageBreakBefore w:val="0"/>
        <w:widowControl w:val="0"/>
        <w:kinsoku/>
        <w:wordWrap/>
        <w:overflowPunct/>
        <w:topLinePunct w:val="0"/>
        <w:autoSpaceDE/>
        <w:autoSpaceDN/>
        <w:bidi w:val="0"/>
        <w:adjustRightInd/>
        <w:snapToGrid/>
        <w:spacing w:line="610" w:lineRule="exact"/>
        <w:ind w:left="0" w:leftChars="0" w:firstLine="643" w:firstLineChars="200"/>
        <w:textAlignment w:val="auto"/>
        <w:rPr>
          <w:rFonts w:hint="eastAsia" w:ascii="黑体" w:hAnsi="黑体" w:eastAsia="黑体" w:cs="黑体"/>
          <w:bCs/>
          <w:color w:val="auto"/>
          <w:szCs w:val="32"/>
          <w:highlight w:val="none"/>
          <w:lang w:val="en-US" w:eastAsia="zh-CN"/>
        </w:rPr>
      </w:pPr>
      <w:r>
        <w:rPr>
          <w:rFonts w:hint="eastAsia" w:ascii="KaiTi_GB2312" w:eastAsia="KaiTi_GB2312"/>
          <w:b/>
          <w:color w:val="auto"/>
          <w:szCs w:val="32"/>
          <w:highlight w:val="none"/>
        </w:rPr>
        <w:t>积极应对人口老龄化。</w:t>
      </w:r>
      <w:r>
        <w:rPr>
          <w:rFonts w:hint="eastAsia" w:ascii="仿宋" w:hAnsi="仿宋" w:eastAsia="仿宋" w:cs="仿宋"/>
          <w:bCs/>
          <w:color w:val="auto"/>
          <w:szCs w:val="32"/>
          <w:highlight w:val="none"/>
        </w:rPr>
        <w:t>积极开发老龄人力资源，发展银发经济，满足老年人多层次多方面的需求，活跃老年人文体生活，关心老年人身心健康。发展普惠型养老服务和互助性养老，支持家庭承担养老功能，培育养老新业态，构建居家社区机构相协调、医养康养相结合的养老服务体系，健全养老服务综合监管制度，重点完成森林康养基地、康养之家二期建设项目。统筹建设公益养老服务设施，完善乡镇敬老院及居家和社区网格化养老服务，建设1所县级养老服务指导中心，18所乡镇（街道）级养老服务指导中心，16所社区日间照料中心，50所小区养老服务点，加大</w:t>
      </w:r>
      <w:r>
        <w:rPr>
          <w:rFonts w:hint="eastAsia" w:ascii="仿宋" w:hAnsi="仿宋" w:eastAsia="仿宋" w:cs="仿宋"/>
          <w:bCs/>
          <w:color w:val="auto"/>
          <w:szCs w:val="32"/>
          <w:highlight w:val="none"/>
          <w:lang w:eastAsia="zh-CN"/>
        </w:rPr>
        <w:t>公</w:t>
      </w:r>
      <w:r>
        <w:rPr>
          <w:rFonts w:hint="eastAsia" w:ascii="仿宋" w:hAnsi="仿宋" w:eastAsia="仿宋" w:cs="仿宋"/>
          <w:bCs/>
          <w:color w:val="auto"/>
          <w:szCs w:val="32"/>
          <w:highlight w:val="none"/>
        </w:rPr>
        <w:t>办养老机构提质改造及转型，将18所公办敬老院</w:t>
      </w:r>
      <w:r>
        <w:rPr>
          <w:rFonts w:hint="eastAsia" w:ascii="仿宋" w:hAnsi="仿宋" w:eastAsia="仿宋" w:cs="仿宋"/>
          <w:bCs/>
          <w:color w:val="auto"/>
          <w:szCs w:val="32"/>
          <w:highlight w:val="none"/>
          <w:lang w:eastAsia="zh-CN"/>
        </w:rPr>
        <w:t>其中</w:t>
      </w:r>
      <w:r>
        <w:rPr>
          <w:rFonts w:hint="eastAsia" w:ascii="仿宋" w:hAnsi="仿宋" w:eastAsia="仿宋" w:cs="仿宋"/>
          <w:bCs/>
          <w:color w:val="auto"/>
          <w:szCs w:val="32"/>
          <w:highlight w:val="none"/>
        </w:rPr>
        <w:t>3所改造为区域性中心敬老院，其余15所转型为农村居家养老服务中心。加强老年辅助技术研发和应用，推进养老信息服务平台建设。</w:t>
      </w:r>
      <w:r>
        <w:rPr>
          <w:rFonts w:hint="eastAsia" w:ascii="仿宋" w:hAnsi="仿宋" w:eastAsia="仿宋" w:cs="仿宋"/>
          <w:color w:val="auto"/>
          <w:sz w:val="32"/>
          <w:szCs w:val="32"/>
          <w:highlight w:val="none"/>
          <w:lang w:val="en-US" w:eastAsia="zh-CN"/>
        </w:rPr>
        <w:t>办好市老年大学和乡镇老年学校，</w:t>
      </w:r>
      <w:r>
        <w:rPr>
          <w:rFonts w:hint="eastAsia" w:ascii="仿宋" w:hAnsi="仿宋" w:eastAsia="仿宋" w:cs="仿宋"/>
          <w:bCs/>
          <w:color w:val="auto"/>
          <w:szCs w:val="32"/>
          <w:highlight w:val="none"/>
        </w:rPr>
        <w:t>创建老年友好型城市和老年宜居社区，加强基层老年社会组织建设，弘扬敬老、养老、助老社会风尚。</w:t>
      </w:r>
    </w:p>
    <w:p w14:paraId="0277EE38">
      <w:pPr>
        <w:pageBreakBefore w:val="0"/>
        <w:widowControl w:val="0"/>
        <w:kinsoku/>
        <w:wordWrap/>
        <w:overflowPunct/>
        <w:topLinePunct w:val="0"/>
        <w:autoSpaceDE/>
        <w:autoSpaceDN/>
        <w:bidi w:val="0"/>
        <w:adjustRightInd/>
        <w:snapToGrid/>
        <w:spacing w:line="420" w:lineRule="auto"/>
        <w:ind w:firstLine="0"/>
        <w:jc w:val="center"/>
        <w:textAlignment w:val="auto"/>
        <w:outlineLvl w:val="0"/>
        <w:rPr>
          <w:rFonts w:hint="eastAsia" w:ascii="FangSong_GB2312" w:hAnsi="FangSong_GB2312" w:cs="FangSong_GB2312"/>
          <w:color w:val="auto"/>
          <w:szCs w:val="32"/>
          <w:highlight w:val="none"/>
        </w:rPr>
      </w:pPr>
      <w:bookmarkStart w:id="133" w:name="_Toc24751"/>
      <w:r>
        <w:rPr>
          <w:rFonts w:hint="eastAsia" w:ascii="黑体" w:hAnsi="黑体" w:eastAsia="黑体" w:cs="黑体"/>
          <w:bCs/>
          <w:color w:val="auto"/>
          <w:szCs w:val="32"/>
          <w:highlight w:val="none"/>
          <w:lang w:val="en-US" w:eastAsia="zh-CN"/>
        </w:rPr>
        <w:t>第十二章  统筹发展和安全，建设平安武冈</w:t>
      </w:r>
      <w:bookmarkEnd w:id="133"/>
    </w:p>
    <w:p w14:paraId="6F6036ED">
      <w:pPr>
        <w:pageBreakBefore w:val="0"/>
        <w:widowControl w:val="0"/>
        <w:kinsoku/>
        <w:wordWrap/>
        <w:overflowPunct/>
        <w:topLinePunct w:val="0"/>
        <w:autoSpaceDE/>
        <w:autoSpaceDN/>
        <w:bidi w:val="0"/>
        <w:adjustRightInd/>
        <w:snapToGrid/>
        <w:spacing w:line="636" w:lineRule="exact"/>
        <w:ind w:firstLine="640"/>
        <w:jc w:val="both"/>
        <w:textAlignment w:val="auto"/>
        <w:rPr>
          <w:rFonts w:hint="eastAsia" w:ascii="仿宋" w:hAnsi="仿宋" w:eastAsia="仿宋" w:cs="仿宋"/>
          <w:color w:val="auto"/>
          <w:highlight w:val="none"/>
        </w:rPr>
      </w:pPr>
      <w:r>
        <w:rPr>
          <w:rFonts w:hint="eastAsia" w:ascii="仿宋" w:hAnsi="仿宋" w:eastAsia="仿宋" w:cs="仿宋"/>
          <w:color w:val="auto"/>
          <w:szCs w:val="32"/>
          <w:highlight w:val="none"/>
        </w:rPr>
        <w:t>坚持总体国家安全观，统筹传统安全和非传统安全，</w:t>
      </w:r>
      <w:r>
        <w:rPr>
          <w:rFonts w:hint="eastAsia" w:ascii="仿宋" w:hAnsi="仿宋" w:eastAsia="仿宋" w:cs="仿宋"/>
          <w:color w:val="auto"/>
          <w:szCs w:val="32"/>
          <w:highlight w:val="none"/>
          <w:lang w:eastAsia="zh-CN"/>
        </w:rPr>
        <w:t>源头</w:t>
      </w:r>
      <w:r>
        <w:rPr>
          <w:rFonts w:hint="eastAsia" w:ascii="仿宋" w:hAnsi="仿宋" w:eastAsia="仿宋" w:cs="仿宋"/>
          <w:color w:val="auto"/>
          <w:szCs w:val="32"/>
          <w:highlight w:val="none"/>
        </w:rPr>
        <w:t>防范和化解各</w:t>
      </w:r>
      <w:r>
        <w:rPr>
          <w:rFonts w:hint="eastAsia" w:ascii="仿宋" w:hAnsi="仿宋" w:eastAsia="仿宋" w:cs="仿宋"/>
          <w:color w:val="auto"/>
          <w:szCs w:val="32"/>
          <w:highlight w:val="none"/>
          <w:lang w:eastAsia="zh-CN"/>
        </w:rPr>
        <w:t>类</w:t>
      </w:r>
      <w:r>
        <w:rPr>
          <w:rFonts w:hint="eastAsia" w:ascii="仿宋" w:hAnsi="仿宋" w:eastAsia="仿宋" w:cs="仿宋"/>
          <w:color w:val="auto"/>
          <w:szCs w:val="32"/>
          <w:highlight w:val="none"/>
        </w:rPr>
        <w:t>风险，</w:t>
      </w:r>
      <w:r>
        <w:rPr>
          <w:rFonts w:hint="eastAsia" w:ascii="仿宋" w:hAnsi="仿宋" w:eastAsia="仿宋" w:cs="仿宋"/>
          <w:bCs/>
          <w:color w:val="auto"/>
          <w:highlight w:val="none"/>
        </w:rPr>
        <w:t>建</w:t>
      </w:r>
      <w:r>
        <w:rPr>
          <w:rFonts w:hint="eastAsia" w:ascii="仿宋" w:hAnsi="仿宋" w:eastAsia="仿宋" w:cs="仿宋"/>
          <w:bCs/>
          <w:color w:val="auto"/>
          <w:highlight w:val="none"/>
          <w:lang w:eastAsia="zh-CN"/>
        </w:rPr>
        <w:t>强</w:t>
      </w:r>
      <w:r>
        <w:rPr>
          <w:rFonts w:hint="eastAsia" w:ascii="仿宋" w:hAnsi="仿宋" w:eastAsia="仿宋" w:cs="仿宋"/>
          <w:color w:val="auto"/>
          <w:szCs w:val="32"/>
          <w:highlight w:val="none"/>
        </w:rPr>
        <w:t>法治</w:t>
      </w:r>
      <w:r>
        <w:rPr>
          <w:rFonts w:hint="eastAsia" w:ascii="仿宋" w:hAnsi="仿宋" w:eastAsia="仿宋" w:cs="仿宋"/>
          <w:bCs/>
          <w:color w:val="auto"/>
          <w:highlight w:val="none"/>
        </w:rPr>
        <w:t>武冈、</w:t>
      </w:r>
      <w:r>
        <w:rPr>
          <w:rFonts w:hint="eastAsia" w:ascii="仿宋" w:hAnsi="仿宋" w:eastAsia="仿宋" w:cs="仿宋"/>
          <w:color w:val="auto"/>
          <w:szCs w:val="32"/>
          <w:highlight w:val="none"/>
        </w:rPr>
        <w:t>平安</w:t>
      </w:r>
      <w:r>
        <w:rPr>
          <w:rFonts w:hint="eastAsia" w:ascii="仿宋" w:hAnsi="仿宋" w:eastAsia="仿宋" w:cs="仿宋"/>
          <w:bCs/>
          <w:color w:val="auto"/>
          <w:highlight w:val="none"/>
        </w:rPr>
        <w:t>武冈，</w:t>
      </w:r>
      <w:r>
        <w:rPr>
          <w:rFonts w:hint="eastAsia" w:ascii="仿宋" w:hAnsi="仿宋" w:eastAsia="仿宋" w:cs="仿宋"/>
          <w:color w:val="auto"/>
          <w:szCs w:val="32"/>
          <w:highlight w:val="none"/>
        </w:rPr>
        <w:t>促进社会和谐稳定</w:t>
      </w:r>
      <w:r>
        <w:rPr>
          <w:rFonts w:hint="eastAsia" w:ascii="仿宋" w:hAnsi="仿宋" w:eastAsia="仿宋" w:cs="仿宋"/>
          <w:color w:val="auto"/>
          <w:szCs w:val="32"/>
          <w:highlight w:val="none"/>
          <w:lang w:eastAsia="zh-CN"/>
        </w:rPr>
        <w:t>、</w:t>
      </w:r>
      <w:r>
        <w:rPr>
          <w:rFonts w:hint="eastAsia" w:ascii="仿宋" w:hAnsi="仿宋" w:eastAsia="仿宋" w:cs="仿宋"/>
          <w:color w:val="auto"/>
          <w:szCs w:val="32"/>
          <w:highlight w:val="none"/>
        </w:rPr>
        <w:t>人民安居乐业。</w:t>
      </w:r>
    </w:p>
    <w:p w14:paraId="7DE969F6">
      <w:pPr>
        <w:pStyle w:val="4"/>
        <w:keepNext/>
        <w:keepLines/>
        <w:pageBreakBefore w:val="0"/>
        <w:widowControl w:val="0"/>
        <w:kinsoku/>
        <w:wordWrap/>
        <w:overflowPunct/>
        <w:topLinePunct w:val="0"/>
        <w:autoSpaceDE/>
        <w:autoSpaceDN/>
        <w:bidi w:val="0"/>
        <w:adjustRightInd/>
        <w:snapToGrid/>
        <w:spacing w:before="0" w:after="0" w:line="636" w:lineRule="exact"/>
        <w:jc w:val="center"/>
        <w:textAlignment w:val="auto"/>
        <w:rPr>
          <w:rFonts w:hint="eastAsia" w:ascii="黑体" w:hAnsi="黑体" w:eastAsia="黑体" w:cs="黑体"/>
          <w:b w:val="0"/>
          <w:bCs/>
          <w:color w:val="auto"/>
          <w:highlight w:val="none"/>
          <w:lang w:val="en-US" w:eastAsia="zh-CN"/>
        </w:rPr>
      </w:pPr>
      <w:bookmarkStart w:id="134" w:name="_Toc20596"/>
      <w:r>
        <w:rPr>
          <w:rFonts w:hint="eastAsia" w:ascii="黑体" w:hAnsi="黑体" w:eastAsia="黑体" w:cs="黑体"/>
          <w:b w:val="0"/>
          <w:bCs/>
          <w:color w:val="auto"/>
          <w:kern w:val="44"/>
          <w:sz w:val="32"/>
          <w:szCs w:val="32"/>
          <w:highlight w:val="none"/>
          <w:lang w:val="en-US" w:eastAsia="zh-CN" w:bidi="ar-SA"/>
        </w:rPr>
        <w:t>第一节 建强法治武冈</w:t>
      </w:r>
      <w:bookmarkEnd w:id="134"/>
    </w:p>
    <w:p w14:paraId="1E955379">
      <w:pPr>
        <w:pageBreakBefore w:val="0"/>
        <w:widowControl w:val="0"/>
        <w:kinsoku/>
        <w:wordWrap/>
        <w:overflowPunct/>
        <w:topLinePunct w:val="0"/>
        <w:autoSpaceDE/>
        <w:autoSpaceDN/>
        <w:bidi w:val="0"/>
        <w:adjustRightInd/>
        <w:snapToGrid/>
        <w:spacing w:before="0" w:after="0" w:line="636" w:lineRule="exact"/>
        <w:ind w:firstLine="640" w:firstLineChars="20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32"/>
          <w:szCs w:val="32"/>
          <w:highlight w:val="none"/>
          <w:lang w:eastAsia="zh-CN"/>
        </w:rPr>
        <w:t>坚持以习近平法治思想为指导，</w:t>
      </w:r>
      <w:r>
        <w:rPr>
          <w:rFonts w:hint="eastAsia" w:ascii="仿宋" w:hAnsi="仿宋" w:eastAsia="仿宋" w:cs="仿宋"/>
          <w:color w:val="auto"/>
          <w:sz w:val="32"/>
          <w:szCs w:val="32"/>
          <w:highlight w:val="none"/>
        </w:rPr>
        <w:t>以加快建设职能科学、权责法定、执法严明、公开公正、廉洁高效、守法诚信的法治政府为重点，更好发挥法治的引领和规范作用，为实现经济社会发展目标任务提供法治保障。</w:t>
      </w:r>
    </w:p>
    <w:p w14:paraId="1AB7C23B">
      <w:pPr>
        <w:pageBreakBefore w:val="0"/>
        <w:widowControl w:val="0"/>
        <w:kinsoku/>
        <w:wordWrap/>
        <w:overflowPunct/>
        <w:topLinePunct w:val="0"/>
        <w:autoSpaceDE/>
        <w:autoSpaceDN/>
        <w:bidi w:val="0"/>
        <w:adjustRightInd/>
        <w:snapToGrid/>
        <w:spacing w:line="636" w:lineRule="exact"/>
        <w:ind w:firstLine="643" w:firstLineChars="200"/>
        <w:jc w:val="both"/>
        <w:textAlignment w:val="auto"/>
        <w:rPr>
          <w:rFonts w:hint="eastAsia" w:ascii="FangSong_GB2312" w:hAnsi="FangSong_GB2312" w:eastAsia="FangSong_GB2312" w:cs="FangSong_GB2312"/>
          <w:color w:val="auto"/>
          <w:szCs w:val="32"/>
          <w:highlight w:val="none"/>
          <w:lang w:val="en-US" w:eastAsia="zh-CN"/>
        </w:rPr>
      </w:pPr>
      <w:r>
        <w:rPr>
          <w:rFonts w:hint="eastAsia" w:ascii="KaiTi_GB2312" w:eastAsia="KaiTi_GB2312"/>
          <w:b/>
          <w:color w:val="auto"/>
          <w:szCs w:val="32"/>
          <w:highlight w:val="none"/>
        </w:rPr>
        <w:t>建</w:t>
      </w:r>
      <w:r>
        <w:rPr>
          <w:rFonts w:hint="eastAsia" w:ascii="KaiTi_GB2312" w:eastAsia="KaiTi_GB2312"/>
          <w:b/>
          <w:color w:val="auto"/>
          <w:szCs w:val="32"/>
          <w:highlight w:val="none"/>
          <w:lang w:eastAsia="zh-CN"/>
        </w:rPr>
        <w:t>设</w:t>
      </w:r>
      <w:r>
        <w:rPr>
          <w:rFonts w:hint="eastAsia" w:ascii="KaiTi_GB2312" w:eastAsia="KaiTi_GB2312"/>
          <w:b/>
          <w:color w:val="auto"/>
          <w:szCs w:val="32"/>
          <w:highlight w:val="none"/>
        </w:rPr>
        <w:t>法治政府。</w:t>
      </w:r>
      <w:r>
        <w:rPr>
          <w:rFonts w:hint="eastAsia" w:ascii="仿宋" w:hAnsi="仿宋" w:eastAsia="仿宋" w:cs="仿宋"/>
          <w:color w:val="auto"/>
          <w:szCs w:val="32"/>
          <w:highlight w:val="none"/>
        </w:rPr>
        <w:t>推进政府履职法定化。坚持法定职责必须为、法无授权不可为，依法全面履行政府职能。进一步理顺市场监管、公共服务、环境保护等领域的监管体制，实行综合监管，管好政府该管好的事，适合由社会组织提供公共服务和解决的事项交由社会组织承担。深化行政执法体制改革，推进严格规范公正文明执法，全面推行行政执法公示、执法全过程记录、重大执法决定法制审核制度。强化对行政权力的制约监督，完善纠错问责机制。完善行政复议办案工作机制，</w:t>
      </w:r>
      <w:r>
        <w:rPr>
          <w:rFonts w:hint="eastAsia" w:ascii="仿宋" w:hAnsi="仿宋" w:eastAsia="仿宋" w:cs="仿宋"/>
          <w:color w:val="auto"/>
          <w:szCs w:val="32"/>
          <w:highlight w:val="none"/>
          <w:lang w:eastAsia="zh-CN"/>
        </w:rPr>
        <w:t>稳妥推进行政复议体制改革，打造革命化、正规化、专业化、职业化的行政复议专门队伍，加快推进行政复议工作场所标准化建设。</w:t>
      </w:r>
      <w:r>
        <w:rPr>
          <w:rFonts w:hint="eastAsia" w:ascii="仿宋" w:hAnsi="仿宋" w:eastAsia="仿宋" w:cs="仿宋"/>
          <w:color w:val="auto"/>
          <w:szCs w:val="32"/>
          <w:highlight w:val="none"/>
        </w:rPr>
        <w:t>落实行政机关负责人出庭应诉制度，完善行政应诉工作机制。着力提高政府效率和服务质量</w:t>
      </w:r>
      <w:r>
        <w:rPr>
          <w:rFonts w:hint="eastAsia" w:ascii="仿宋" w:hAnsi="仿宋" w:eastAsia="仿宋" w:cs="仿宋"/>
          <w:color w:val="auto"/>
          <w:szCs w:val="32"/>
          <w:highlight w:val="none"/>
          <w:lang w:eastAsia="zh-CN"/>
        </w:rPr>
        <w:t>，创建法治政府建设示范市。</w:t>
      </w:r>
    </w:p>
    <w:p w14:paraId="77C60C42">
      <w:pPr>
        <w:keepNext w:val="0"/>
        <w:keepLines w:val="0"/>
        <w:pageBreakBefore w:val="0"/>
        <w:widowControl w:val="0"/>
        <w:kinsoku/>
        <w:wordWrap/>
        <w:overflowPunct/>
        <w:topLinePunct w:val="0"/>
        <w:autoSpaceDE/>
        <w:autoSpaceDN/>
        <w:bidi w:val="0"/>
        <w:adjustRightInd/>
        <w:snapToGrid/>
        <w:spacing w:line="606" w:lineRule="exact"/>
        <w:ind w:firstLine="643" w:firstLineChars="200"/>
        <w:jc w:val="both"/>
        <w:textAlignment w:val="auto"/>
        <w:rPr>
          <w:rFonts w:hint="eastAsia" w:ascii="仿宋" w:hAnsi="仿宋" w:eastAsia="仿宋" w:cs="仿宋"/>
          <w:color w:val="auto"/>
          <w:kern w:val="0"/>
          <w:szCs w:val="32"/>
          <w:highlight w:val="none"/>
        </w:rPr>
      </w:pPr>
      <w:r>
        <w:rPr>
          <w:rFonts w:hint="eastAsia" w:ascii="KaiTi_GB2312" w:eastAsia="KaiTi_GB2312"/>
          <w:b/>
          <w:color w:val="auto"/>
          <w:szCs w:val="32"/>
          <w:highlight w:val="none"/>
        </w:rPr>
        <w:t>严格司法公正。</w:t>
      </w:r>
      <w:r>
        <w:rPr>
          <w:rFonts w:hint="eastAsia" w:ascii="仿宋" w:hAnsi="仿宋" w:eastAsia="仿宋" w:cs="仿宋"/>
          <w:color w:val="auto"/>
          <w:kern w:val="0"/>
          <w:szCs w:val="32"/>
          <w:highlight w:val="none"/>
        </w:rPr>
        <w:t>完善监察权、审判权、检察权运行和监督机制，规范司法行为，提高司法公信力，确保依法独立公正行使司法权，努力让人民群众在每一个司法案件中感受到公平正义。全面落实司法责任制，形成分工负责、权责明晰、运行有序的司法办案工作机制，</w:t>
      </w:r>
      <w:r>
        <w:rPr>
          <w:rFonts w:hint="eastAsia" w:ascii="仿宋" w:hAnsi="仿宋" w:eastAsia="仿宋" w:cs="仿宋"/>
          <w:color w:val="auto"/>
          <w:kern w:val="0"/>
          <w:szCs w:val="32"/>
          <w:highlight w:val="none"/>
          <w:lang w:eastAsia="zh-CN"/>
        </w:rPr>
        <w:t>健全</w:t>
      </w:r>
      <w:r>
        <w:rPr>
          <w:rFonts w:hint="eastAsia" w:ascii="仿宋" w:hAnsi="仿宋" w:eastAsia="仿宋" w:cs="仿宋"/>
          <w:color w:val="auto"/>
          <w:kern w:val="0"/>
          <w:szCs w:val="32"/>
          <w:highlight w:val="none"/>
        </w:rPr>
        <w:t>党委领导、人大监督、政府支持</w:t>
      </w:r>
      <w:r>
        <w:rPr>
          <w:rFonts w:hint="eastAsia" w:ascii="仿宋" w:hAnsi="仿宋" w:eastAsia="仿宋" w:cs="仿宋"/>
          <w:color w:val="auto"/>
          <w:kern w:val="0"/>
          <w:szCs w:val="32"/>
          <w:highlight w:val="none"/>
          <w:lang w:eastAsia="zh-CN"/>
        </w:rPr>
        <w:t>的工作机制</w:t>
      </w:r>
      <w:r>
        <w:rPr>
          <w:rFonts w:hint="eastAsia" w:ascii="仿宋" w:hAnsi="仿宋" w:eastAsia="仿宋" w:cs="仿宋"/>
          <w:color w:val="auto"/>
          <w:kern w:val="0"/>
          <w:szCs w:val="32"/>
          <w:highlight w:val="none"/>
        </w:rPr>
        <w:t>，稳步推进司法</w:t>
      </w:r>
      <w:r>
        <w:rPr>
          <w:rFonts w:hint="eastAsia" w:ascii="仿宋" w:hAnsi="仿宋" w:eastAsia="仿宋" w:cs="仿宋"/>
          <w:color w:val="auto"/>
          <w:kern w:val="0"/>
          <w:szCs w:val="32"/>
          <w:highlight w:val="none"/>
          <w:lang w:eastAsia="zh-CN"/>
        </w:rPr>
        <w:t>体系建设</w:t>
      </w:r>
      <w:r>
        <w:rPr>
          <w:rFonts w:hint="eastAsia" w:ascii="仿宋" w:hAnsi="仿宋" w:eastAsia="仿宋" w:cs="仿宋"/>
          <w:color w:val="auto"/>
          <w:kern w:val="0"/>
          <w:szCs w:val="32"/>
          <w:highlight w:val="none"/>
        </w:rPr>
        <w:t>。坚持用制度管权、管事、管人，加强对领导干部的监督，</w:t>
      </w:r>
      <w:r>
        <w:rPr>
          <w:rFonts w:hint="eastAsia" w:ascii="仿宋" w:hAnsi="仿宋" w:eastAsia="仿宋" w:cs="仿宋"/>
          <w:color w:val="auto"/>
          <w:kern w:val="0"/>
          <w:szCs w:val="32"/>
          <w:highlight w:val="none"/>
          <w:lang w:eastAsia="zh-CN"/>
        </w:rPr>
        <w:t>建设高素质政法队伍，</w:t>
      </w:r>
      <w:r>
        <w:rPr>
          <w:rFonts w:hint="eastAsia" w:ascii="仿宋" w:hAnsi="仿宋" w:eastAsia="仿宋" w:cs="仿宋"/>
          <w:color w:val="auto"/>
          <w:kern w:val="0"/>
          <w:szCs w:val="32"/>
          <w:highlight w:val="none"/>
        </w:rPr>
        <w:t>努力形成科学有效的权力运行和全方位监督体系。健全司法机关内部制约机制，推进高效阳光司法。</w:t>
      </w:r>
    </w:p>
    <w:p w14:paraId="1D9EAE59">
      <w:pPr>
        <w:keepNext w:val="0"/>
        <w:keepLines w:val="0"/>
        <w:pageBreakBefore w:val="0"/>
        <w:widowControl w:val="0"/>
        <w:kinsoku/>
        <w:wordWrap/>
        <w:overflowPunct/>
        <w:topLinePunct w:val="0"/>
        <w:autoSpaceDE/>
        <w:autoSpaceDN/>
        <w:bidi w:val="0"/>
        <w:adjustRightInd/>
        <w:snapToGrid/>
        <w:spacing w:line="606" w:lineRule="exact"/>
        <w:ind w:firstLine="643" w:firstLineChars="200"/>
        <w:jc w:val="both"/>
        <w:textAlignment w:val="auto"/>
        <w:rPr>
          <w:rFonts w:hint="eastAsia" w:ascii="仿宋" w:hAnsi="仿宋" w:eastAsia="仿宋" w:cs="仿宋"/>
          <w:bCs/>
          <w:color w:val="auto"/>
          <w:highlight w:val="none"/>
        </w:rPr>
      </w:pPr>
      <w:r>
        <w:rPr>
          <w:rFonts w:hint="eastAsia" w:ascii="KaiTi_GB2312" w:eastAsia="KaiTi_GB2312"/>
          <w:b/>
          <w:color w:val="auto"/>
          <w:szCs w:val="32"/>
          <w:highlight w:val="none"/>
        </w:rPr>
        <w:t>建设法治社会。</w:t>
      </w:r>
      <w:r>
        <w:rPr>
          <w:rFonts w:hint="eastAsia" w:ascii="仿宋" w:hAnsi="仿宋" w:eastAsia="仿宋" w:cs="仿宋"/>
          <w:color w:val="auto"/>
          <w:highlight w:val="none"/>
          <w:shd w:val="clear" w:color="auto" w:fill="FFFFFF"/>
        </w:rPr>
        <w:t>深入开展法治宣传教育，弘扬宪法精神，推动领导干部带头尊法学法守法，增强全民法治观念。健全普法宣传教育机制，落实行政机关“谁执法谁普法”的普法责任制，推进法律进机关、进乡村、进社区、进学校、进企业活动，市教育局要会同各乡镇（</w:t>
      </w:r>
      <w:r>
        <w:rPr>
          <w:rFonts w:hint="eastAsia" w:ascii="仿宋" w:hAnsi="仿宋" w:eastAsia="仿宋" w:cs="仿宋"/>
          <w:color w:val="auto"/>
          <w:highlight w:val="none"/>
          <w:shd w:val="clear" w:color="auto" w:fill="FFFFFF"/>
          <w:lang w:eastAsia="zh-CN"/>
        </w:rPr>
        <w:t>街道</w:t>
      </w:r>
      <w:r>
        <w:rPr>
          <w:rFonts w:hint="eastAsia" w:ascii="仿宋" w:hAnsi="仿宋" w:eastAsia="仿宋" w:cs="仿宋"/>
          <w:color w:val="auto"/>
          <w:highlight w:val="none"/>
          <w:shd w:val="clear" w:color="auto" w:fill="FFFFFF"/>
        </w:rPr>
        <w:t>）抓好在校学生的普法，通过开展“法律进农家”活动，送法下村，深化学法普法。</w:t>
      </w:r>
      <w:r>
        <w:rPr>
          <w:rFonts w:hint="eastAsia" w:ascii="仿宋" w:hAnsi="仿宋" w:eastAsia="仿宋" w:cs="仿宋"/>
          <w:color w:val="auto"/>
          <w:highlight w:val="none"/>
          <w:shd w:val="clear" w:color="auto" w:fill="FFFFFF"/>
          <w:lang w:eastAsia="zh-CN"/>
        </w:rPr>
        <w:t>全面推进法治乡村建设，深化民主法治示范村创建。</w:t>
      </w:r>
      <w:r>
        <w:rPr>
          <w:rFonts w:hint="eastAsia" w:ascii="仿宋" w:hAnsi="仿宋" w:eastAsia="仿宋" w:cs="仿宋"/>
          <w:color w:val="auto"/>
          <w:highlight w:val="none"/>
          <w:shd w:val="clear" w:color="auto" w:fill="FFFFFF"/>
        </w:rPr>
        <w:t>健全媒体公益普法制度，建设公共法律服务网络平台</w:t>
      </w:r>
      <w:r>
        <w:rPr>
          <w:rFonts w:hint="eastAsia" w:ascii="仿宋" w:hAnsi="仿宋" w:eastAsia="仿宋" w:cs="仿宋"/>
          <w:color w:val="auto"/>
          <w:w w:val="98"/>
          <w:szCs w:val="32"/>
          <w:highlight w:val="none"/>
        </w:rPr>
        <w:t>和社会救助平台建设，建立网上律师公共法律服务大厅等网络服务载体，加强法律服务队伍建设，提升法律服务能力，拓展法律服务覆盖面。</w:t>
      </w:r>
      <w:r>
        <w:rPr>
          <w:rFonts w:hint="eastAsia" w:ascii="仿宋" w:hAnsi="仿宋" w:eastAsia="仿宋" w:cs="仿宋"/>
          <w:color w:val="auto"/>
          <w:highlight w:val="none"/>
          <w:shd w:val="clear" w:color="auto" w:fill="FFFFFF"/>
        </w:rPr>
        <w:t>加强法治文化设施建设，进一步提升法治文化公园、广场品位，丰富法治元素，充分发挥法治文化阵地的宣传教育作用，实施乡村法治文化建设三年行动，推动法治文化阵地建设向乡镇、村（社区）延伸，</w:t>
      </w:r>
      <w:r>
        <w:rPr>
          <w:rFonts w:hint="eastAsia" w:ascii="仿宋" w:hAnsi="仿宋" w:eastAsia="仿宋" w:cs="仿宋"/>
          <w:color w:val="auto"/>
          <w:highlight w:val="none"/>
          <w:shd w:val="clear" w:color="auto" w:fill="FFFFFF"/>
          <w:lang w:eastAsia="zh-CN"/>
        </w:rPr>
        <w:t>到</w:t>
      </w:r>
      <w:r>
        <w:rPr>
          <w:rFonts w:hint="eastAsia" w:ascii="仿宋" w:hAnsi="仿宋" w:eastAsia="仿宋" w:cs="仿宋"/>
          <w:color w:val="auto"/>
          <w:highlight w:val="none"/>
          <w:shd w:val="clear" w:color="auto" w:fill="FFFFFF"/>
        </w:rPr>
        <w:t>202</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rPr>
        <w:t>年</w:t>
      </w:r>
      <w:r>
        <w:rPr>
          <w:rFonts w:hint="eastAsia" w:ascii="仿宋" w:hAnsi="仿宋" w:eastAsia="仿宋" w:cs="仿宋"/>
          <w:color w:val="auto"/>
          <w:highlight w:val="none"/>
          <w:shd w:val="clear" w:color="auto" w:fill="FFFFFF"/>
          <w:lang w:eastAsia="zh-CN"/>
        </w:rPr>
        <w:t>，</w:t>
      </w:r>
      <w:r>
        <w:rPr>
          <w:rFonts w:hint="eastAsia" w:ascii="仿宋" w:hAnsi="仿宋" w:eastAsia="仿宋" w:cs="仿宋"/>
          <w:color w:val="auto"/>
          <w:highlight w:val="none"/>
          <w:shd w:val="clear" w:color="auto" w:fill="FFFFFF"/>
        </w:rPr>
        <w:t>全市所有的村（社区）都建设有法治文化阵地。</w:t>
      </w:r>
    </w:p>
    <w:p w14:paraId="5F31056E">
      <w:pPr>
        <w:pStyle w:val="4"/>
        <w:keepNext/>
        <w:keepLines/>
        <w:pageBreakBefore w:val="0"/>
        <w:widowControl w:val="0"/>
        <w:kinsoku/>
        <w:wordWrap/>
        <w:overflowPunct/>
        <w:topLinePunct w:val="0"/>
        <w:autoSpaceDE/>
        <w:autoSpaceDN/>
        <w:bidi w:val="0"/>
        <w:adjustRightInd/>
        <w:snapToGrid/>
        <w:spacing w:before="100" w:after="100" w:line="420" w:lineRule="auto"/>
        <w:jc w:val="center"/>
        <w:textAlignment w:val="auto"/>
        <w:rPr>
          <w:rFonts w:hint="eastAsia" w:ascii="黑体" w:hAnsi="黑体" w:eastAsia="黑体" w:cs="黑体"/>
          <w:b w:val="0"/>
          <w:bCs/>
          <w:color w:val="auto"/>
          <w:highlight w:val="none"/>
          <w:lang w:val="en-US" w:eastAsia="zh-CN"/>
        </w:rPr>
      </w:pPr>
      <w:bookmarkStart w:id="135" w:name="_Toc15960"/>
      <w:r>
        <w:rPr>
          <w:rFonts w:hint="eastAsia" w:ascii="黑体" w:hAnsi="黑体" w:eastAsia="黑体" w:cs="黑体"/>
          <w:b w:val="0"/>
          <w:bCs/>
          <w:color w:val="auto"/>
          <w:kern w:val="44"/>
          <w:sz w:val="32"/>
          <w:szCs w:val="32"/>
          <w:highlight w:val="none"/>
          <w:lang w:val="en-US" w:eastAsia="zh-CN" w:bidi="ar-SA"/>
        </w:rPr>
        <w:t>第二节 完善社会治理</w:t>
      </w:r>
      <w:bookmarkEnd w:id="135"/>
    </w:p>
    <w:p w14:paraId="583C3406">
      <w:pPr>
        <w:pageBreakBefore w:val="0"/>
        <w:widowControl w:val="0"/>
        <w:kinsoku/>
        <w:wordWrap/>
        <w:overflowPunct/>
        <w:bidi w:val="0"/>
        <w:ind w:firstLine="64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创新社会治理体系，预防和化解社会矛盾，建立健全经济社会重大风险研判、防控协同、防范化解机制，提高防范抵御安全风险能力。</w:t>
      </w:r>
    </w:p>
    <w:p w14:paraId="6A00358A">
      <w:pPr>
        <w:pageBreakBefore w:val="0"/>
        <w:widowControl w:val="0"/>
        <w:kinsoku/>
        <w:wordWrap/>
        <w:overflowPunct/>
        <w:topLinePunct w:val="0"/>
        <w:autoSpaceDE w:val="0"/>
        <w:autoSpaceDN w:val="0"/>
        <w:bidi w:val="0"/>
        <w:adjustRightInd w:val="0"/>
        <w:snapToGrid/>
        <w:spacing w:line="420" w:lineRule="auto"/>
        <w:ind w:firstLine="667" w:firstLineChars="200"/>
        <w:jc w:val="both"/>
        <w:textAlignment w:val="auto"/>
        <w:rPr>
          <w:rFonts w:hint="eastAsia" w:ascii="仿宋" w:hAnsi="仿宋" w:eastAsia="仿宋" w:cs="仿宋"/>
          <w:color w:val="auto"/>
          <w:spacing w:val="6"/>
          <w:highlight w:val="none"/>
          <w:lang w:val="zh-CN"/>
        </w:rPr>
      </w:pPr>
      <w:r>
        <w:rPr>
          <w:rStyle w:val="35"/>
          <w:rFonts w:ascii="Times New Roman" w:hAnsi="Times New Roman" w:eastAsia="KaiTi_GB2312"/>
          <w:color w:val="auto"/>
          <w:spacing w:val="6"/>
          <w:sz w:val="32"/>
          <w:highlight w:val="none"/>
        </w:rPr>
        <w:t>创新社会治理</w:t>
      </w:r>
      <w:r>
        <w:rPr>
          <w:rStyle w:val="35"/>
          <w:rFonts w:hint="eastAsia" w:ascii="Times New Roman" w:hAnsi="Times New Roman" w:eastAsia="KaiTi_GB2312"/>
          <w:color w:val="auto"/>
          <w:spacing w:val="6"/>
          <w:sz w:val="32"/>
          <w:highlight w:val="none"/>
        </w:rPr>
        <w:t>体系</w:t>
      </w:r>
      <w:r>
        <w:rPr>
          <w:rStyle w:val="35"/>
          <w:rFonts w:ascii="Times New Roman" w:hAnsi="Times New Roman" w:eastAsia="KaiTi_GB2312"/>
          <w:color w:val="auto"/>
          <w:spacing w:val="6"/>
          <w:sz w:val="32"/>
          <w:highlight w:val="none"/>
        </w:rPr>
        <w:t>。</w:t>
      </w:r>
      <w:r>
        <w:rPr>
          <w:rStyle w:val="35"/>
          <w:rFonts w:hint="eastAsia" w:ascii="仿宋" w:hAnsi="仿宋" w:eastAsia="仿宋" w:cs="仿宋"/>
          <w:b w:val="0"/>
          <w:bCs w:val="0"/>
          <w:color w:val="auto"/>
          <w:spacing w:val="6"/>
          <w:sz w:val="32"/>
          <w:highlight w:val="none"/>
          <w:lang w:eastAsia="zh-CN"/>
        </w:rPr>
        <w:t>推进市域社会治理现代化试点工作，</w:t>
      </w:r>
      <w:r>
        <w:rPr>
          <w:rFonts w:hint="eastAsia" w:ascii="仿宋" w:hAnsi="仿宋" w:eastAsia="仿宋" w:cs="仿宋"/>
          <w:color w:val="auto"/>
          <w:spacing w:val="6"/>
          <w:highlight w:val="none"/>
        </w:rPr>
        <w:t>强化党建引领基层治理，健全党领导下的自治、法治、德治</w:t>
      </w:r>
      <w:r>
        <w:rPr>
          <w:rFonts w:hint="eastAsia" w:ascii="仿宋" w:hAnsi="仿宋" w:eastAsia="仿宋" w:cs="仿宋"/>
          <w:color w:val="auto"/>
          <w:spacing w:val="6"/>
          <w:highlight w:val="none"/>
          <w:lang w:eastAsia="zh-CN"/>
        </w:rPr>
        <w:t>、智治</w:t>
      </w:r>
      <w:r>
        <w:rPr>
          <w:rFonts w:hint="eastAsia" w:ascii="仿宋" w:hAnsi="仿宋" w:eastAsia="仿宋" w:cs="仿宋"/>
          <w:color w:val="auto"/>
          <w:spacing w:val="6"/>
          <w:highlight w:val="none"/>
        </w:rPr>
        <w:t>相结合的城乡基层治理体系。完善城乡社区（村）治理体制，依法厘清基层政府和社会组织权责边界，建立社区、社会组织、社会工作者联动机制，</w:t>
      </w:r>
      <w:r>
        <w:rPr>
          <w:rFonts w:hint="eastAsia" w:ascii="仿宋" w:hAnsi="仿宋" w:eastAsia="仿宋" w:cs="仿宋"/>
          <w:color w:val="auto"/>
          <w:spacing w:val="6"/>
          <w:highlight w:val="none"/>
          <w:lang w:eastAsia="zh-CN"/>
        </w:rPr>
        <w:t>加强“网格化</w:t>
      </w:r>
      <w:r>
        <w:rPr>
          <w:rFonts w:hint="eastAsia" w:ascii="仿宋" w:hAnsi="仿宋" w:eastAsia="仿宋" w:cs="仿宋"/>
          <w:color w:val="auto"/>
          <w:spacing w:val="6"/>
          <w:highlight w:val="none"/>
          <w:lang w:val="en-US" w:eastAsia="zh-CN"/>
        </w:rPr>
        <w:t>+信息化</w:t>
      </w:r>
      <w:r>
        <w:rPr>
          <w:rFonts w:hint="eastAsia" w:ascii="仿宋" w:hAnsi="仿宋" w:eastAsia="仿宋" w:cs="仿宋"/>
          <w:color w:val="auto"/>
          <w:spacing w:val="6"/>
          <w:highlight w:val="none"/>
          <w:lang w:eastAsia="zh-CN"/>
        </w:rPr>
        <w:t>”社会治理，</w:t>
      </w:r>
      <w:r>
        <w:rPr>
          <w:rFonts w:hint="eastAsia" w:ascii="仿宋" w:hAnsi="仿宋" w:eastAsia="仿宋" w:cs="仿宋"/>
          <w:color w:val="auto"/>
          <w:spacing w:val="6"/>
          <w:highlight w:val="none"/>
        </w:rPr>
        <w:t>全面实行社区网格化服务管理。激发社会组织活力，</w:t>
      </w:r>
      <w:r>
        <w:rPr>
          <w:rFonts w:hint="eastAsia" w:ascii="仿宋" w:hAnsi="仿宋" w:eastAsia="仿宋" w:cs="仿宋"/>
          <w:color w:val="auto"/>
          <w:spacing w:val="6"/>
          <w:highlight w:val="none"/>
          <w:lang w:val="zh-CN"/>
        </w:rPr>
        <w:t>发挥群团组织和社会组织在社会治理中的作用，畅通和规范市场主体、新社会阶层、社会工作者和志愿者等参与社会治理的途径，健全城乡社区综合服务管理平台，促进公共服务、便民利民服务、社会工作服务和志愿服务有机衔接，实现一站式服务。充分发挥好村规民约、居民公约的积极作用，夯实基层社会治理基础。着力加强党的组织体系建设，提升政治素质和战斗力，</w:t>
      </w:r>
      <w:r>
        <w:rPr>
          <w:rFonts w:hint="eastAsia" w:ascii="仿宋" w:hAnsi="仿宋" w:eastAsia="仿宋" w:cs="仿宋"/>
          <w:color w:val="auto"/>
          <w:spacing w:val="6"/>
          <w:szCs w:val="30"/>
          <w:highlight w:val="none"/>
        </w:rPr>
        <w:t>抓好新一轮村（社区）“两委”班子换届，选优配强党组织书记，建立选派第一书记工作长效机制，切实提高农村基层组织建设质量。</w:t>
      </w:r>
    </w:p>
    <w:p w14:paraId="7ED19B0D">
      <w:pPr>
        <w:pageBreakBefore w:val="0"/>
        <w:widowControl w:val="0"/>
        <w:kinsoku/>
        <w:wordWrap/>
        <w:overflowPunct/>
        <w:topLinePunct w:val="0"/>
        <w:autoSpaceDE/>
        <w:autoSpaceDN/>
        <w:bidi w:val="0"/>
        <w:adjustRightInd/>
        <w:snapToGrid/>
        <w:spacing w:line="666" w:lineRule="exact"/>
        <w:ind w:firstLine="643" w:firstLineChars="200"/>
        <w:jc w:val="both"/>
        <w:textAlignment w:val="auto"/>
        <w:rPr>
          <w:rFonts w:hint="eastAsia" w:ascii="仿宋" w:hAnsi="仿宋" w:eastAsia="仿宋" w:cs="仿宋"/>
          <w:bCs/>
          <w:color w:val="auto"/>
          <w:highlight w:val="none"/>
        </w:rPr>
      </w:pPr>
      <w:r>
        <w:rPr>
          <w:rStyle w:val="35"/>
          <w:rFonts w:hint="eastAsia" w:ascii="Times New Roman" w:hAnsi="Times New Roman" w:eastAsia="KaiTi_GB2312"/>
          <w:color w:val="auto"/>
          <w:sz w:val="32"/>
          <w:highlight w:val="none"/>
        </w:rPr>
        <w:t>预防和化解社会矛盾。</w:t>
      </w:r>
      <w:r>
        <w:rPr>
          <w:rFonts w:hint="eastAsia" w:ascii="仿宋" w:hAnsi="仿宋" w:eastAsia="仿宋" w:cs="仿宋"/>
          <w:color w:val="auto"/>
          <w:highlight w:val="none"/>
        </w:rPr>
        <w:t>坚持和发展新时代“枫桥经验”，</w:t>
      </w:r>
      <w:r>
        <w:rPr>
          <w:rFonts w:hint="eastAsia" w:ascii="仿宋" w:hAnsi="仿宋" w:eastAsia="仿宋" w:cs="仿宋"/>
          <w:color w:val="auto"/>
          <w:highlight w:val="none"/>
          <w:lang w:eastAsia="zh-CN"/>
        </w:rPr>
        <w:t>完善社会矛盾纠纷多元预防调处化解综合机制</w:t>
      </w:r>
      <w:r>
        <w:rPr>
          <w:rFonts w:hint="eastAsia" w:ascii="仿宋" w:hAnsi="仿宋" w:eastAsia="仿宋" w:cs="仿宋"/>
          <w:color w:val="auto"/>
          <w:highlight w:val="none"/>
        </w:rPr>
        <w:t>，建立健全市</w:t>
      </w:r>
      <w:r>
        <w:rPr>
          <w:rFonts w:hint="eastAsia" w:ascii="仿宋" w:hAnsi="仿宋" w:eastAsia="仿宋" w:cs="仿宋"/>
          <w:color w:val="auto"/>
          <w:highlight w:val="none"/>
          <w:lang w:eastAsia="zh-CN"/>
        </w:rPr>
        <w:t>、乡镇（</w:t>
      </w:r>
      <w:r>
        <w:rPr>
          <w:rFonts w:hint="eastAsia" w:ascii="仿宋" w:hAnsi="仿宋" w:eastAsia="仿宋" w:cs="仿宋"/>
          <w:color w:val="auto"/>
          <w:highlight w:val="none"/>
        </w:rPr>
        <w:t>街道</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村（社区）多层次纵向人民调解网络和行政调解工作机制，及时有效地把矛盾化解在基层。建立健全重大决策社会稳定风险评估制度、社会</w:t>
      </w:r>
      <w:r>
        <w:rPr>
          <w:rFonts w:hint="eastAsia" w:ascii="仿宋" w:hAnsi="仿宋" w:eastAsia="仿宋" w:cs="仿宋"/>
          <w:color w:val="auto"/>
          <w:highlight w:val="none"/>
          <w:lang w:eastAsia="zh-CN"/>
        </w:rPr>
        <w:t>心理</w:t>
      </w:r>
      <w:r>
        <w:rPr>
          <w:rFonts w:hint="eastAsia" w:ascii="仿宋" w:hAnsi="仿宋" w:eastAsia="仿宋" w:cs="仿宋"/>
          <w:color w:val="auto"/>
          <w:highlight w:val="none"/>
        </w:rPr>
        <w:t>服务体系和危机干预机制。强化“蹲点、服务、交流、化解”四个靠前，从源头上减少和预防不稳定因素。健全诉求表达机制，畅通拓宽群众诉求表达渠道，诉求表达站点常态化值守。全面推进法治信访、责任信访、阳光信访建设，建立互联互通的网上信访综合信息平台。</w:t>
      </w:r>
    </w:p>
    <w:p w14:paraId="01132D35">
      <w:pPr>
        <w:pStyle w:val="4"/>
        <w:keepNext/>
        <w:keepLines/>
        <w:pageBreakBefore w:val="0"/>
        <w:widowControl w:val="0"/>
        <w:kinsoku/>
        <w:wordWrap/>
        <w:overflowPunct/>
        <w:topLinePunct w:val="0"/>
        <w:autoSpaceDE/>
        <w:autoSpaceDN/>
        <w:bidi w:val="0"/>
        <w:adjustRightInd/>
        <w:snapToGrid/>
        <w:spacing w:before="0" w:after="0" w:line="666" w:lineRule="exact"/>
        <w:jc w:val="center"/>
        <w:textAlignment w:val="auto"/>
        <w:rPr>
          <w:rFonts w:hint="eastAsia" w:ascii="黑体" w:hAnsi="黑体" w:eastAsia="黑体" w:cs="黑体"/>
          <w:b w:val="0"/>
          <w:bCs/>
          <w:color w:val="auto"/>
          <w:highlight w:val="none"/>
          <w:lang w:val="zh-CN" w:eastAsia="zh-CN"/>
        </w:rPr>
      </w:pPr>
      <w:bookmarkStart w:id="136" w:name="_Toc18049"/>
      <w:r>
        <w:rPr>
          <w:rFonts w:hint="eastAsia" w:ascii="黑体" w:hAnsi="黑体" w:eastAsia="黑体" w:cs="黑体"/>
          <w:b w:val="0"/>
          <w:bCs/>
          <w:color w:val="auto"/>
          <w:kern w:val="44"/>
          <w:sz w:val="32"/>
          <w:szCs w:val="32"/>
          <w:highlight w:val="none"/>
          <w:lang w:val="en-US" w:eastAsia="zh-CN" w:bidi="ar-SA"/>
        </w:rPr>
        <w:t>第三节 筑牢安全体系</w:t>
      </w:r>
      <w:bookmarkEnd w:id="136"/>
    </w:p>
    <w:p w14:paraId="3CEEF82E">
      <w:pPr>
        <w:pageBreakBefore w:val="0"/>
        <w:widowControl w:val="0"/>
        <w:kinsoku/>
        <w:wordWrap/>
        <w:overflowPunct/>
        <w:topLinePunct w:val="0"/>
        <w:autoSpaceDE/>
        <w:autoSpaceDN/>
        <w:bidi w:val="0"/>
        <w:adjustRightInd/>
        <w:snapToGrid/>
        <w:spacing w:line="666" w:lineRule="exact"/>
        <w:ind w:firstLine="64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32"/>
          <w:szCs w:val="32"/>
          <w:highlight w:val="none"/>
        </w:rPr>
        <w:t>维护社会稳定和安全</w:t>
      </w:r>
      <w:r>
        <w:rPr>
          <w:rFonts w:hint="eastAsia" w:ascii="仿宋" w:hAnsi="仿宋" w:eastAsia="仿宋" w:cs="仿宋"/>
          <w:color w:val="auto"/>
          <w:sz w:val="32"/>
          <w:szCs w:val="32"/>
          <w:highlight w:val="none"/>
          <w:lang w:eastAsia="zh-CN"/>
        </w:rPr>
        <w:t>，完善公共安全保障机制。</w:t>
      </w:r>
      <w:r>
        <w:rPr>
          <w:rFonts w:hint="eastAsia" w:ascii="仿宋" w:hAnsi="仿宋" w:eastAsia="仿宋" w:cs="仿宋"/>
          <w:color w:val="auto"/>
          <w:sz w:val="32"/>
          <w:szCs w:val="32"/>
          <w:highlight w:val="none"/>
        </w:rPr>
        <w:t>认真践行“两个坚持、三个转变”防灾减灾救灾理念，坚持补短板、堵漏洞、强弱项，全面加强我市重大公共安全应急保障体系和能力建设。</w:t>
      </w:r>
    </w:p>
    <w:p w14:paraId="6E179352">
      <w:pPr>
        <w:keepNext w:val="0"/>
        <w:keepLines w:val="0"/>
        <w:pageBreakBefore w:val="0"/>
        <w:widowControl w:val="0"/>
        <w:pBdr>
          <w:bottom w:val="single" w:color="FFFFFF" w:sz="4" w:space="30"/>
        </w:pBdr>
        <w:kinsoku/>
        <w:wordWrap/>
        <w:overflowPunct/>
        <w:topLinePunct w:val="0"/>
        <w:autoSpaceDE/>
        <w:autoSpaceDN/>
        <w:bidi w:val="0"/>
        <w:adjustRightInd/>
        <w:snapToGrid/>
        <w:spacing w:line="666"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szCs w:val="32"/>
          <w:highlight w:val="none"/>
        </w:rPr>
        <w:t>维护社会稳定和安全。</w:t>
      </w:r>
      <w:r>
        <w:rPr>
          <w:rFonts w:hint="eastAsia" w:ascii="仿宋" w:hAnsi="仿宋" w:eastAsia="仿宋" w:cs="仿宋"/>
          <w:color w:val="auto"/>
          <w:highlight w:val="none"/>
        </w:rPr>
        <w:t>加强国家安全宣传教育，增强全</w:t>
      </w:r>
      <w:r>
        <w:rPr>
          <w:rFonts w:hint="eastAsia" w:ascii="仿宋" w:hAnsi="仿宋" w:eastAsia="仿宋" w:cs="仿宋"/>
          <w:color w:val="auto"/>
          <w:highlight w:val="none"/>
          <w:lang w:eastAsia="zh-CN"/>
        </w:rPr>
        <w:t>民</w:t>
      </w:r>
      <w:r>
        <w:rPr>
          <w:rFonts w:hint="eastAsia" w:ascii="仿宋" w:hAnsi="仿宋" w:eastAsia="仿宋" w:cs="仿宋"/>
          <w:color w:val="auto"/>
          <w:highlight w:val="none"/>
        </w:rPr>
        <w:t>国家安全意识。坚决捍卫国家政治安全，严密防范和</w:t>
      </w:r>
      <w:r>
        <w:rPr>
          <w:rFonts w:hint="eastAsia" w:ascii="仿宋" w:hAnsi="仿宋" w:eastAsia="仿宋" w:cs="仿宋"/>
          <w:color w:val="auto"/>
          <w:highlight w:val="none"/>
          <w:lang w:eastAsia="zh-CN"/>
        </w:rPr>
        <w:t>严厉</w:t>
      </w:r>
      <w:r>
        <w:rPr>
          <w:rFonts w:hint="eastAsia" w:ascii="仿宋" w:hAnsi="仿宋" w:eastAsia="仿宋" w:cs="仿宋"/>
          <w:color w:val="auto"/>
          <w:highlight w:val="none"/>
        </w:rPr>
        <w:t>打击敌对势力渗透、破坏、颠覆、分裂活动，</w:t>
      </w:r>
      <w:r>
        <w:rPr>
          <w:rFonts w:hint="eastAsia" w:ascii="仿宋" w:hAnsi="仿宋" w:eastAsia="仿宋" w:cs="仿宋"/>
          <w:bCs/>
          <w:color w:val="auto"/>
          <w:szCs w:val="32"/>
          <w:highlight w:val="none"/>
        </w:rPr>
        <w:t>突出做好民族宗教工作，坚决制止非法宗教活动</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val="en-US" w:eastAsia="zh-CN"/>
        </w:rPr>
        <w:t>加强经济安全风险预警、防控机制和能力建设，确保产业安全、科技安全、信息安全、生态安全、资源安全等。</w:t>
      </w:r>
      <w:r>
        <w:rPr>
          <w:rFonts w:hint="eastAsia" w:ascii="仿宋" w:hAnsi="仿宋" w:eastAsia="仿宋" w:cs="仿宋"/>
          <w:color w:val="auto"/>
          <w:highlight w:val="none"/>
        </w:rPr>
        <w:t>深化“平安武冈”建设，</w:t>
      </w:r>
      <w:r>
        <w:rPr>
          <w:rFonts w:hint="eastAsia" w:ascii="仿宋" w:hAnsi="仿宋" w:eastAsia="仿宋" w:cs="仿宋"/>
          <w:b w:val="0"/>
          <w:bCs w:val="0"/>
          <w:color w:val="auto"/>
          <w:spacing w:val="0"/>
          <w:sz w:val="32"/>
          <w:szCs w:val="32"/>
          <w:highlight w:val="none"/>
          <w:lang w:val="en-US" w:eastAsia="zh-CN"/>
        </w:rPr>
        <w:t>推进“全国市域社会治理现代化试点合格城市”创建，抓好市乡村三级社会治理创新。</w:t>
      </w:r>
      <w:r>
        <w:rPr>
          <w:rFonts w:hint="eastAsia" w:ascii="仿宋" w:hAnsi="仿宋" w:eastAsia="仿宋" w:cs="仿宋"/>
          <w:color w:val="auto"/>
          <w:highlight w:val="none"/>
        </w:rPr>
        <w:t>深入推进</w:t>
      </w:r>
      <w:r>
        <w:rPr>
          <w:rFonts w:hint="eastAsia" w:ascii="仿宋" w:hAnsi="仿宋" w:eastAsia="仿宋" w:cs="仿宋"/>
          <w:color w:val="auto"/>
          <w:highlight w:val="none"/>
          <w:lang w:eastAsia="zh-CN"/>
        </w:rPr>
        <w:t>城乡末端感知系统建设，推进“雪亮村庄”“智慧社区”</w:t>
      </w:r>
      <w:r>
        <w:rPr>
          <w:rFonts w:hint="eastAsia" w:ascii="仿宋" w:hAnsi="仿宋" w:eastAsia="仿宋" w:cs="仿宋"/>
          <w:color w:val="auto"/>
          <w:highlight w:val="none"/>
        </w:rPr>
        <w:t>，实现公共安全视频监控系统全覆盖，构建立体化</w:t>
      </w:r>
      <w:r>
        <w:rPr>
          <w:rFonts w:hint="eastAsia" w:ascii="仿宋" w:hAnsi="仿宋" w:eastAsia="仿宋" w:cs="仿宋"/>
          <w:color w:val="auto"/>
          <w:highlight w:val="none"/>
          <w:lang w:eastAsia="zh-CN"/>
        </w:rPr>
        <w:t>、信息化</w:t>
      </w:r>
      <w:r>
        <w:rPr>
          <w:rFonts w:hint="eastAsia" w:ascii="仿宋" w:hAnsi="仿宋" w:eastAsia="仿宋" w:cs="仿宋"/>
          <w:color w:val="auto"/>
          <w:highlight w:val="none"/>
        </w:rPr>
        <w:t>社会治安防控体系。</w:t>
      </w:r>
      <w:r>
        <w:rPr>
          <w:rFonts w:hint="eastAsia" w:ascii="仿宋" w:hAnsi="仿宋" w:eastAsia="仿宋" w:cs="仿宋"/>
          <w:color w:val="auto"/>
          <w:highlight w:val="none"/>
          <w:lang w:eastAsia="zh-CN"/>
        </w:rPr>
        <w:t>做实县域警务工作和夯</w:t>
      </w:r>
      <w:r>
        <w:rPr>
          <w:rFonts w:hint="eastAsia" w:ascii="仿宋" w:hAnsi="仿宋" w:eastAsia="仿宋" w:cs="仿宋"/>
          <w:color w:val="auto"/>
          <w:highlight w:val="none"/>
        </w:rPr>
        <w:t>实社区警务、一村一辅警、邵阳快警等基础工作，实现网格化综合治理，加强公安基层基础建设，实施基层执法中心</w:t>
      </w:r>
      <w:r>
        <w:rPr>
          <w:rFonts w:hint="eastAsia" w:ascii="仿宋" w:hAnsi="仿宋" w:eastAsia="仿宋" w:cs="仿宋"/>
          <w:color w:val="auto"/>
          <w:highlight w:val="none"/>
          <w:lang w:eastAsia="zh-CN"/>
        </w:rPr>
        <w:t>五</w:t>
      </w:r>
      <w:r>
        <w:rPr>
          <w:rFonts w:hint="eastAsia" w:ascii="仿宋" w:hAnsi="仿宋" w:eastAsia="仿宋" w:cs="仿宋"/>
          <w:color w:val="auto"/>
          <w:highlight w:val="none"/>
        </w:rPr>
        <w:t>年规划行动，开展创建“枫桥式派出所”活动，重点完成派出所业务用房及15个乡镇综合执法中心项目建设。加强社区矫正执法中队建设，深入推进社区矫正队建制改革，提升我市社区矫正工作规范化、法治化、信息化水平。创建集食宿、教育、培训和救助为一体的过渡性安置基地，促进刑满释放人员顺利回归和融入社会，预防和减少重新违法犯罪。坚决守住“四个不发生”底线，防范和打击突出违法犯罪、新型</w:t>
      </w:r>
      <w:r>
        <w:rPr>
          <w:rFonts w:hint="eastAsia" w:ascii="仿宋" w:hAnsi="仿宋" w:eastAsia="仿宋" w:cs="仿宋"/>
          <w:color w:val="auto"/>
          <w:highlight w:val="none"/>
          <w:lang w:eastAsia="zh-CN"/>
        </w:rPr>
        <w:t>网络</w:t>
      </w:r>
      <w:r>
        <w:rPr>
          <w:rFonts w:hint="eastAsia" w:ascii="仿宋" w:hAnsi="仿宋" w:eastAsia="仿宋" w:cs="仿宋"/>
          <w:color w:val="auto"/>
          <w:highlight w:val="none"/>
        </w:rPr>
        <w:t>犯罪</w:t>
      </w:r>
      <w:r>
        <w:rPr>
          <w:rFonts w:hint="eastAsia" w:ascii="仿宋" w:hAnsi="仿宋" w:eastAsia="仿宋" w:cs="仿宋"/>
          <w:color w:val="auto"/>
          <w:highlight w:val="none"/>
          <w:lang w:eastAsia="zh-CN"/>
        </w:rPr>
        <w:t>、跨境犯罪，建立健全扫黑除恶专项斗争长效机制，坚定不移打好禁毒人民战争。全面深化“平安武冈”建设，</w:t>
      </w:r>
      <w:r>
        <w:rPr>
          <w:rFonts w:hint="eastAsia" w:ascii="仿宋" w:hAnsi="仿宋" w:eastAsia="仿宋" w:cs="仿宋"/>
          <w:color w:val="auto"/>
          <w:highlight w:val="none"/>
        </w:rPr>
        <w:t>确保全市社会治安持续向好。</w:t>
      </w:r>
    </w:p>
    <w:p w14:paraId="0F7E7753">
      <w:pPr>
        <w:keepNext w:val="0"/>
        <w:keepLines w:val="0"/>
        <w:pageBreakBefore w:val="0"/>
        <w:widowControl w:val="0"/>
        <w:pBdr>
          <w:bottom w:val="single" w:color="FFFFFF" w:sz="4" w:space="30"/>
        </w:pBdr>
        <w:kinsoku/>
        <w:wordWrap/>
        <w:overflowPunct/>
        <w:topLinePunct w:val="0"/>
        <w:autoSpaceDE/>
        <w:autoSpaceDN/>
        <w:bidi w:val="0"/>
        <w:adjustRightInd/>
        <w:snapToGrid/>
        <w:spacing w:line="666" w:lineRule="exact"/>
        <w:ind w:firstLine="643" w:firstLineChars="200"/>
        <w:jc w:val="both"/>
        <w:textAlignment w:val="auto"/>
        <w:rPr>
          <w:rFonts w:hint="eastAsia"/>
          <w:lang w:val="en-US" w:eastAsia="zh-CN"/>
        </w:rPr>
      </w:pPr>
      <w:r>
        <w:rPr>
          <w:rFonts w:hint="eastAsia" w:ascii="楷体" w:hAnsi="楷体" w:eastAsia="楷体" w:cs="楷体"/>
          <w:b/>
          <w:bCs/>
          <w:color w:val="auto"/>
          <w:szCs w:val="32"/>
          <w:highlight w:val="none"/>
          <w:lang w:eastAsia="zh-CN"/>
        </w:rPr>
        <w:t>完善公共安全保障机制</w:t>
      </w:r>
      <w:r>
        <w:rPr>
          <w:rFonts w:hint="eastAsia" w:ascii="楷体" w:hAnsi="楷体" w:eastAsia="楷体" w:cs="楷体"/>
          <w:b/>
          <w:bCs/>
          <w:color w:val="auto"/>
          <w:szCs w:val="32"/>
          <w:highlight w:val="none"/>
        </w:rPr>
        <w:t>。</w:t>
      </w:r>
      <w:r>
        <w:rPr>
          <w:rFonts w:hint="eastAsia" w:ascii="仿宋" w:hAnsi="仿宋" w:eastAsia="仿宋" w:cs="仿宋"/>
          <w:color w:val="auto"/>
          <w:szCs w:val="32"/>
          <w:highlight w:val="none"/>
        </w:rPr>
        <w:t>牢固树立安全发展理念，坚持人民至上、生命至上，始终把保护人民生命安全摆在首位，全面提高公共安全保障能力。</w:t>
      </w:r>
      <w:r>
        <w:rPr>
          <w:rFonts w:hint="eastAsia" w:ascii="仿宋" w:hAnsi="仿宋" w:eastAsia="仿宋" w:cs="仿宋"/>
          <w:color w:val="auto"/>
          <w:spacing w:val="0"/>
          <w:sz w:val="32"/>
          <w:szCs w:val="32"/>
          <w:highlight w:val="none"/>
          <w:lang w:val="en-US" w:eastAsia="zh-CN"/>
        </w:rPr>
        <w:t>推进网络意识形态责任制和网络安全责任制落实，提高网络内容建设与管理、网络安全和信息化工</w:t>
      </w:r>
      <w:r>
        <w:rPr>
          <w:rFonts w:hint="eastAsia" w:ascii="仿宋" w:hAnsi="仿宋" w:eastAsia="仿宋" w:cs="仿宋"/>
          <w:color w:val="auto"/>
          <w:highlight w:val="none"/>
          <w:lang w:val="en-US" w:eastAsia="zh-CN"/>
        </w:rPr>
        <w:t>作水平。</w:t>
      </w:r>
      <w:r>
        <w:rPr>
          <w:rFonts w:hint="eastAsia" w:ascii="仿宋" w:hAnsi="仿宋" w:eastAsia="仿宋" w:cs="仿宋"/>
          <w:color w:val="auto"/>
          <w:highlight w:val="none"/>
        </w:rPr>
        <w:t>完善和落实安全生产责任制，加强安全生产监管执法</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加大安全监管执法力度，扎实开展安全生产专项整治三年行</w:t>
      </w:r>
      <w:r>
        <w:rPr>
          <w:rFonts w:hint="eastAsia" w:ascii="仿宋" w:hAnsi="仿宋" w:eastAsia="仿宋" w:cs="仿宋"/>
          <w:color w:val="auto"/>
          <w:spacing w:val="0"/>
          <w:sz w:val="32"/>
          <w:szCs w:val="32"/>
          <w:highlight w:val="none"/>
          <w:lang w:val="en-US" w:eastAsia="zh-CN"/>
        </w:rPr>
        <w:t>动，完成“基层消防上台阶”三年行动目标任务。</w:t>
      </w:r>
      <w:r>
        <w:rPr>
          <w:rFonts w:hint="eastAsia" w:ascii="仿宋" w:hAnsi="仿宋" w:eastAsia="仿宋" w:cs="仿宋"/>
          <w:bCs/>
          <w:color w:val="auto"/>
          <w:szCs w:val="32"/>
          <w:highlight w:val="none"/>
        </w:rPr>
        <w:t>全面落实安全生</w:t>
      </w:r>
      <w:r>
        <w:rPr>
          <w:rFonts w:hint="eastAsia" w:ascii="仿宋" w:hAnsi="仿宋" w:eastAsia="仿宋" w:cs="仿宋"/>
          <w:bCs/>
          <w:color w:val="auto"/>
          <w:spacing w:val="-6"/>
          <w:szCs w:val="32"/>
          <w:highlight w:val="none"/>
        </w:rPr>
        <w:t>产“3533+1”</w:t>
      </w:r>
      <w:r>
        <w:rPr>
          <w:rFonts w:hint="eastAsia" w:ascii="仿宋" w:hAnsi="仿宋" w:eastAsia="仿宋" w:cs="仿宋"/>
          <w:bCs/>
          <w:color w:val="auto"/>
          <w:spacing w:val="-6"/>
          <w:szCs w:val="32"/>
          <w:highlight w:val="none"/>
          <w:lang w:eastAsia="zh-CN"/>
        </w:rPr>
        <w:t>和“三张清单”</w:t>
      </w:r>
      <w:r>
        <w:rPr>
          <w:rFonts w:hint="eastAsia" w:ascii="仿宋" w:hAnsi="仿宋" w:eastAsia="仿宋" w:cs="仿宋"/>
          <w:bCs/>
          <w:color w:val="auto"/>
          <w:spacing w:val="-6"/>
          <w:szCs w:val="32"/>
          <w:highlight w:val="none"/>
        </w:rPr>
        <w:t>工作机制，有效遏制危险化学品</w:t>
      </w:r>
      <w:r>
        <w:rPr>
          <w:rFonts w:hint="eastAsia" w:ascii="仿宋" w:hAnsi="仿宋" w:eastAsia="仿宋" w:cs="仿宋"/>
          <w:bCs/>
          <w:color w:val="auto"/>
          <w:spacing w:val="-6"/>
          <w:szCs w:val="32"/>
          <w:highlight w:val="none"/>
          <w:lang w:eastAsia="zh-CN"/>
        </w:rPr>
        <w:t>、</w:t>
      </w:r>
      <w:r>
        <w:rPr>
          <w:rFonts w:hint="eastAsia" w:ascii="仿宋" w:hAnsi="仿宋" w:eastAsia="仿宋" w:cs="仿宋"/>
          <w:bCs/>
          <w:color w:val="auto"/>
          <w:szCs w:val="32"/>
          <w:highlight w:val="none"/>
        </w:rPr>
        <w:t>矿山、建筑施工、交通等较大及以上安全事故。健全应急管理体系，持续实施基层消防上台阶三年行动，落实森林灭火“十个一”工作机制，提升洪涝干旱、森林草原火灾、地质灾害</w:t>
      </w:r>
      <w:r>
        <w:rPr>
          <w:rFonts w:hint="eastAsia" w:ascii="仿宋" w:hAnsi="仿宋" w:eastAsia="仿宋" w:cs="仿宋"/>
          <w:bCs/>
          <w:color w:val="auto"/>
          <w:szCs w:val="32"/>
          <w:highlight w:val="none"/>
          <w:lang w:eastAsia="zh-CN"/>
        </w:rPr>
        <w:t>、</w:t>
      </w:r>
      <w:r>
        <w:rPr>
          <w:rFonts w:hint="eastAsia" w:ascii="仿宋" w:hAnsi="仿宋" w:eastAsia="仿宋" w:cs="仿宋"/>
          <w:bCs/>
          <w:color w:val="auto"/>
          <w:szCs w:val="32"/>
          <w:highlight w:val="none"/>
        </w:rPr>
        <w:t>地震等自然灾害防御工程标准，加快江河控制性工程建设，加快病险水库除险加固，全面推进</w:t>
      </w:r>
      <w:r>
        <w:rPr>
          <w:rFonts w:hint="eastAsia" w:ascii="仿宋" w:hAnsi="仿宋" w:eastAsia="仿宋" w:cs="仿宋"/>
          <w:bCs/>
          <w:color w:val="auto"/>
          <w:szCs w:val="32"/>
          <w:highlight w:val="none"/>
          <w:lang w:eastAsia="zh-CN"/>
        </w:rPr>
        <w:t>堤防</w:t>
      </w:r>
      <w:r>
        <w:rPr>
          <w:rFonts w:hint="eastAsia" w:ascii="仿宋" w:hAnsi="仿宋" w:eastAsia="仿宋" w:cs="仿宋"/>
          <w:bCs/>
          <w:color w:val="auto"/>
          <w:szCs w:val="32"/>
          <w:highlight w:val="none"/>
        </w:rPr>
        <w:t>建设。加强应急物资保障体系建设，</w:t>
      </w:r>
      <w:r>
        <w:rPr>
          <w:rFonts w:hint="eastAsia" w:ascii="仿宋" w:hAnsi="仿宋" w:eastAsia="仿宋" w:cs="仿宋"/>
          <w:bCs/>
          <w:color w:val="auto"/>
          <w:szCs w:val="32"/>
          <w:highlight w:val="none"/>
          <w:lang w:eastAsia="zh-CN"/>
        </w:rPr>
        <w:t>建成综合应急管理智慧平台、“智慧消防”管理平台，建好</w:t>
      </w:r>
      <w:r>
        <w:rPr>
          <w:rFonts w:hint="eastAsia" w:ascii="仿宋" w:hAnsi="仿宋" w:eastAsia="仿宋" w:cs="仿宋"/>
          <w:bCs/>
          <w:color w:val="auto"/>
          <w:szCs w:val="32"/>
          <w:highlight w:val="none"/>
        </w:rPr>
        <w:t>粮食物资保障中心和应急救援仓库</w:t>
      </w:r>
      <w:r>
        <w:rPr>
          <w:rFonts w:hint="eastAsia" w:ascii="仿宋" w:hAnsi="仿宋" w:eastAsia="仿宋" w:cs="仿宋"/>
          <w:bCs/>
          <w:color w:val="auto"/>
          <w:szCs w:val="32"/>
          <w:highlight w:val="none"/>
          <w:lang w:eastAsia="zh-CN"/>
        </w:rPr>
        <w:t>。</w:t>
      </w:r>
      <w:r>
        <w:rPr>
          <w:rFonts w:hint="eastAsia" w:ascii="仿宋" w:hAnsi="仿宋" w:eastAsia="仿宋" w:cs="仿宋"/>
          <w:bCs/>
          <w:color w:val="auto"/>
          <w:szCs w:val="32"/>
          <w:highlight w:val="none"/>
        </w:rPr>
        <w:t>发展巨灾保险，提高防灾、减灾、抗灾、救灾能力。加强食品药品安全监管，严格执法，依法行政，实现餐饮服务、食品、药品、医疗器</w:t>
      </w:r>
      <w:r>
        <w:rPr>
          <w:rFonts w:hint="eastAsia" w:ascii="仿宋" w:hAnsi="仿宋" w:eastAsia="仿宋" w:cs="仿宋"/>
          <w:color w:val="auto"/>
          <w:highlight w:val="none"/>
        </w:rPr>
        <w:t>械等各环节的全程动态、规范有效地监管</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开展</w:t>
      </w:r>
      <w:r>
        <w:rPr>
          <w:rFonts w:hint="eastAsia" w:ascii="仿宋" w:hAnsi="仿宋" w:eastAsia="仿宋" w:cs="仿宋"/>
          <w:color w:val="auto"/>
          <w:highlight w:val="none"/>
          <w:lang w:eastAsia="zh-CN"/>
        </w:rPr>
        <w:t>省级</w:t>
      </w:r>
      <w:r>
        <w:rPr>
          <w:rFonts w:hint="eastAsia" w:ascii="仿宋" w:hAnsi="仿宋" w:eastAsia="仿宋" w:cs="仿宋"/>
          <w:color w:val="auto"/>
          <w:highlight w:val="none"/>
        </w:rPr>
        <w:t>食品安全示范</w:t>
      </w:r>
      <w:r>
        <w:rPr>
          <w:rFonts w:hint="eastAsia" w:ascii="仿宋" w:hAnsi="仿宋" w:eastAsia="仿宋" w:cs="仿宋"/>
          <w:color w:val="auto"/>
          <w:highlight w:val="none"/>
          <w:lang w:eastAsia="zh-CN"/>
        </w:rPr>
        <w:t>县（市）创建，</w:t>
      </w:r>
      <w:r>
        <w:rPr>
          <w:rFonts w:hint="eastAsia" w:ascii="仿宋" w:hAnsi="仿宋" w:eastAsia="仿宋" w:cs="仿宋"/>
          <w:color w:val="auto"/>
          <w:highlight w:val="none"/>
        </w:rPr>
        <w:t>建设食品安全信息化平台，完成湖南省卤制食品质量监督检验中心建设</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“十四五”期间，重大食品安全事故处置率100%，国家基本药物安全监管</w:t>
      </w:r>
      <w:r>
        <w:rPr>
          <w:rFonts w:hint="eastAsia" w:ascii="仿宋" w:hAnsi="仿宋" w:eastAsia="仿宋" w:cs="仿宋"/>
          <w:color w:val="auto"/>
          <w:highlight w:val="none"/>
          <w:lang w:eastAsia="zh-CN"/>
        </w:rPr>
        <w:t>覆</w:t>
      </w:r>
      <w:r>
        <w:rPr>
          <w:rFonts w:hint="eastAsia" w:ascii="仿宋" w:hAnsi="仿宋" w:eastAsia="仿宋" w:cs="仿宋"/>
          <w:color w:val="auto"/>
          <w:highlight w:val="none"/>
        </w:rPr>
        <w:t>盖面达100%。</w:t>
      </w:r>
      <w:r>
        <w:rPr>
          <w:rFonts w:hint="eastAsia" w:ascii="仿宋" w:hAnsi="仿宋" w:eastAsia="仿宋" w:cs="仿宋"/>
          <w:i w:val="0"/>
          <w:caps w:val="0"/>
          <w:color w:val="auto"/>
          <w:spacing w:val="0"/>
          <w:kern w:val="0"/>
          <w:sz w:val="32"/>
          <w:szCs w:val="32"/>
          <w:highlight w:val="none"/>
          <w:shd w:val="clear" w:fill="FFFFFF"/>
          <w:lang w:val="en-US" w:eastAsia="zh-CN" w:bidi="ar"/>
        </w:rPr>
        <w:t>加快完善民兵预备役、国防动员体制机制，加强国防动员和后备力量建设。加快推进军民融合发展，深入开展双拥共建，巩固和发展军民团结。</w:t>
      </w:r>
      <w:r>
        <w:rPr>
          <w:rFonts w:hint="eastAsia" w:ascii="仿宋" w:hAnsi="仿宋" w:eastAsia="仿宋" w:cs="仿宋"/>
          <w:color w:val="auto"/>
          <w:kern w:val="2"/>
          <w:sz w:val="32"/>
          <w:szCs w:val="32"/>
          <w:highlight w:val="none"/>
        </w:rPr>
        <w:t>执行统计调查制度</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rPr>
        <w:t>确保</w:t>
      </w:r>
      <w:r>
        <w:rPr>
          <w:rFonts w:hint="eastAsia" w:ascii="仿宋" w:hAnsi="仿宋" w:eastAsia="仿宋" w:cs="仿宋"/>
          <w:color w:val="auto"/>
          <w:kern w:val="2"/>
          <w:sz w:val="32"/>
          <w:szCs w:val="32"/>
          <w:highlight w:val="none"/>
          <w:lang w:eastAsia="zh-CN"/>
        </w:rPr>
        <w:t>统计</w:t>
      </w:r>
      <w:r>
        <w:rPr>
          <w:rFonts w:hint="eastAsia" w:ascii="仿宋" w:hAnsi="仿宋" w:eastAsia="仿宋" w:cs="仿宋"/>
          <w:color w:val="auto"/>
          <w:kern w:val="2"/>
          <w:sz w:val="32"/>
          <w:szCs w:val="32"/>
          <w:highlight w:val="none"/>
        </w:rPr>
        <w:t>数据的完整性和准确性</w:t>
      </w:r>
      <w:r>
        <w:rPr>
          <w:rFonts w:hint="eastAsia" w:ascii="仿宋" w:hAnsi="仿宋" w:eastAsia="仿宋" w:cs="仿宋"/>
          <w:color w:val="auto"/>
          <w:kern w:val="2"/>
          <w:sz w:val="32"/>
          <w:szCs w:val="32"/>
          <w:highlight w:val="none"/>
          <w:lang w:eastAsia="zh-CN"/>
        </w:rPr>
        <w:t>。</w:t>
      </w:r>
      <w:r>
        <w:rPr>
          <w:rFonts w:hint="eastAsia" w:ascii="仿宋" w:hAnsi="仿宋" w:eastAsia="仿宋" w:cs="仿宋"/>
          <w:i w:val="0"/>
          <w:caps w:val="0"/>
          <w:color w:val="auto"/>
          <w:spacing w:val="0"/>
          <w:kern w:val="0"/>
          <w:sz w:val="32"/>
          <w:szCs w:val="32"/>
          <w:highlight w:val="none"/>
          <w:shd w:val="clear" w:fill="FFFFFF"/>
          <w:lang w:val="en-US" w:eastAsia="zh-CN" w:bidi="ar"/>
        </w:rPr>
        <w:t>坚持依法治档、加强档案工作管理，建设智慧档案。</w:t>
      </w:r>
      <w:r>
        <w:rPr>
          <w:rFonts w:hint="eastAsia" w:ascii="仿宋" w:hAnsi="仿宋" w:eastAsia="仿宋" w:cs="仿宋"/>
          <w:i w:val="0"/>
          <w:caps w:val="0"/>
          <w:color w:val="auto"/>
          <w:spacing w:val="0"/>
          <w:sz w:val="32"/>
          <w:szCs w:val="32"/>
          <w:highlight w:val="none"/>
          <w:shd w:val="clear" w:fill="FFFFFF"/>
        </w:rPr>
        <w:t>遵循统一领导、分级负责，创新发展、服务大局，依法管理、保</w:t>
      </w:r>
      <w:r>
        <w:rPr>
          <w:rFonts w:hint="eastAsia" w:ascii="仿宋" w:hAnsi="仿宋" w:eastAsia="仿宋" w:cs="仿宋"/>
          <w:i w:val="0"/>
          <w:caps w:val="0"/>
          <w:color w:val="auto"/>
          <w:spacing w:val="6"/>
          <w:sz w:val="32"/>
          <w:szCs w:val="32"/>
          <w:highlight w:val="none"/>
          <w:shd w:val="clear" w:fill="FFFFFF"/>
        </w:rPr>
        <w:t>障安全的原则</w:t>
      </w:r>
      <w:r>
        <w:rPr>
          <w:rFonts w:hint="eastAsia" w:ascii="仿宋" w:hAnsi="仿宋" w:eastAsia="仿宋" w:cs="仿宋"/>
          <w:i w:val="0"/>
          <w:caps w:val="0"/>
          <w:color w:val="auto"/>
          <w:spacing w:val="6"/>
          <w:sz w:val="32"/>
          <w:szCs w:val="32"/>
          <w:highlight w:val="none"/>
          <w:shd w:val="clear" w:fill="FFFFFF"/>
          <w:lang w:eastAsia="zh-CN"/>
        </w:rPr>
        <w:t>，抓好密码工作。进一步抓好</w:t>
      </w:r>
      <w:r>
        <w:rPr>
          <w:rFonts w:hint="eastAsia" w:ascii="仿宋" w:hAnsi="仿宋" w:eastAsia="仿宋" w:cs="仿宋"/>
          <w:color w:val="auto"/>
          <w:spacing w:val="6"/>
          <w:sz w:val="32"/>
          <w:szCs w:val="32"/>
          <w:highlight w:val="none"/>
          <w:lang w:eastAsia="zh-CN"/>
        </w:rPr>
        <w:t>审计、统战、民宗</w:t>
      </w:r>
      <w:r>
        <w:rPr>
          <w:rFonts w:hint="eastAsia" w:ascii="仿宋" w:hAnsi="仿宋" w:eastAsia="仿宋" w:cs="仿宋"/>
          <w:color w:val="auto"/>
          <w:spacing w:val="0"/>
          <w:sz w:val="32"/>
          <w:szCs w:val="32"/>
          <w:highlight w:val="none"/>
          <w:lang w:eastAsia="zh-CN"/>
        </w:rPr>
        <w:t>、移民、广电、市管、史志、老干、烟草、盐业、石油、气象、邮政、保险等各项事业。工会、妇联、共青团、侨联、科协、工商联等群团组织作用进一步发挥。</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012C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shd w:val="clear" w:color="auto" w:fill="auto"/>
          </w:tcPr>
          <w:p w14:paraId="74A3F749">
            <w:pPr>
              <w:pageBreakBefore w:val="0"/>
              <w:widowControl w:val="0"/>
              <w:kinsoku/>
              <w:wordWrap/>
              <w:overflowPunct/>
              <w:topLinePunct w:val="0"/>
              <w:bidi w:val="0"/>
              <w:spacing w:line="420" w:lineRule="auto"/>
              <w:jc w:val="center"/>
              <w:textAlignment w:val="auto"/>
              <w:rPr>
                <w:rFonts w:eastAsia="黑体"/>
                <w:bCs/>
                <w:color w:val="auto"/>
                <w:kern w:val="0"/>
                <w:sz w:val="28"/>
                <w:szCs w:val="28"/>
                <w:highlight w:val="none"/>
              </w:rPr>
            </w:pPr>
            <w:bookmarkStart w:id="137" w:name="_Toc27192"/>
            <w:bookmarkStart w:id="138" w:name="_Toc31590"/>
            <w:bookmarkStart w:id="139" w:name="_Toc24943"/>
            <w:r>
              <w:rPr>
                <w:rFonts w:hint="eastAsia" w:ascii="宋体" w:hAnsi="宋体" w:eastAsia="宋体" w:cs="宋体"/>
                <w:b/>
                <w:bCs w:val="0"/>
                <w:color w:val="auto"/>
                <w:kern w:val="0"/>
                <w:sz w:val="28"/>
                <w:szCs w:val="28"/>
                <w:highlight w:val="none"/>
              </w:rPr>
              <w:t>专栏</w:t>
            </w:r>
            <w:r>
              <w:rPr>
                <w:rFonts w:hint="eastAsia" w:ascii="宋体" w:hAnsi="宋体" w:eastAsia="宋体" w:cs="宋体"/>
                <w:b/>
                <w:bCs w:val="0"/>
                <w:color w:val="auto"/>
                <w:kern w:val="0"/>
                <w:sz w:val="28"/>
                <w:szCs w:val="28"/>
                <w:highlight w:val="none"/>
                <w:lang w:val="en-US" w:eastAsia="zh-CN"/>
              </w:rPr>
              <w:t>24</w:t>
            </w:r>
            <w:r>
              <w:rPr>
                <w:rFonts w:hint="eastAsia" w:ascii="宋体" w:hAnsi="宋体" w:eastAsia="宋体" w:cs="宋体"/>
                <w:b/>
                <w:bCs w:val="0"/>
                <w:color w:val="auto"/>
                <w:kern w:val="0"/>
                <w:sz w:val="28"/>
                <w:szCs w:val="28"/>
                <w:highlight w:val="none"/>
              </w:rPr>
              <w:t>：社会治理重点工程</w:t>
            </w:r>
          </w:p>
        </w:tc>
      </w:tr>
      <w:tr w14:paraId="14A1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1820E405">
            <w:pPr>
              <w:pStyle w:val="10"/>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jc w:val="both"/>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1.社会治安防治：</w:t>
            </w:r>
            <w:r>
              <w:rPr>
                <w:rFonts w:hint="eastAsia" w:ascii="仿宋" w:hAnsi="仿宋" w:eastAsia="仿宋" w:cs="仿宋"/>
                <w:color w:val="auto"/>
                <w:sz w:val="28"/>
                <w:szCs w:val="28"/>
                <w:highlight w:val="none"/>
              </w:rPr>
              <w:t>产业转移乡村振兴暨武冈市各乡镇执法中心下移、市公安局派出所业务用房</w:t>
            </w:r>
            <w:r>
              <w:rPr>
                <w:rFonts w:hint="eastAsia" w:ascii="仿宋" w:hAnsi="仿宋" w:eastAsia="仿宋" w:cs="仿宋"/>
                <w:color w:val="auto"/>
                <w:sz w:val="28"/>
                <w:szCs w:val="28"/>
                <w:highlight w:val="none"/>
                <w:lang w:eastAsia="zh-CN"/>
              </w:rPr>
              <w:t>、车管所暨</w:t>
            </w:r>
            <w:r>
              <w:rPr>
                <w:rFonts w:hint="eastAsia" w:ascii="仿宋" w:hAnsi="仿宋" w:eastAsia="仿宋" w:cs="仿宋"/>
                <w:color w:val="auto"/>
                <w:sz w:val="28"/>
                <w:szCs w:val="28"/>
                <w:highlight w:val="none"/>
              </w:rPr>
              <w:t>交通指挥中心建设、市公安局警务技能训练和警犬基地、平安城市电子监控。</w:t>
            </w:r>
          </w:p>
          <w:p w14:paraId="0EC97CA5">
            <w:pPr>
              <w:pStyle w:val="10"/>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jc w:val="both"/>
              <w:textAlignment w:val="auto"/>
              <w:rPr>
                <w:rFonts w:hint="eastAsia" w:ascii="仿宋" w:hAnsi="仿宋" w:eastAsia="仿宋" w:cs="仿宋"/>
                <w:color w:val="auto"/>
                <w:sz w:val="30"/>
                <w:szCs w:val="30"/>
                <w:highlight w:val="none"/>
                <w:lang w:eastAsia="zh-CN"/>
              </w:rPr>
            </w:pPr>
            <w:r>
              <w:rPr>
                <w:rFonts w:hint="eastAsia" w:ascii="仿宋" w:hAnsi="仿宋" w:eastAsia="仿宋" w:cs="仿宋"/>
                <w:b/>
                <w:bCs/>
                <w:color w:val="auto"/>
                <w:sz w:val="28"/>
                <w:szCs w:val="28"/>
                <w:highlight w:val="none"/>
              </w:rPr>
              <w:t>2.应急储备：</w:t>
            </w:r>
            <w:r>
              <w:rPr>
                <w:rFonts w:hint="eastAsia" w:ascii="仿宋" w:hAnsi="仿宋" w:eastAsia="仿宋" w:cs="仿宋"/>
                <w:color w:val="auto"/>
                <w:sz w:val="28"/>
                <w:szCs w:val="28"/>
                <w:highlight w:val="none"/>
              </w:rPr>
              <w:t>粮食物资保障中心和应急救援仓库建设</w:t>
            </w:r>
            <w:r>
              <w:rPr>
                <w:rFonts w:hint="eastAsia" w:ascii="仿宋" w:hAnsi="仿宋" w:eastAsia="仿宋" w:cs="仿宋"/>
                <w:color w:val="auto"/>
                <w:sz w:val="28"/>
                <w:szCs w:val="28"/>
                <w:highlight w:val="none"/>
                <w:lang w:eastAsia="zh-CN"/>
              </w:rPr>
              <w:t>。</w:t>
            </w:r>
          </w:p>
        </w:tc>
      </w:tr>
    </w:tbl>
    <w:p w14:paraId="17E2C812">
      <w:pPr>
        <w:keepNext/>
        <w:keepLines/>
        <w:pageBreakBefore w:val="0"/>
        <w:widowControl w:val="0"/>
        <w:kinsoku/>
        <w:wordWrap/>
        <w:overflowPunct/>
        <w:topLinePunct w:val="0"/>
        <w:autoSpaceDE/>
        <w:autoSpaceDN/>
        <w:bidi w:val="0"/>
        <w:adjustRightInd/>
        <w:snapToGrid/>
        <w:spacing w:before="200" w:after="200" w:line="420" w:lineRule="auto"/>
        <w:jc w:val="center"/>
        <w:textAlignment w:val="auto"/>
        <w:outlineLvl w:val="9"/>
        <w:rPr>
          <w:rFonts w:hint="eastAsia" w:ascii="黑体" w:hAnsi="黑体" w:eastAsia="黑体" w:cs="黑体"/>
          <w:bCs/>
          <w:color w:val="auto"/>
          <w:szCs w:val="32"/>
          <w:highlight w:val="none"/>
          <w:lang w:val="en-US" w:eastAsia="zh-CN"/>
        </w:rPr>
      </w:pPr>
    </w:p>
    <w:p w14:paraId="41116420">
      <w:pPr>
        <w:keepNext/>
        <w:keepLines/>
        <w:pageBreakBefore w:val="0"/>
        <w:widowControl w:val="0"/>
        <w:kinsoku/>
        <w:wordWrap/>
        <w:overflowPunct/>
        <w:topLinePunct w:val="0"/>
        <w:autoSpaceDE/>
        <w:autoSpaceDN/>
        <w:bidi w:val="0"/>
        <w:adjustRightInd/>
        <w:snapToGrid/>
        <w:spacing w:before="200" w:after="200" w:line="420" w:lineRule="auto"/>
        <w:jc w:val="center"/>
        <w:textAlignment w:val="auto"/>
        <w:outlineLvl w:val="9"/>
        <w:rPr>
          <w:rFonts w:hint="eastAsia" w:ascii="黑体" w:hAnsi="黑体" w:eastAsia="黑体" w:cs="黑体"/>
          <w:bCs/>
          <w:color w:val="auto"/>
          <w:szCs w:val="32"/>
          <w:highlight w:val="none"/>
          <w:lang w:val="en-US" w:eastAsia="zh-CN"/>
        </w:rPr>
      </w:pPr>
    </w:p>
    <w:p w14:paraId="1467AD62">
      <w:pPr>
        <w:keepNext/>
        <w:keepLines/>
        <w:pageBreakBefore w:val="0"/>
        <w:widowControl w:val="0"/>
        <w:kinsoku/>
        <w:wordWrap/>
        <w:overflowPunct/>
        <w:topLinePunct w:val="0"/>
        <w:autoSpaceDE/>
        <w:autoSpaceDN/>
        <w:bidi w:val="0"/>
        <w:adjustRightInd/>
        <w:snapToGrid/>
        <w:spacing w:before="200" w:after="200" w:line="420" w:lineRule="auto"/>
        <w:jc w:val="center"/>
        <w:textAlignment w:val="auto"/>
        <w:outlineLvl w:val="9"/>
        <w:rPr>
          <w:rFonts w:hint="eastAsia" w:ascii="黑体" w:hAnsi="黑体" w:eastAsia="黑体" w:cs="黑体"/>
          <w:bCs/>
          <w:color w:val="auto"/>
          <w:szCs w:val="32"/>
          <w:highlight w:val="none"/>
          <w:lang w:val="en-US" w:eastAsia="zh-CN"/>
        </w:rPr>
      </w:pPr>
    </w:p>
    <w:p w14:paraId="34CCD6B1">
      <w:pPr>
        <w:pageBreakBefore w:val="0"/>
        <w:widowControl w:val="0"/>
        <w:kinsoku/>
        <w:wordWrap/>
        <w:overflowPunct/>
        <w:bidi w:val="0"/>
        <w:outlineLvl w:val="9"/>
        <w:rPr>
          <w:rFonts w:hint="eastAsia"/>
          <w:color w:val="auto"/>
          <w:highlight w:val="none"/>
          <w:lang w:val="en-US" w:eastAsia="zh-CN"/>
        </w:rPr>
      </w:pPr>
    </w:p>
    <w:p w14:paraId="09555165">
      <w:pPr>
        <w:keepNext/>
        <w:keepLines/>
        <w:pageBreakBefore w:val="0"/>
        <w:widowControl w:val="0"/>
        <w:kinsoku/>
        <w:wordWrap/>
        <w:overflowPunct/>
        <w:topLinePunct w:val="0"/>
        <w:autoSpaceDE/>
        <w:autoSpaceDN/>
        <w:bidi w:val="0"/>
        <w:adjustRightInd/>
        <w:snapToGrid/>
        <w:spacing w:before="200" w:after="200" w:line="420" w:lineRule="auto"/>
        <w:jc w:val="center"/>
        <w:textAlignment w:val="auto"/>
        <w:outlineLvl w:val="9"/>
        <w:rPr>
          <w:rFonts w:hint="eastAsia" w:ascii="黑体" w:hAnsi="黑体" w:eastAsia="黑体" w:cs="黑体"/>
          <w:bCs/>
          <w:color w:val="auto"/>
          <w:szCs w:val="32"/>
          <w:highlight w:val="none"/>
          <w:lang w:val="en-US" w:eastAsia="zh-CN"/>
        </w:rPr>
      </w:pPr>
    </w:p>
    <w:p w14:paraId="65CF807B">
      <w:pPr>
        <w:keepNext/>
        <w:keepLines/>
        <w:pageBreakBefore w:val="0"/>
        <w:widowControl w:val="0"/>
        <w:kinsoku/>
        <w:wordWrap/>
        <w:overflowPunct/>
        <w:topLinePunct w:val="0"/>
        <w:autoSpaceDE/>
        <w:autoSpaceDN/>
        <w:bidi w:val="0"/>
        <w:adjustRightInd/>
        <w:snapToGrid/>
        <w:spacing w:before="200" w:after="200" w:line="420" w:lineRule="auto"/>
        <w:jc w:val="center"/>
        <w:textAlignment w:val="auto"/>
        <w:outlineLvl w:val="9"/>
        <w:rPr>
          <w:rFonts w:hint="eastAsia" w:ascii="黑体" w:hAnsi="黑体" w:eastAsia="黑体" w:cs="黑体"/>
          <w:bCs/>
          <w:color w:val="auto"/>
          <w:szCs w:val="32"/>
          <w:highlight w:val="none"/>
          <w:lang w:val="en-US" w:eastAsia="zh-CN"/>
        </w:rPr>
      </w:pPr>
    </w:p>
    <w:p w14:paraId="22EEAFF1">
      <w:pPr>
        <w:pStyle w:val="2"/>
        <w:pageBreakBefore w:val="0"/>
        <w:wordWrap/>
        <w:bidi w:val="0"/>
        <w:rPr>
          <w:rFonts w:hint="eastAsia"/>
          <w:highlight w:val="none"/>
          <w:lang w:val="en-US" w:eastAsia="zh-CN"/>
        </w:rPr>
      </w:pPr>
    </w:p>
    <w:p w14:paraId="23BE150B">
      <w:pPr>
        <w:keepNext/>
        <w:keepLines/>
        <w:pageBreakBefore w:val="0"/>
        <w:widowControl w:val="0"/>
        <w:kinsoku/>
        <w:wordWrap/>
        <w:overflowPunct/>
        <w:topLinePunct w:val="0"/>
        <w:autoSpaceDE/>
        <w:autoSpaceDN/>
        <w:bidi w:val="0"/>
        <w:adjustRightInd/>
        <w:snapToGrid/>
        <w:spacing w:before="200" w:after="200" w:line="420" w:lineRule="auto"/>
        <w:jc w:val="center"/>
        <w:textAlignment w:val="auto"/>
        <w:outlineLvl w:val="9"/>
        <w:rPr>
          <w:rFonts w:hint="eastAsia" w:ascii="黑体" w:hAnsi="黑体" w:eastAsia="黑体" w:cs="黑体"/>
          <w:bCs/>
          <w:color w:val="auto"/>
          <w:szCs w:val="32"/>
          <w:highlight w:val="none"/>
          <w:lang w:val="en-US" w:eastAsia="zh-CN"/>
        </w:rPr>
      </w:pPr>
    </w:p>
    <w:p w14:paraId="3FB71263">
      <w:pPr>
        <w:pStyle w:val="9"/>
        <w:pageBreakBefore w:val="0"/>
        <w:wordWrap/>
        <w:bidi w:val="0"/>
        <w:rPr>
          <w:rFonts w:hint="eastAsia"/>
          <w:color w:val="auto"/>
          <w:highlight w:val="none"/>
          <w:lang w:val="en-US" w:eastAsia="zh-CN"/>
        </w:rPr>
      </w:pPr>
    </w:p>
    <w:p w14:paraId="6464700D">
      <w:pPr>
        <w:pageBreakBefore w:val="0"/>
        <w:widowControl w:val="0"/>
        <w:kinsoku/>
        <w:wordWrap/>
        <w:overflowPunct/>
        <w:bidi w:val="0"/>
        <w:jc w:val="center"/>
        <w:outlineLvl w:val="0"/>
        <w:rPr>
          <w:rFonts w:hint="eastAsia" w:ascii="黑体" w:hAnsi="黑体" w:eastAsia="黑体" w:cs="黑体"/>
          <w:color w:val="auto"/>
          <w:highlight w:val="none"/>
          <w:lang w:val="en-US" w:eastAsia="zh-CN"/>
        </w:rPr>
      </w:pPr>
      <w:bookmarkStart w:id="140" w:name="_Toc23608"/>
      <w:r>
        <w:rPr>
          <w:rFonts w:hint="eastAsia" w:ascii="黑体" w:hAnsi="黑体" w:eastAsia="黑体" w:cs="黑体"/>
          <w:color w:val="auto"/>
          <w:highlight w:val="none"/>
          <w:lang w:val="en-US" w:eastAsia="zh-CN"/>
        </w:rPr>
        <w:t xml:space="preserve">第十三章  </w:t>
      </w:r>
      <w:bookmarkEnd w:id="137"/>
      <w:bookmarkEnd w:id="138"/>
      <w:bookmarkEnd w:id="139"/>
      <w:r>
        <w:rPr>
          <w:rFonts w:hint="eastAsia" w:ascii="黑体" w:hAnsi="黑体" w:eastAsia="黑体" w:cs="黑体"/>
          <w:color w:val="auto"/>
          <w:highlight w:val="none"/>
          <w:lang w:val="en-US" w:eastAsia="zh-CN"/>
        </w:rPr>
        <w:t>坚持党的全面领导，凝聚共谋发展磅礴力量</w:t>
      </w:r>
      <w:bookmarkEnd w:id="140"/>
    </w:p>
    <w:p w14:paraId="067125EE">
      <w:pPr>
        <w:pageBreakBefore w:val="0"/>
        <w:widowControl w:val="0"/>
        <w:kinsoku/>
        <w:wordWrap/>
        <w:overflowPunct/>
        <w:topLinePunct w:val="0"/>
        <w:autoSpaceDE/>
        <w:autoSpaceDN/>
        <w:bidi w:val="0"/>
        <w:adjustRightInd/>
        <w:snapToGrid/>
        <w:spacing w:line="640" w:lineRule="exact"/>
        <w:ind w:firstLine="64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坚持和加强党对经济社会发展的领导，充分调动一切积极因素，最大限度凝聚全市上下合力，</w:t>
      </w:r>
      <w:r>
        <w:rPr>
          <w:rFonts w:hint="eastAsia" w:ascii="仿宋" w:hAnsi="仿宋" w:eastAsia="仿宋" w:cs="仿宋"/>
          <w:color w:val="auto"/>
          <w:highlight w:val="none"/>
        </w:rPr>
        <w:t>确保规划的顺利实施</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以顺应人民意愿为中心，满足人民所思、所盼。</w:t>
      </w:r>
    </w:p>
    <w:p w14:paraId="054B7122">
      <w:pPr>
        <w:pStyle w:val="4"/>
        <w:keepNext/>
        <w:keepLines/>
        <w:pageBreakBefore w:val="0"/>
        <w:widowControl w:val="0"/>
        <w:kinsoku/>
        <w:wordWrap/>
        <w:overflowPunct/>
        <w:topLinePunct w:val="0"/>
        <w:autoSpaceDE/>
        <w:autoSpaceDN/>
        <w:bidi w:val="0"/>
        <w:adjustRightInd/>
        <w:snapToGrid/>
        <w:spacing w:before="0" w:after="0" w:line="640" w:lineRule="exact"/>
        <w:jc w:val="center"/>
        <w:textAlignment w:val="auto"/>
        <w:rPr>
          <w:rFonts w:hint="eastAsia" w:ascii="黑体" w:hAnsi="黑体" w:eastAsia="黑体" w:cs="黑体"/>
          <w:b w:val="0"/>
          <w:bCs/>
          <w:color w:val="auto"/>
          <w:highlight w:val="none"/>
          <w:lang w:val="en-US" w:eastAsia="zh-CN"/>
        </w:rPr>
      </w:pPr>
      <w:bookmarkStart w:id="141" w:name="_Toc25969"/>
      <w:bookmarkStart w:id="142" w:name="_Toc23037"/>
      <w:bookmarkStart w:id="143" w:name="_Toc7740"/>
      <w:bookmarkStart w:id="144" w:name="_Toc3879"/>
      <w:r>
        <w:rPr>
          <w:rFonts w:hint="eastAsia" w:ascii="黑体" w:hAnsi="黑体" w:eastAsia="黑体" w:cs="黑体"/>
          <w:b w:val="0"/>
          <w:bCs/>
          <w:color w:val="auto"/>
          <w:kern w:val="44"/>
          <w:sz w:val="32"/>
          <w:szCs w:val="32"/>
          <w:highlight w:val="none"/>
          <w:lang w:val="en-US" w:eastAsia="zh-CN" w:bidi="ar-SA"/>
        </w:rPr>
        <w:t>第一节 发挥党的领导核心作用</w:t>
      </w:r>
      <w:bookmarkEnd w:id="141"/>
    </w:p>
    <w:bookmarkEnd w:id="142"/>
    <w:bookmarkEnd w:id="143"/>
    <w:bookmarkEnd w:id="144"/>
    <w:p w14:paraId="2B0A36B2">
      <w:pPr>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left"/>
        <w:textAlignment w:val="auto"/>
        <w:rPr>
          <w:rFonts w:hint="eastAsia" w:ascii="宋体" w:hAnsi="宋体" w:eastAsia="FangSong_GB2312"/>
          <w:color w:val="auto"/>
          <w:sz w:val="32"/>
          <w:szCs w:val="32"/>
          <w:highlight w:val="none"/>
          <w:lang w:val="en-US" w:eastAsia="zh-CN"/>
        </w:rPr>
      </w:pPr>
      <w:r>
        <w:rPr>
          <w:rFonts w:hint="eastAsia" w:ascii="仿宋" w:hAnsi="仿宋" w:eastAsia="仿宋" w:cs="仿宋"/>
          <w:color w:val="auto"/>
          <w:sz w:val="32"/>
          <w:szCs w:val="32"/>
          <w:highlight w:val="none"/>
        </w:rPr>
        <w:t>坚持全面从严治党，加强党的领导，凝聚全市人民的智慧和力量，为谱写中国梦的</w:t>
      </w:r>
      <w:r>
        <w:rPr>
          <w:rFonts w:hint="eastAsia" w:ascii="仿宋" w:hAnsi="仿宋" w:eastAsia="仿宋" w:cs="仿宋"/>
          <w:color w:val="auto"/>
          <w:sz w:val="32"/>
          <w:szCs w:val="32"/>
          <w:highlight w:val="none"/>
          <w:lang w:eastAsia="zh-CN"/>
        </w:rPr>
        <w:t>武冈</w:t>
      </w:r>
      <w:r>
        <w:rPr>
          <w:rFonts w:hint="eastAsia" w:ascii="仿宋" w:hAnsi="仿宋" w:eastAsia="仿宋" w:cs="仿宋"/>
          <w:color w:val="auto"/>
          <w:sz w:val="32"/>
          <w:szCs w:val="32"/>
          <w:highlight w:val="none"/>
        </w:rPr>
        <w:t>篇章提供坚强有力的政治保障。</w:t>
      </w:r>
      <w:r>
        <w:rPr>
          <w:rFonts w:hint="eastAsia" w:ascii="宋体" w:hAnsi="宋体" w:eastAsia="FangSong_GB2312"/>
          <w:color w:val="auto"/>
          <w:sz w:val="32"/>
          <w:szCs w:val="32"/>
          <w:highlight w:val="none"/>
          <w:lang w:val="en-US" w:eastAsia="zh-CN"/>
        </w:rPr>
        <w:t xml:space="preserve"> </w:t>
      </w:r>
    </w:p>
    <w:p w14:paraId="467D121D">
      <w:pPr>
        <w:pageBreakBefore w:val="0"/>
        <w:widowControl w:val="0"/>
        <w:numPr>
          <w:ilvl w:val="0"/>
          <w:numId w:val="0"/>
        </w:numPr>
        <w:kinsoku/>
        <w:wordWrap/>
        <w:overflowPunct/>
        <w:topLinePunct w:val="0"/>
        <w:autoSpaceDE/>
        <w:autoSpaceDN/>
        <w:bidi w:val="0"/>
        <w:adjustRightInd/>
        <w:snapToGrid/>
        <w:spacing w:line="640" w:lineRule="exact"/>
        <w:ind w:firstLine="643" w:firstLineChars="200"/>
        <w:jc w:val="left"/>
        <w:textAlignment w:val="auto"/>
        <w:rPr>
          <w:rFonts w:hint="eastAsia" w:ascii="仿宋" w:hAnsi="仿宋" w:eastAsia="仿宋" w:cs="仿宋"/>
          <w:b w:val="0"/>
          <w:bCs w:val="0"/>
          <w:color w:val="auto"/>
          <w:highlight w:val="none"/>
        </w:rPr>
      </w:pPr>
      <w:r>
        <w:rPr>
          <w:rFonts w:hint="eastAsia" w:ascii="楷体" w:hAnsi="楷体" w:eastAsia="楷体" w:cs="楷体"/>
          <w:b/>
          <w:bCs/>
          <w:color w:val="auto"/>
          <w:highlight w:val="none"/>
        </w:rPr>
        <w:t>全面加强党的领导。</w:t>
      </w:r>
      <w:r>
        <w:rPr>
          <w:rFonts w:hint="eastAsia" w:ascii="仿宋" w:hAnsi="仿宋" w:eastAsia="仿宋" w:cs="仿宋"/>
          <w:color w:val="auto"/>
          <w:sz w:val="32"/>
          <w:szCs w:val="24"/>
          <w:highlight w:val="none"/>
          <w:lang w:val="en-US" w:eastAsia="zh-CN"/>
        </w:rPr>
        <w:t>贯彻党把方向、谋大局、定政策、促改革的要求，贯彻落实习近平新时代中国特色社会主义思想，增强“四个意识”、坚定“四个自信”、做到“两个维护”，确保党中央、省委和邵阳市委决策部署不折不扣落实。落实全面从严治党主体责任、监督责任，强化政治巡察和政治监督。加强理想信念教育，引导党员干部不忘初心、牢记使命。贯彻落实新时代党的组织路线，深化拓展政治建设考察，落实好干部标准。加强基层党组织和基层政权建设，加大基层基础保障力度，减轻基层特别是村级组织负担，不断增强基层党组织政治功能和组织功能，</w:t>
      </w:r>
      <w:bookmarkStart w:id="145" w:name="_Toc19113"/>
      <w:bookmarkStart w:id="146" w:name="_Toc3267"/>
      <w:bookmarkStart w:id="147" w:name="_Toc32243"/>
      <w:r>
        <w:rPr>
          <w:rFonts w:hint="eastAsia" w:ascii="仿宋" w:hAnsi="仿宋" w:eastAsia="仿宋" w:cs="仿宋"/>
          <w:color w:val="auto"/>
          <w:highlight w:val="none"/>
        </w:rPr>
        <w:t>充分发挥基层党组织和广大共产党员在规划实施过程中的战斗堡垒和先锋模范作用，团结带领全市人民全面向社会主义现代化迈进。</w:t>
      </w:r>
    </w:p>
    <w:bookmarkEnd w:id="145"/>
    <w:bookmarkEnd w:id="146"/>
    <w:bookmarkEnd w:id="147"/>
    <w:p w14:paraId="0F08A499">
      <w:pPr>
        <w:pageBreakBefore w:val="0"/>
        <w:widowControl w:val="0"/>
        <w:kinsoku/>
        <w:wordWrap/>
        <w:overflowPunct/>
        <w:topLinePunct w:val="0"/>
        <w:autoSpaceDE/>
        <w:autoSpaceDN/>
        <w:bidi w:val="0"/>
        <w:adjustRightInd/>
        <w:snapToGrid/>
        <w:spacing w:line="646" w:lineRule="exact"/>
        <w:ind w:firstLine="643" w:firstLineChars="200"/>
        <w:jc w:val="both"/>
        <w:textAlignment w:val="auto"/>
        <w:rPr>
          <w:rFonts w:hint="eastAsia" w:ascii="仿宋" w:hAnsi="仿宋" w:eastAsia="仿宋" w:cs="仿宋"/>
          <w:color w:val="auto"/>
          <w:highlight w:val="none"/>
        </w:rPr>
      </w:pPr>
      <w:bookmarkStart w:id="148" w:name="_Toc24413"/>
      <w:bookmarkStart w:id="149" w:name="_Toc1131"/>
      <w:bookmarkStart w:id="150" w:name="_Toc29111"/>
      <w:r>
        <w:rPr>
          <w:rFonts w:hint="eastAsia" w:ascii="楷体" w:hAnsi="楷体" w:eastAsia="楷体" w:cs="楷体"/>
          <w:b/>
          <w:bCs/>
          <w:color w:val="auto"/>
          <w:highlight w:val="none"/>
          <w:lang w:eastAsia="zh-CN"/>
        </w:rPr>
        <w:t>推进清廉武冈建设</w:t>
      </w:r>
      <w:r>
        <w:rPr>
          <w:rFonts w:hint="eastAsia" w:ascii="楷体" w:hAnsi="楷体" w:eastAsia="楷体" w:cs="楷体"/>
          <w:b/>
          <w:bCs/>
          <w:color w:val="auto"/>
          <w:highlight w:val="none"/>
        </w:rPr>
        <w:t>。</w:t>
      </w:r>
      <w:r>
        <w:rPr>
          <w:rFonts w:hint="eastAsia" w:ascii="仿宋" w:hAnsi="仿宋" w:eastAsia="仿宋" w:cs="仿宋"/>
          <w:color w:val="auto"/>
          <w:highlight w:val="none"/>
        </w:rPr>
        <w:t>坚持全面从严治党、依规治党，严明党的政治纪律和政治规矩，落实全面从严治党党委主体责任和纪委监督责任。坚持和完善党和国家监督体系的内在要求，一体推进纪律监督、监察监督、派驻监督和巡察监督，加强对“一把手”、领导班子成员及一线的监督，强化对公权力运行的制约和监督。健全作风建设长效机制，深入落实中央八项规定精神及其实施细则和省委、邵阳市委“约法三章”，持之以恒反“四风”、树新风，深化整治“四风”隐形变异现象，坚决防止“四风”问题反弹回潮。深入整治群众身边的腐败和不正之风，坚决破除“中梗阻”，规范政商交往行为，构建“亲”“清”政商关系，推动服务提质、审批提速、督查提效。持续深化政治巡察，充分彰显全面从严治党利剑作用。坚持无禁区、全覆盖、零容忍，始终保持惩治腐败高压态势，一体推进不敢腐、不能腐、不想腐，营造干部清正、政府清廉、政治清明、社会清朗的政治生态和发展环境。</w:t>
      </w:r>
    </w:p>
    <w:p w14:paraId="22261AFB">
      <w:pPr>
        <w:pStyle w:val="4"/>
        <w:keepNext/>
        <w:keepLines/>
        <w:pageBreakBefore w:val="0"/>
        <w:widowControl w:val="0"/>
        <w:kinsoku/>
        <w:wordWrap/>
        <w:overflowPunct/>
        <w:topLinePunct w:val="0"/>
        <w:autoSpaceDE/>
        <w:autoSpaceDN/>
        <w:bidi w:val="0"/>
        <w:adjustRightInd/>
        <w:snapToGrid/>
        <w:spacing w:before="100" w:after="100" w:line="646" w:lineRule="exact"/>
        <w:jc w:val="center"/>
        <w:textAlignment w:val="auto"/>
        <w:rPr>
          <w:rFonts w:hint="eastAsia" w:ascii="黑体" w:hAnsi="黑体" w:eastAsia="黑体" w:cs="黑体"/>
          <w:b w:val="0"/>
          <w:bCs/>
          <w:color w:val="auto"/>
          <w:highlight w:val="none"/>
          <w:lang w:val="en-US" w:eastAsia="zh-CN"/>
        </w:rPr>
      </w:pPr>
      <w:bookmarkStart w:id="151" w:name="_Toc11225"/>
      <w:r>
        <w:rPr>
          <w:rFonts w:hint="eastAsia" w:ascii="黑体" w:hAnsi="黑体" w:eastAsia="黑体" w:cs="黑体"/>
          <w:b w:val="0"/>
          <w:bCs/>
          <w:color w:val="auto"/>
          <w:kern w:val="44"/>
          <w:sz w:val="32"/>
          <w:szCs w:val="32"/>
          <w:highlight w:val="none"/>
          <w:lang w:val="en-US" w:eastAsia="zh-CN" w:bidi="ar-SA"/>
        </w:rPr>
        <w:t>第二节 加强社会主义政治建设</w:t>
      </w:r>
      <w:bookmarkEnd w:id="151"/>
    </w:p>
    <w:p w14:paraId="31C2262B">
      <w:pPr>
        <w:keepNext/>
        <w:keepLines/>
        <w:pageBreakBefore w:val="0"/>
        <w:widowControl w:val="0"/>
        <w:kinsoku/>
        <w:wordWrap/>
        <w:overflowPunct/>
        <w:topLinePunct w:val="0"/>
        <w:autoSpaceDE/>
        <w:autoSpaceDN/>
        <w:bidi w:val="0"/>
        <w:adjustRightInd/>
        <w:snapToGrid/>
        <w:spacing w:before="100" w:after="100" w:line="646" w:lineRule="exact"/>
        <w:ind w:firstLine="640" w:firstLineChars="200"/>
        <w:jc w:val="both"/>
        <w:textAlignment w:val="auto"/>
        <w:outlineLvl w:val="9"/>
        <w:rPr>
          <w:rFonts w:hint="eastAsia" w:ascii="仿宋" w:hAnsi="仿宋" w:eastAsia="仿宋" w:cs="仿宋"/>
          <w:b w:val="0"/>
          <w:color w:val="auto"/>
          <w:kern w:val="2"/>
          <w:sz w:val="32"/>
          <w:szCs w:val="24"/>
          <w:highlight w:val="none"/>
          <w:lang w:val="en-US" w:eastAsia="zh-CN" w:bidi="ar-SA"/>
        </w:rPr>
      </w:pPr>
      <w:r>
        <w:rPr>
          <w:rFonts w:hint="eastAsia" w:ascii="仿宋" w:hAnsi="仿宋" w:eastAsia="仿宋" w:cs="仿宋"/>
          <w:b w:val="0"/>
          <w:color w:val="auto"/>
          <w:kern w:val="2"/>
          <w:sz w:val="32"/>
          <w:szCs w:val="24"/>
          <w:highlight w:val="none"/>
          <w:lang w:val="en-US" w:eastAsia="zh-CN" w:bidi="ar-SA"/>
        </w:rPr>
        <w:t>加强社会主义政治建设，凝心聚力新时代。充分发挥人大、政协、各群团组织的密切联系群众作用，激活志愿者团队广泛宣传力量， 积极引导各种社会力量通过多种途径和方式共同推进“十四五”规划实施。</w:t>
      </w:r>
    </w:p>
    <w:p w14:paraId="7170FADD">
      <w:pPr>
        <w:keepNext w:val="0"/>
        <w:keepLines w:val="0"/>
        <w:pageBreakBefore w:val="0"/>
        <w:widowControl w:val="0"/>
        <w:numPr>
          <w:ilvl w:val="0"/>
          <w:numId w:val="0"/>
        </w:numPr>
        <w:kinsoku/>
        <w:wordWrap/>
        <w:overflowPunct/>
        <w:topLinePunct w:val="0"/>
        <w:autoSpaceDE/>
        <w:autoSpaceDN/>
        <w:bidi w:val="0"/>
        <w:adjustRightInd/>
        <w:snapToGrid/>
        <w:spacing w:line="630" w:lineRule="exact"/>
        <w:ind w:firstLine="640"/>
        <w:textAlignment w:val="auto"/>
        <w:outlineLvl w:val="9"/>
        <w:rPr>
          <w:rFonts w:hint="eastAsia" w:ascii="仿宋" w:hAnsi="仿宋" w:cs="仿宋"/>
          <w:b w:val="0"/>
          <w:bCs w:val="0"/>
          <w:color w:val="auto"/>
          <w:sz w:val="32"/>
          <w:szCs w:val="32"/>
          <w:highlight w:val="none"/>
          <w:lang w:val="en-US" w:eastAsia="zh-CN"/>
        </w:rPr>
      </w:pPr>
      <w:r>
        <w:rPr>
          <w:rFonts w:hint="eastAsia" w:ascii="楷体" w:hAnsi="楷体" w:eastAsia="楷体" w:cs="楷体"/>
          <w:b/>
          <w:bCs/>
          <w:color w:val="auto"/>
          <w:highlight w:val="none"/>
          <w:lang w:val="en-US" w:eastAsia="zh-CN"/>
        </w:rPr>
        <w:t>坚持和完善人民代表会议制度。</w:t>
      </w:r>
      <w:r>
        <w:rPr>
          <w:rFonts w:hint="eastAsia" w:ascii="仿宋" w:hAnsi="仿宋" w:eastAsia="仿宋" w:cs="仿宋"/>
          <w:b w:val="0"/>
          <w:bCs w:val="0"/>
          <w:color w:val="auto"/>
          <w:sz w:val="32"/>
          <w:szCs w:val="32"/>
          <w:highlight w:val="none"/>
          <w:lang w:val="en-US" w:eastAsia="zh-CN"/>
        </w:rPr>
        <w:t>健全人大对“一府一委两院”监督制度，健全人大组织制度、选举制度和议事规则，完善论证、评估、评议、听证制度。加强和改进监督工作，拓宽人民监督权力的渠道。适当增加基层人大代表数量，增强代表性和参与度，健全人大代表联络机制，进一步密切人大代表同人民群众的联系。加强地方人大及其常委会建设，探索创新基层人大职权行使路径，推进乡镇民生实事项目人大代表票决制。</w:t>
      </w:r>
    </w:p>
    <w:p w14:paraId="0330FC63">
      <w:pPr>
        <w:keepNext w:val="0"/>
        <w:keepLines w:val="0"/>
        <w:pageBreakBefore w:val="0"/>
        <w:widowControl w:val="0"/>
        <w:numPr>
          <w:ilvl w:val="0"/>
          <w:numId w:val="0"/>
        </w:numPr>
        <w:kinsoku/>
        <w:wordWrap/>
        <w:overflowPunct/>
        <w:topLinePunct w:val="0"/>
        <w:autoSpaceDE/>
        <w:autoSpaceDN/>
        <w:bidi w:val="0"/>
        <w:adjustRightInd/>
        <w:snapToGrid/>
        <w:spacing w:line="630" w:lineRule="exact"/>
        <w:ind w:firstLine="640"/>
        <w:textAlignment w:val="auto"/>
        <w:outlineLvl w:val="9"/>
        <w:rPr>
          <w:rFonts w:hint="eastAsia" w:ascii="仿宋" w:hAnsi="仿宋" w:eastAsia="仿宋" w:cs="仿宋"/>
          <w:b w:val="0"/>
          <w:bCs w:val="0"/>
          <w:color w:val="auto"/>
          <w:sz w:val="32"/>
          <w:szCs w:val="32"/>
          <w:highlight w:val="none"/>
          <w:lang w:val="en-US" w:eastAsia="zh-CN"/>
        </w:rPr>
      </w:pPr>
      <w:r>
        <w:rPr>
          <w:rFonts w:hint="eastAsia" w:ascii="楷体" w:hAnsi="楷体" w:eastAsia="楷体" w:cs="楷体"/>
          <w:b/>
          <w:bCs/>
          <w:color w:val="auto"/>
          <w:highlight w:val="none"/>
          <w:lang w:val="en-US" w:eastAsia="zh-CN"/>
        </w:rPr>
        <w:t>坚持和完善社会主义协商民主制度。</w:t>
      </w:r>
      <w:r>
        <w:rPr>
          <w:rFonts w:hint="eastAsia" w:ascii="仿宋" w:hAnsi="仿宋" w:eastAsia="仿宋" w:cs="仿宋"/>
          <w:b w:val="0"/>
          <w:bCs w:val="0"/>
          <w:color w:val="auto"/>
          <w:sz w:val="32"/>
          <w:szCs w:val="32"/>
          <w:highlight w:val="none"/>
          <w:lang w:val="en-US" w:eastAsia="zh-CN"/>
        </w:rPr>
        <w:t>贯彻党的统一战线工作方针，全面贯彻党的民族、宗教、侨务等政策，促进政党关系、民族关系、宗教关系、阶层关系、海内外同胞关系和谐，巩固发展最广泛的爱国统一战线。加强人民政协专门协商机构建设，发展社会主义协商民主独特优势，提高建言资政和凝聚共识水平。</w:t>
      </w:r>
    </w:p>
    <w:p w14:paraId="5D6BD90C">
      <w:pPr>
        <w:keepNext w:val="0"/>
        <w:keepLines w:val="0"/>
        <w:pageBreakBefore w:val="0"/>
        <w:widowControl w:val="0"/>
        <w:numPr>
          <w:ilvl w:val="0"/>
          <w:numId w:val="0"/>
        </w:numPr>
        <w:kinsoku/>
        <w:wordWrap/>
        <w:overflowPunct/>
        <w:topLinePunct w:val="0"/>
        <w:autoSpaceDE/>
        <w:autoSpaceDN/>
        <w:bidi w:val="0"/>
        <w:adjustRightInd/>
        <w:snapToGrid/>
        <w:spacing w:line="630" w:lineRule="exact"/>
        <w:ind w:firstLine="640"/>
        <w:textAlignment w:val="auto"/>
        <w:outlineLvl w:val="9"/>
        <w:rPr>
          <w:rFonts w:hint="eastAsia" w:ascii="仿宋" w:hAnsi="仿宋" w:eastAsia="仿宋" w:cs="仿宋"/>
          <w:b w:val="0"/>
          <w:bCs w:val="0"/>
          <w:color w:val="auto"/>
          <w:sz w:val="32"/>
          <w:szCs w:val="32"/>
          <w:highlight w:val="none"/>
          <w:lang w:val="en-US" w:eastAsia="zh-CN"/>
        </w:rPr>
      </w:pPr>
      <w:r>
        <w:rPr>
          <w:rFonts w:hint="eastAsia" w:ascii="楷体" w:hAnsi="楷体" w:eastAsia="楷体" w:cs="楷体"/>
          <w:b/>
          <w:bCs/>
          <w:color w:val="auto"/>
          <w:highlight w:val="none"/>
          <w:lang w:val="en-US" w:eastAsia="zh-CN"/>
        </w:rPr>
        <w:t>健全基层群众自治机制。</w:t>
      </w:r>
      <w:r>
        <w:rPr>
          <w:rFonts w:hint="eastAsia" w:ascii="仿宋" w:hAnsi="仿宋" w:eastAsia="仿宋" w:cs="仿宋"/>
          <w:b w:val="0"/>
          <w:bCs w:val="0"/>
          <w:color w:val="auto"/>
          <w:sz w:val="32"/>
          <w:szCs w:val="32"/>
          <w:highlight w:val="none"/>
          <w:lang w:val="en-US" w:eastAsia="zh-CN"/>
        </w:rPr>
        <w:t>拓宽人民群众反映意见和建议的渠道，着力推进基层直接民主制度化、规范化、程序化。充分激发人民群众的积极性、主动性和创造性，提升广大基层群众组织的凝聚力和动员力。发挥工会、共青团、妇联、科协、工商联等群体组织桥梁纽带作用，维护群众合法利益。</w:t>
      </w:r>
    </w:p>
    <w:p w14:paraId="75017309">
      <w:pPr>
        <w:pStyle w:val="4"/>
        <w:keepNext/>
        <w:keepLines/>
        <w:pageBreakBefore w:val="0"/>
        <w:widowControl w:val="0"/>
        <w:kinsoku/>
        <w:wordWrap/>
        <w:overflowPunct/>
        <w:topLinePunct w:val="0"/>
        <w:autoSpaceDE/>
        <w:autoSpaceDN/>
        <w:bidi w:val="0"/>
        <w:adjustRightInd/>
        <w:snapToGrid/>
        <w:spacing w:before="100" w:after="100" w:line="630" w:lineRule="exact"/>
        <w:jc w:val="center"/>
        <w:textAlignment w:val="auto"/>
        <w:rPr>
          <w:rFonts w:hint="eastAsia" w:ascii="黑体" w:hAnsi="黑体" w:eastAsia="黑体" w:cs="黑体"/>
          <w:b w:val="0"/>
          <w:bCs/>
          <w:color w:val="auto"/>
          <w:highlight w:val="none"/>
          <w:lang w:val="en-US" w:eastAsia="zh-CN"/>
        </w:rPr>
      </w:pPr>
      <w:bookmarkStart w:id="152" w:name="_Toc11988"/>
      <w:r>
        <w:rPr>
          <w:rFonts w:hint="eastAsia" w:ascii="黑体" w:hAnsi="黑体" w:eastAsia="黑体" w:cs="黑体"/>
          <w:b w:val="0"/>
          <w:bCs/>
          <w:color w:val="auto"/>
          <w:kern w:val="44"/>
          <w:sz w:val="32"/>
          <w:szCs w:val="32"/>
          <w:highlight w:val="none"/>
          <w:lang w:val="en-US" w:eastAsia="zh-CN" w:bidi="ar-SA"/>
        </w:rPr>
        <w:t>第三节 加强规划组织实施</w:t>
      </w:r>
      <w:bookmarkEnd w:id="152"/>
    </w:p>
    <w:p w14:paraId="7F43AAC0">
      <w:pPr>
        <w:pageBreakBefore w:val="0"/>
        <w:widowControl w:val="0"/>
        <w:kinsoku/>
        <w:wordWrap/>
        <w:overflowPunct/>
        <w:topLinePunct w:val="0"/>
        <w:autoSpaceDE/>
        <w:autoSpaceDN/>
        <w:bidi w:val="0"/>
        <w:adjustRightInd/>
        <w:snapToGrid/>
        <w:spacing w:before="0" w:after="0" w:line="63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明确政府主体责任，强化政策统筹协调，科学配置公共资源，广泛动员各方面力量，推进规划实施。</w:t>
      </w:r>
    </w:p>
    <w:p w14:paraId="113B3F42">
      <w:pPr>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rPr>
        <w:t>强化政府履责。</w:t>
      </w:r>
      <w:r>
        <w:rPr>
          <w:rFonts w:hint="eastAsia" w:ascii="仿宋" w:hAnsi="仿宋" w:eastAsia="仿宋" w:cs="仿宋"/>
          <w:color w:val="auto"/>
          <w:highlight w:val="none"/>
        </w:rPr>
        <w:t>实行规划目标责任制，规划确定的约束性指标和重点任务、重大行动、重大工程，要明确责任主体和实施进度要求。各乡镇街道、各部门要加强规划实施的组织、协调和督导，切实落实好总体规划涉及本辖区、本行业的目标和任务。强化人才、资金、土地等要素保障，对纳入本规划的重大项目，要简化审批核准程序，优先保障规划选址、土地供应和融资安排。</w:t>
      </w:r>
    </w:p>
    <w:p w14:paraId="1CE8A766">
      <w:pPr>
        <w:pStyle w:val="6"/>
        <w:pageBreakBefore w:val="0"/>
        <w:widowControl w:val="0"/>
        <w:kinsoku/>
        <w:wordWrap/>
        <w:overflowPunct/>
        <w:topLinePunct w:val="0"/>
        <w:autoSpaceDE/>
        <w:autoSpaceDN/>
        <w:bidi w:val="0"/>
        <w:adjustRightInd/>
        <w:snapToGrid/>
        <w:spacing w:line="630" w:lineRule="exact"/>
        <w:ind w:firstLine="643"/>
        <w:jc w:val="both"/>
        <w:textAlignment w:val="auto"/>
        <w:rPr>
          <w:rFonts w:hint="eastAsia" w:ascii="仿宋" w:hAnsi="仿宋" w:eastAsia="仿宋" w:cs="仿宋"/>
          <w:color w:val="auto"/>
          <w:szCs w:val="24"/>
          <w:highlight w:val="none"/>
        </w:rPr>
      </w:pPr>
      <w:r>
        <w:rPr>
          <w:rFonts w:hint="eastAsia" w:ascii="楷体" w:hAnsi="楷体" w:eastAsia="楷体" w:cs="楷体"/>
          <w:b/>
          <w:bCs/>
          <w:color w:val="auto"/>
          <w:szCs w:val="24"/>
          <w:highlight w:val="none"/>
        </w:rPr>
        <w:t>强化政策供给。</w:t>
      </w:r>
      <w:r>
        <w:rPr>
          <w:rFonts w:hint="eastAsia" w:ascii="仿宋" w:hAnsi="仿宋" w:eastAsia="仿宋" w:cs="仿宋"/>
          <w:color w:val="auto"/>
          <w:w w:val="100"/>
          <w:szCs w:val="24"/>
          <w:highlight w:val="none"/>
        </w:rPr>
        <w:t>树立向政策要项目、用政策促实施的发展理念，进一步研制出台有利于城市功能品质提升</w:t>
      </w:r>
      <w:r>
        <w:rPr>
          <w:rFonts w:hint="eastAsia" w:cs="仿宋"/>
          <w:color w:val="auto"/>
          <w:w w:val="100"/>
          <w:szCs w:val="24"/>
          <w:highlight w:val="none"/>
          <w:lang w:eastAsia="zh-CN"/>
        </w:rPr>
        <w:t>和乡村振兴</w:t>
      </w:r>
      <w:r>
        <w:rPr>
          <w:rFonts w:hint="eastAsia" w:ascii="仿宋" w:hAnsi="仿宋" w:eastAsia="仿宋" w:cs="仿宋"/>
          <w:color w:val="auto"/>
          <w:w w:val="100"/>
          <w:szCs w:val="24"/>
          <w:highlight w:val="none"/>
        </w:rPr>
        <w:t>、有利于优势产业加快升级、有利于大众创新和万众创业、有利于营造良好发展氛围的政策措施，</w:t>
      </w:r>
      <w:r>
        <w:rPr>
          <w:rFonts w:hint="eastAsia" w:ascii="仿宋" w:hAnsi="仿宋" w:eastAsia="仿宋" w:cs="仿宋"/>
          <w:color w:val="auto"/>
          <w:szCs w:val="24"/>
          <w:highlight w:val="none"/>
        </w:rPr>
        <w:t>完善财税、金融、产业、环境等政策体系，加强各项政策协调配合，形成政策合力，</w:t>
      </w:r>
      <w:r>
        <w:rPr>
          <w:rFonts w:hint="eastAsia" w:ascii="仿宋" w:hAnsi="仿宋" w:eastAsia="仿宋" w:cs="仿宋"/>
          <w:color w:val="auto"/>
          <w:w w:val="100"/>
          <w:szCs w:val="24"/>
          <w:highlight w:val="none"/>
        </w:rPr>
        <w:t>促进规划实施。</w:t>
      </w:r>
    </w:p>
    <w:p w14:paraId="675C3BAE">
      <w:pPr>
        <w:pageBreakBefore w:val="0"/>
        <w:widowControl w:val="0"/>
        <w:kinsoku/>
        <w:wordWrap/>
        <w:overflowPunct/>
        <w:topLinePunct w:val="0"/>
        <w:autoSpaceDE/>
        <w:autoSpaceDN/>
        <w:bidi w:val="0"/>
        <w:adjustRightInd/>
        <w:snapToGrid/>
        <w:spacing w:line="630" w:lineRule="exact"/>
        <w:ind w:firstLine="643" w:firstLineChars="200"/>
        <w:jc w:val="both"/>
        <w:textAlignment w:val="auto"/>
        <w:rPr>
          <w:rFonts w:hint="eastAsia" w:ascii="仿宋" w:hAnsi="仿宋" w:eastAsia="仿宋" w:cs="仿宋"/>
          <w:color w:val="auto"/>
          <w:highlight w:val="none"/>
        </w:rPr>
      </w:pPr>
      <w:r>
        <w:rPr>
          <w:rFonts w:hint="eastAsia" w:ascii="楷体" w:hAnsi="楷体" w:eastAsia="楷体" w:cs="楷体"/>
          <w:b/>
          <w:bCs/>
          <w:color w:val="auto"/>
          <w:highlight w:val="none"/>
        </w:rPr>
        <w:t>强化市场作用。</w:t>
      </w:r>
      <w:r>
        <w:rPr>
          <w:rFonts w:hint="eastAsia" w:ascii="仿宋" w:hAnsi="仿宋" w:eastAsia="仿宋" w:cs="仿宋"/>
          <w:color w:val="auto"/>
          <w:highlight w:val="none"/>
        </w:rPr>
        <w:t>本规划提出的预期性指标和产业发展、结构调整等任务，主要依靠市场主体和自主行为实现。充分发挥市场对资源配置的决定性作用，最大限度激发各类市场主体创业、创新活力，充分发挥社会各界参与规划实施的主动性和创造性，让一切劳动、知识、技术、管理、资本的活力竞相迸发。</w:t>
      </w:r>
    </w:p>
    <w:p w14:paraId="0A6417B7">
      <w:pPr>
        <w:pStyle w:val="4"/>
        <w:keepNext/>
        <w:keepLines/>
        <w:pageBreakBefore w:val="0"/>
        <w:widowControl w:val="0"/>
        <w:kinsoku/>
        <w:wordWrap/>
        <w:overflowPunct/>
        <w:topLinePunct w:val="0"/>
        <w:autoSpaceDE/>
        <w:autoSpaceDN/>
        <w:bidi w:val="0"/>
        <w:adjustRightInd/>
        <w:snapToGrid/>
        <w:spacing w:before="100" w:after="100" w:line="630" w:lineRule="exact"/>
        <w:jc w:val="center"/>
        <w:textAlignment w:val="auto"/>
        <w:rPr>
          <w:rFonts w:hint="eastAsia" w:ascii="黑体" w:hAnsi="黑体" w:eastAsia="黑体" w:cs="黑体"/>
          <w:b w:val="0"/>
          <w:bCs/>
          <w:color w:val="auto"/>
          <w:highlight w:val="none"/>
          <w:lang w:val="en-US" w:eastAsia="zh-CN"/>
        </w:rPr>
      </w:pPr>
      <w:bookmarkStart w:id="153" w:name="_Toc28156"/>
      <w:r>
        <w:rPr>
          <w:rFonts w:hint="eastAsia" w:ascii="黑体" w:hAnsi="黑体" w:eastAsia="黑体" w:cs="黑体"/>
          <w:b w:val="0"/>
          <w:bCs/>
          <w:color w:val="auto"/>
          <w:kern w:val="44"/>
          <w:sz w:val="32"/>
          <w:szCs w:val="32"/>
          <w:highlight w:val="none"/>
          <w:lang w:val="en-US" w:eastAsia="zh-CN" w:bidi="ar-SA"/>
        </w:rPr>
        <w:t>第四节 健全规划实施机制</w:t>
      </w:r>
      <w:bookmarkEnd w:id="153"/>
    </w:p>
    <w:p w14:paraId="08718BDA">
      <w:pPr>
        <w:pageBreakBefore w:val="0"/>
        <w:widowControl w:val="0"/>
        <w:kinsoku/>
        <w:wordWrap/>
        <w:overflowPunct/>
        <w:topLinePunct w:val="0"/>
        <w:autoSpaceDE/>
        <w:autoSpaceDN/>
        <w:bidi w:val="0"/>
        <w:adjustRightInd/>
        <w:snapToGrid/>
        <w:spacing w:line="630" w:lineRule="exact"/>
        <w:ind w:firstLine="640"/>
        <w:jc w:val="both"/>
        <w:textAlignment w:val="auto"/>
        <w:rPr>
          <w:rFonts w:hint="eastAsia" w:ascii="仿宋" w:hAnsi="仿宋" w:eastAsia="仿宋" w:cs="仿宋"/>
          <w:color w:val="auto"/>
          <w:spacing w:val="6"/>
          <w:sz w:val="32"/>
          <w:szCs w:val="32"/>
          <w:highlight w:val="none"/>
        </w:rPr>
      </w:pPr>
      <w:r>
        <w:rPr>
          <w:rFonts w:hint="eastAsia" w:ascii="仿宋" w:hAnsi="仿宋" w:eastAsia="仿宋" w:cs="仿宋"/>
          <w:color w:val="auto"/>
          <w:spacing w:val="6"/>
          <w:sz w:val="32"/>
          <w:szCs w:val="32"/>
          <w:highlight w:val="none"/>
        </w:rPr>
        <w:t>建立健全规划体系</w:t>
      </w:r>
      <w:r>
        <w:rPr>
          <w:rFonts w:hint="eastAsia" w:ascii="仿宋" w:hAnsi="仿宋" w:eastAsia="仿宋" w:cs="仿宋"/>
          <w:color w:val="auto"/>
          <w:spacing w:val="6"/>
          <w:sz w:val="32"/>
          <w:szCs w:val="32"/>
          <w:highlight w:val="none"/>
          <w:lang w:eastAsia="zh-CN"/>
        </w:rPr>
        <w:t>，加强规划衔接</w:t>
      </w:r>
      <w:r>
        <w:rPr>
          <w:rFonts w:hint="eastAsia" w:ascii="仿宋" w:hAnsi="仿宋" w:eastAsia="仿宋" w:cs="仿宋"/>
          <w:color w:val="auto"/>
          <w:spacing w:val="6"/>
          <w:sz w:val="32"/>
          <w:szCs w:val="32"/>
          <w:highlight w:val="none"/>
        </w:rPr>
        <w:t>。围绕“十四五”发展目标和任务，集中力量实施一批事关全局和长远发展的重点</w:t>
      </w:r>
      <w:r>
        <w:rPr>
          <w:rFonts w:hint="eastAsia" w:ascii="仿宋" w:hAnsi="仿宋" w:eastAsia="仿宋" w:cs="仿宋"/>
          <w:color w:val="auto"/>
          <w:spacing w:val="6"/>
          <w:sz w:val="32"/>
          <w:szCs w:val="32"/>
          <w:highlight w:val="none"/>
          <w:lang w:eastAsia="zh-CN"/>
        </w:rPr>
        <w:t>项目</w:t>
      </w:r>
      <w:r>
        <w:rPr>
          <w:rFonts w:hint="eastAsia" w:ascii="仿宋" w:hAnsi="仿宋" w:eastAsia="仿宋" w:cs="仿宋"/>
          <w:color w:val="auto"/>
          <w:spacing w:val="6"/>
          <w:sz w:val="32"/>
          <w:szCs w:val="32"/>
          <w:highlight w:val="none"/>
        </w:rPr>
        <w:t>支撑和带动经济社会发展。加强评估考核，保障规划有效实施。</w:t>
      </w:r>
    </w:p>
    <w:p w14:paraId="222C4F10">
      <w:pPr>
        <w:pageBreakBefore w:val="0"/>
        <w:widowControl w:val="0"/>
        <w:kinsoku/>
        <w:wordWrap/>
        <w:overflowPunct/>
        <w:topLinePunct w:val="0"/>
        <w:autoSpaceDE/>
        <w:autoSpaceDN/>
        <w:bidi w:val="0"/>
        <w:adjustRightInd/>
        <w:snapToGrid/>
        <w:spacing w:line="630" w:lineRule="exact"/>
        <w:ind w:firstLine="667" w:firstLineChars="200"/>
        <w:jc w:val="both"/>
        <w:textAlignment w:val="auto"/>
        <w:rPr>
          <w:rFonts w:hint="eastAsia" w:ascii="仿宋" w:hAnsi="仿宋" w:eastAsia="仿宋" w:cs="仿宋"/>
          <w:color w:val="auto"/>
          <w:spacing w:val="6"/>
          <w:w w:val="100"/>
          <w:szCs w:val="32"/>
          <w:highlight w:val="none"/>
        </w:rPr>
      </w:pPr>
      <w:r>
        <w:rPr>
          <w:rFonts w:hint="eastAsia" w:ascii="楷体" w:hAnsi="楷体" w:eastAsia="楷体" w:cs="楷体"/>
          <w:b/>
          <w:bCs/>
          <w:color w:val="auto"/>
          <w:spacing w:val="6"/>
          <w:w w:val="100"/>
          <w:szCs w:val="32"/>
          <w:highlight w:val="none"/>
        </w:rPr>
        <w:t>建立健全规划体系。</w:t>
      </w:r>
      <w:r>
        <w:rPr>
          <w:rFonts w:hint="eastAsia" w:ascii="仿宋" w:hAnsi="仿宋" w:eastAsia="仿宋" w:cs="仿宋"/>
          <w:color w:val="auto"/>
          <w:spacing w:val="6"/>
          <w:w w:val="100"/>
          <w:szCs w:val="32"/>
          <w:highlight w:val="none"/>
        </w:rPr>
        <w:t>健全以总体规划为引领，专项规划、区域规划等为支撑的发展规划体系。加强各级各类规划与总体规划的衔接协调，切实贯彻本规划战略意图和主要任务，形成规划合力。年度发展计划要与总体规划衔接，并予滚动落实。加强与省</w:t>
      </w:r>
      <w:r>
        <w:rPr>
          <w:rFonts w:hint="eastAsia" w:ascii="仿宋" w:hAnsi="仿宋" w:eastAsia="仿宋" w:cs="仿宋"/>
          <w:color w:val="auto"/>
          <w:spacing w:val="6"/>
          <w:w w:val="100"/>
          <w:szCs w:val="32"/>
          <w:highlight w:val="none"/>
          <w:lang w:eastAsia="zh-CN"/>
        </w:rPr>
        <w:t>、</w:t>
      </w:r>
      <w:r>
        <w:rPr>
          <w:rFonts w:hint="eastAsia" w:ascii="仿宋" w:hAnsi="仿宋" w:eastAsia="仿宋" w:cs="仿宋"/>
          <w:color w:val="auto"/>
          <w:spacing w:val="6"/>
          <w:w w:val="100"/>
          <w:szCs w:val="32"/>
          <w:highlight w:val="none"/>
        </w:rPr>
        <w:t>邵阳市“十四五”规划的衔接，力争将武冈重点区域、重点园区、重点产业和重大项目规划纳入上位规划及其实施方案之中。</w:t>
      </w:r>
    </w:p>
    <w:p w14:paraId="66CBEED3">
      <w:pPr>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Cs w:val="32"/>
          <w:highlight w:val="none"/>
        </w:rPr>
        <w:t>加强重大项目支撑。</w:t>
      </w:r>
      <w:r>
        <w:rPr>
          <w:rFonts w:hint="eastAsia" w:ascii="仿宋" w:hAnsi="仿宋" w:eastAsia="仿宋" w:cs="仿宋"/>
          <w:color w:val="auto"/>
          <w:szCs w:val="32"/>
          <w:highlight w:val="none"/>
        </w:rPr>
        <w:t>围绕“十四五”产业发展、基础设施、生态环保、社会民生等领域，推进重大工程和重大行动计划实施。切实抓好项目库动态建设，加强项目滚动开发和项目前期准备工作，推动形成谋划一批、储备一批、建成一批、补充一批的良性循环。</w:t>
      </w:r>
    </w:p>
    <w:p w14:paraId="37585CB7">
      <w:pPr>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b w:val="0"/>
          <w:bCs w:val="0"/>
          <w:color w:val="auto"/>
          <w:sz w:val="36"/>
          <w:szCs w:val="36"/>
          <w:highlight w:val="none"/>
          <w:lang w:val="en-US" w:eastAsia="zh-CN"/>
        </w:rPr>
      </w:pPr>
      <w:r>
        <w:rPr>
          <w:rFonts w:hint="eastAsia" w:ascii="楷体" w:hAnsi="楷体" w:eastAsia="楷体" w:cs="楷体"/>
          <w:b/>
          <w:bCs/>
          <w:color w:val="auto"/>
          <w:szCs w:val="32"/>
          <w:highlight w:val="none"/>
        </w:rPr>
        <w:t>加强实施评估考核。</w:t>
      </w:r>
      <w:r>
        <w:rPr>
          <w:rFonts w:hint="eastAsia" w:ascii="仿宋" w:hAnsi="仿宋" w:eastAsia="仿宋" w:cs="仿宋"/>
          <w:color w:val="auto"/>
          <w:szCs w:val="32"/>
          <w:highlight w:val="none"/>
        </w:rPr>
        <w:t>完善规划实施评估机制，实行规划中期评估制度，建立规划“编制—实施—评估—调整—实施”的滚动性实施追踪调整机制，加强规划实施的跟踪分析。强化监督检查，发挥行政监察、组织人事、统计、审计等部门对规划实施的监督作用，完善政府向市人大、市政协的报告和沟通机制，充分听取市人大、市政协、社会各界人士的意见和建议。开展规划宣传和展示，</w:t>
      </w:r>
      <w:r>
        <w:rPr>
          <w:rFonts w:hint="eastAsia" w:ascii="仿宋" w:hAnsi="仿宋" w:eastAsia="仿宋" w:cs="仿宋"/>
          <w:color w:val="auto"/>
          <w:w w:val="98"/>
          <w:szCs w:val="32"/>
          <w:highlight w:val="none"/>
        </w:rPr>
        <w:t>加强规划实施统计监测和信息发布，</w:t>
      </w:r>
      <w:r>
        <w:rPr>
          <w:rFonts w:hint="eastAsia" w:ascii="仿宋" w:hAnsi="仿宋" w:eastAsia="仿宋" w:cs="仿宋"/>
          <w:color w:val="auto"/>
          <w:szCs w:val="32"/>
          <w:highlight w:val="none"/>
        </w:rPr>
        <w:t>及时公布规划的实施进展情况，让群众参与规划实施的监督，营造全市人民共同支持规划实施的社会氛围。</w:t>
      </w:r>
      <w:bookmarkEnd w:id="148"/>
      <w:bookmarkEnd w:id="149"/>
      <w:bookmarkEnd w:id="150"/>
    </w:p>
    <w:p w14:paraId="008B6A89">
      <w:pPr>
        <w:pageBreakBefore w:val="0"/>
        <w:widowControl w:val="0"/>
        <w:kinsoku/>
        <w:wordWrap/>
        <w:overflowPunct/>
        <w:bidi w:val="0"/>
        <w:jc w:val="center"/>
        <w:rPr>
          <w:rFonts w:hint="eastAsia" w:ascii="宋体" w:hAnsi="宋体" w:eastAsia="黑体" w:cs="黑体"/>
          <w:b w:val="0"/>
          <w:bCs w:val="0"/>
          <w:color w:val="auto"/>
          <w:sz w:val="36"/>
          <w:szCs w:val="36"/>
          <w:highlight w:val="none"/>
          <w:lang w:val="en-US" w:eastAsia="zh-CN"/>
        </w:rPr>
      </w:pPr>
    </w:p>
    <w:p w14:paraId="527A4BDD">
      <w:pPr>
        <w:pageBreakBefore w:val="0"/>
        <w:widowControl w:val="0"/>
        <w:kinsoku/>
        <w:wordWrap/>
        <w:overflowPunct/>
        <w:bidi w:val="0"/>
        <w:spacing w:before="0" w:after="0" w:line="240" w:lineRule="auto"/>
        <w:ind w:firstLine="0" w:firstLineChars="0"/>
        <w:jc w:val="both"/>
        <w:rPr>
          <w:rFonts w:hint="eastAsia" w:ascii="宋体" w:hAnsi="宋体" w:eastAsia="黑体" w:cs="黑体"/>
          <w:b w:val="0"/>
          <w:bCs w:val="0"/>
          <w:color w:val="auto"/>
          <w:sz w:val="36"/>
          <w:szCs w:val="36"/>
          <w:highlight w:val="none"/>
          <w:lang w:val="en-US" w:eastAsia="zh-CN"/>
        </w:rPr>
      </w:pPr>
    </w:p>
    <w:p w14:paraId="404D41BD">
      <w:pPr>
        <w:pageBreakBefore w:val="0"/>
        <w:widowControl w:val="0"/>
        <w:kinsoku/>
        <w:wordWrap/>
        <w:overflowPunct/>
        <w:bidi w:val="0"/>
        <w:spacing w:before="0" w:after="0" w:line="240" w:lineRule="auto"/>
        <w:ind w:firstLine="0" w:firstLineChars="0"/>
        <w:jc w:val="center"/>
        <w:rPr>
          <w:rFonts w:hint="eastAsia" w:ascii="宋体" w:hAnsi="宋体" w:eastAsia="黑体" w:cs="黑体"/>
          <w:b w:val="0"/>
          <w:bCs w:val="0"/>
          <w:color w:val="auto"/>
          <w:sz w:val="40"/>
          <w:szCs w:val="40"/>
          <w:highlight w:val="none"/>
          <w:lang w:val="en-US" w:eastAsia="zh-CN"/>
        </w:rPr>
      </w:pPr>
      <w:r>
        <w:rPr>
          <w:rFonts w:hint="eastAsia" w:ascii="宋体" w:hAnsi="宋体" w:eastAsia="黑体" w:cs="黑体"/>
          <w:b w:val="0"/>
          <w:bCs w:val="0"/>
          <w:color w:val="auto"/>
          <w:sz w:val="40"/>
          <w:szCs w:val="40"/>
          <w:highlight w:val="none"/>
          <w:lang w:val="en-US" w:eastAsia="zh-CN"/>
        </w:rPr>
        <w:t>名 词 解 释</w:t>
      </w:r>
    </w:p>
    <w:p w14:paraId="337AC0E5">
      <w:pPr>
        <w:keepNext w:val="0"/>
        <w:keepLines w:val="0"/>
        <w:pageBreakBefore w:val="0"/>
        <w:widowControl w:val="0"/>
        <w:kinsoku/>
        <w:wordWrap/>
        <w:overflowPunct/>
        <w:topLinePunct w:val="0"/>
        <w:autoSpaceDE/>
        <w:autoSpaceDN/>
        <w:bidi w:val="0"/>
        <w:adjustRightInd/>
        <w:snapToGrid/>
        <w:spacing w:before="0" w:after="0" w:line="240" w:lineRule="exact"/>
        <w:ind w:firstLine="643" w:firstLineChars="200"/>
        <w:jc w:val="both"/>
        <w:textAlignment w:val="auto"/>
        <w:rPr>
          <w:rFonts w:hint="eastAsia" w:ascii="楷体" w:hAnsi="楷体" w:eastAsia="楷体" w:cs="楷体"/>
          <w:b/>
          <w:bCs/>
          <w:color w:val="auto"/>
          <w:sz w:val="32"/>
          <w:szCs w:val="32"/>
          <w:highlight w:val="none"/>
          <w:lang w:val="en-US" w:eastAsia="zh-CN"/>
        </w:rPr>
      </w:pPr>
    </w:p>
    <w:p w14:paraId="2F8113F0">
      <w:pPr>
        <w:keepNext w:val="0"/>
        <w:keepLines w:val="0"/>
        <w:pageBreakBefore w:val="0"/>
        <w:widowControl w:val="0"/>
        <w:kinsoku/>
        <w:wordWrap/>
        <w:overflowPunct/>
        <w:topLinePunct w:val="0"/>
        <w:autoSpaceDE/>
        <w:autoSpaceDN/>
        <w:bidi w:val="0"/>
        <w:adjustRightInd/>
        <w:snapToGrid/>
        <w:spacing w:before="0" w:after="0" w:line="620" w:lineRule="exact"/>
        <w:ind w:firstLine="643"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sz w:val="32"/>
          <w:szCs w:val="32"/>
          <w:highlight w:val="none"/>
          <w:lang w:val="en-US" w:eastAsia="zh-CN"/>
        </w:rPr>
        <w:t>四个意识：</w:t>
      </w:r>
      <w:r>
        <w:rPr>
          <w:rFonts w:hint="eastAsia" w:ascii="仿宋" w:hAnsi="仿宋" w:eastAsia="仿宋" w:cs="仿宋"/>
          <w:color w:val="auto"/>
          <w:kern w:val="2"/>
          <w:sz w:val="32"/>
          <w:szCs w:val="32"/>
          <w:highlight w:val="none"/>
          <w:lang w:val="en-US" w:eastAsia="zh-CN" w:bidi="ar-SA"/>
        </w:rPr>
        <w:t>政治意识、大局意识、核心意识和看齐意识。</w:t>
      </w:r>
    </w:p>
    <w:p w14:paraId="4B77341C">
      <w:pPr>
        <w:keepNext w:val="0"/>
        <w:keepLines w:val="0"/>
        <w:pageBreakBefore w:val="0"/>
        <w:widowControl w:val="0"/>
        <w:kinsoku/>
        <w:wordWrap/>
        <w:overflowPunct/>
        <w:topLinePunct w:val="0"/>
        <w:autoSpaceDE/>
        <w:autoSpaceDN/>
        <w:bidi w:val="0"/>
        <w:adjustRightInd/>
        <w:snapToGrid/>
        <w:spacing w:before="0" w:after="0" w:line="620" w:lineRule="exact"/>
        <w:ind w:firstLine="643"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sz w:val="32"/>
          <w:szCs w:val="32"/>
          <w:highlight w:val="none"/>
          <w:lang w:val="en-US" w:eastAsia="zh-CN"/>
        </w:rPr>
        <w:t>四个自信：</w:t>
      </w:r>
      <w:r>
        <w:rPr>
          <w:rFonts w:hint="eastAsia" w:ascii="仿宋" w:hAnsi="仿宋" w:eastAsia="仿宋" w:cs="仿宋"/>
          <w:color w:val="auto"/>
          <w:kern w:val="2"/>
          <w:sz w:val="32"/>
          <w:szCs w:val="32"/>
          <w:highlight w:val="none"/>
          <w:lang w:val="en-US" w:eastAsia="zh-CN" w:bidi="ar-SA"/>
        </w:rPr>
        <w:t>道路自信、理论自信、制度自信和文化自信。</w:t>
      </w:r>
    </w:p>
    <w:p w14:paraId="0A8AD771">
      <w:pPr>
        <w:pStyle w:val="9"/>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kern w:val="2"/>
          <w:sz w:val="32"/>
          <w:szCs w:val="32"/>
          <w:highlight w:val="none"/>
          <w:lang w:val="en-US" w:eastAsia="zh-CN" w:bidi="ar-SA"/>
        </w:rPr>
        <w:t>两个维护：</w:t>
      </w:r>
      <w:r>
        <w:rPr>
          <w:rFonts w:hint="eastAsia" w:ascii="仿宋" w:hAnsi="仿宋" w:eastAsia="仿宋" w:cs="仿宋"/>
          <w:color w:val="auto"/>
          <w:kern w:val="2"/>
          <w:sz w:val="32"/>
          <w:szCs w:val="32"/>
          <w:highlight w:val="none"/>
          <w:lang w:val="en-US" w:eastAsia="zh-CN" w:bidi="ar-SA"/>
        </w:rPr>
        <w:t>坚决维护习近平总书记党中央的核心、全党的核心地位，坚决维护党中央权威和集中统一领导。</w:t>
      </w:r>
    </w:p>
    <w:p w14:paraId="3D837C53">
      <w:pPr>
        <w:pStyle w:val="9"/>
        <w:keepNext w:val="0"/>
        <w:keepLines w:val="0"/>
        <w:pageBreakBefore w:val="0"/>
        <w:widowControl w:val="0"/>
        <w:kinsoku/>
        <w:wordWrap/>
        <w:overflowPunct/>
        <w:topLinePunct w:val="0"/>
        <w:autoSpaceDE/>
        <w:autoSpaceDN/>
        <w:bidi w:val="0"/>
        <w:adjustRightInd/>
        <w:snapToGrid/>
        <w:spacing w:line="620" w:lineRule="exact"/>
        <w:ind w:firstLine="619" w:firstLineChars="200"/>
        <w:textAlignment w:val="auto"/>
        <w:rPr>
          <w:rFonts w:hint="eastAsia" w:ascii="仿宋" w:hAnsi="仿宋" w:eastAsia="仿宋" w:cs="仿宋"/>
          <w:color w:val="auto"/>
          <w:spacing w:val="-6"/>
          <w:sz w:val="32"/>
          <w:szCs w:val="32"/>
          <w:highlight w:val="none"/>
          <w:lang w:val="en-US" w:eastAsia="zh-CN"/>
        </w:rPr>
      </w:pPr>
      <w:r>
        <w:rPr>
          <w:rFonts w:hint="eastAsia" w:ascii="楷体" w:hAnsi="楷体" w:eastAsia="楷体" w:cs="楷体"/>
          <w:b/>
          <w:bCs/>
          <w:color w:val="auto"/>
          <w:spacing w:val="-6"/>
          <w:kern w:val="2"/>
          <w:sz w:val="32"/>
          <w:szCs w:val="32"/>
          <w:highlight w:val="none"/>
          <w:lang w:val="en-US" w:eastAsia="zh-CN" w:bidi="ar-SA"/>
        </w:rPr>
        <w:t>一带一路：</w:t>
      </w:r>
      <w:r>
        <w:rPr>
          <w:rFonts w:hint="eastAsia" w:ascii="仿宋" w:hAnsi="仿宋" w:eastAsia="仿宋" w:cs="仿宋"/>
          <w:color w:val="auto"/>
          <w:spacing w:val="-6"/>
          <w:sz w:val="32"/>
          <w:szCs w:val="32"/>
          <w:highlight w:val="none"/>
        </w:rPr>
        <w:t>“丝绸之路经济带”和“21世纪海上丝绸之路”。</w:t>
      </w:r>
    </w:p>
    <w:p w14:paraId="4A4032CE">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sz w:val="32"/>
          <w:szCs w:val="32"/>
          <w:highlight w:val="none"/>
          <w:lang w:val="en-US" w:eastAsia="zh-CN"/>
        </w:rPr>
        <w:t>长江经济带战略：</w:t>
      </w:r>
      <w:r>
        <w:rPr>
          <w:rFonts w:hint="eastAsia" w:ascii="仿宋" w:hAnsi="仿宋" w:eastAsia="仿宋" w:cs="仿宋"/>
          <w:color w:val="auto"/>
          <w:sz w:val="32"/>
          <w:szCs w:val="32"/>
          <w:highlight w:val="none"/>
        </w:rPr>
        <w:t>充分发挥长江经济带横跨东中西三大板块的区位优势，以共抓大保护、不搞大开发为导向，以生态优先、绿色发展为引领，依托长江黄金水道，推动长江上中下游地区协调发展和沿江地区高质量发展。</w:t>
      </w:r>
    </w:p>
    <w:p w14:paraId="66FBF8EE">
      <w:pPr>
        <w:keepNext w:val="0"/>
        <w:keepLines w:val="0"/>
        <w:pageBreakBefore w:val="0"/>
        <w:widowControl w:val="0"/>
        <w:kinsoku/>
        <w:wordWrap/>
        <w:overflowPunct/>
        <w:topLinePunct w:val="0"/>
        <w:autoSpaceDE/>
        <w:autoSpaceDN/>
        <w:bidi w:val="0"/>
        <w:adjustRightInd/>
        <w:snapToGrid/>
        <w:spacing w:before="0" w:after="0" w:line="620" w:lineRule="exact"/>
        <w:ind w:firstLine="643" w:firstLineChars="200"/>
        <w:jc w:val="both"/>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粤港澳大湾区：</w:t>
      </w:r>
      <w:r>
        <w:rPr>
          <w:rFonts w:hint="eastAsia" w:ascii="仿宋" w:hAnsi="仿宋" w:eastAsia="仿宋" w:cs="仿宋"/>
          <w:color w:val="auto"/>
          <w:sz w:val="32"/>
          <w:szCs w:val="32"/>
          <w:highlight w:val="none"/>
        </w:rPr>
        <w:t>包括香港特别行政区、澳门特别行政区和广东省广州市、深圳市、珠海市、佛山市、惠州市、东莞市、中山市、江门市、肇庆市，是我国开放程度最高、经济活力最强的区域之一。</w:t>
      </w:r>
    </w:p>
    <w:p w14:paraId="543DCEAB">
      <w:pPr>
        <w:keepNext w:val="0"/>
        <w:keepLines w:val="0"/>
        <w:pageBreakBefore w:val="0"/>
        <w:widowControl w:val="0"/>
        <w:kinsoku/>
        <w:wordWrap/>
        <w:overflowPunct/>
        <w:topLinePunct w:val="0"/>
        <w:autoSpaceDE/>
        <w:autoSpaceDN/>
        <w:bidi w:val="0"/>
        <w:adjustRightInd/>
        <w:snapToGrid/>
        <w:spacing w:before="0" w:after="0" w:line="620" w:lineRule="exact"/>
        <w:ind w:firstLine="643" w:firstLineChars="200"/>
        <w:jc w:val="both"/>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“双循环”新发展格局：</w:t>
      </w:r>
      <w:r>
        <w:rPr>
          <w:rFonts w:hint="eastAsia" w:ascii="仿宋" w:hAnsi="仿宋" w:eastAsia="仿宋" w:cs="仿宋"/>
          <w:color w:val="auto"/>
          <w:sz w:val="32"/>
          <w:szCs w:val="32"/>
          <w:highlight w:val="none"/>
        </w:rPr>
        <w:t>即逐步形成以国内大循环为主体、国内国际双循环相互促进的新发展格局。</w:t>
      </w:r>
    </w:p>
    <w:p w14:paraId="4E0E0094">
      <w:pPr>
        <w:pStyle w:val="9"/>
        <w:keepNext w:val="0"/>
        <w:keepLines w:val="0"/>
        <w:pageBreakBefore w:val="0"/>
        <w:widowControl w:val="0"/>
        <w:kinsoku/>
        <w:wordWrap/>
        <w:overflowPunct/>
        <w:topLinePunct w:val="0"/>
        <w:autoSpaceDE/>
        <w:autoSpaceDN/>
        <w:bidi w:val="0"/>
        <w:adjustRightInd/>
        <w:snapToGrid/>
        <w:spacing w:line="620" w:lineRule="exact"/>
        <w:ind w:firstLine="643"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kern w:val="2"/>
          <w:sz w:val="32"/>
          <w:szCs w:val="32"/>
          <w:highlight w:val="none"/>
          <w:lang w:val="en-US" w:eastAsia="zh-CN" w:bidi="ar-SA"/>
        </w:rPr>
        <w:t>大众创业、万众创新：</w:t>
      </w:r>
      <w:r>
        <w:rPr>
          <w:rFonts w:hint="eastAsia" w:ascii="仿宋" w:hAnsi="仿宋" w:eastAsia="仿宋" w:cs="仿宋"/>
          <w:color w:val="auto"/>
          <w:kern w:val="2"/>
          <w:sz w:val="32"/>
          <w:szCs w:val="32"/>
          <w:highlight w:val="none"/>
          <w:lang w:val="en-US" w:eastAsia="zh-CN" w:bidi="ar-SA"/>
        </w:rPr>
        <w:t>出自2014年9月夏季达沃斯论坛上李克强总理的讲话，李克强提出，要在960万平方公里土地上掀起“大众创业”、“草根创业”的新浪潮，形成“万众创新”、“人人创新”的新势态。</w:t>
      </w:r>
    </w:p>
    <w:p w14:paraId="76C4BF4F">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kern w:val="2"/>
          <w:sz w:val="32"/>
          <w:szCs w:val="32"/>
          <w:highlight w:val="none"/>
          <w:lang w:val="en-US" w:eastAsia="zh-CN" w:bidi="ar-SA"/>
        </w:rPr>
        <w:t>投资准入前国民待遇：</w:t>
      </w:r>
      <w:r>
        <w:rPr>
          <w:rFonts w:hint="eastAsia" w:ascii="仿宋" w:hAnsi="仿宋" w:eastAsia="仿宋" w:cs="仿宋"/>
          <w:color w:val="auto"/>
          <w:kern w:val="2"/>
          <w:sz w:val="32"/>
          <w:szCs w:val="32"/>
          <w:highlight w:val="none"/>
          <w:lang w:val="en-US" w:eastAsia="zh-CN" w:bidi="ar-SA"/>
        </w:rPr>
        <w:t>将国民待遇延伸至投资发生和建立前阶段，其核心是给予外资准入权，是指在企业设立、取得、扩大等阶段给予外国</w:t>
      </w:r>
      <w:r>
        <w:rPr>
          <w:rFonts w:hint="eastAsia" w:ascii="仿宋" w:hAnsi="仿宋" w:eastAsia="仿宋" w:cs="仿宋"/>
          <w:color w:val="auto"/>
          <w:kern w:val="2"/>
          <w:sz w:val="32"/>
          <w:szCs w:val="32"/>
          <w:highlight w:val="none"/>
          <w:lang w:val="en-US" w:eastAsia="zh-CN" w:bidi="ar-SA"/>
        </w:rPr>
        <w:fldChar w:fldCharType="begin"/>
      </w:r>
      <w:r>
        <w:rPr>
          <w:rFonts w:hint="eastAsia" w:ascii="仿宋" w:hAnsi="仿宋" w:eastAsia="仿宋" w:cs="仿宋"/>
          <w:color w:val="auto"/>
          <w:kern w:val="2"/>
          <w:sz w:val="32"/>
          <w:szCs w:val="32"/>
          <w:highlight w:val="none"/>
          <w:lang w:val="en-US" w:eastAsia="zh-CN" w:bidi="ar-SA"/>
        </w:rPr>
        <w:instrText xml:space="preserve"> HYPERLINK "http://www.so.com/s?q=%E6%8A%95%E8%B5%84%E8%80%85&amp;ie=utf-8&amp;src=internal_wenda_recommend_textn" \t "https://wenda.so.com/q/_blank" </w:instrText>
      </w:r>
      <w:r>
        <w:rPr>
          <w:rFonts w:hint="eastAsia" w:ascii="仿宋" w:hAnsi="仿宋" w:eastAsia="仿宋" w:cs="仿宋"/>
          <w:color w:val="auto"/>
          <w:kern w:val="2"/>
          <w:sz w:val="32"/>
          <w:szCs w:val="32"/>
          <w:highlight w:val="none"/>
          <w:lang w:val="en-US" w:eastAsia="zh-CN" w:bidi="ar-SA"/>
        </w:rPr>
        <w:fldChar w:fldCharType="separate"/>
      </w:r>
      <w:r>
        <w:rPr>
          <w:rFonts w:hint="eastAsia" w:ascii="仿宋" w:hAnsi="仿宋" w:eastAsia="仿宋" w:cs="仿宋"/>
          <w:color w:val="auto"/>
          <w:kern w:val="2"/>
          <w:sz w:val="32"/>
          <w:szCs w:val="32"/>
          <w:highlight w:val="none"/>
          <w:lang w:val="en-US" w:eastAsia="zh-CN" w:bidi="ar-SA"/>
        </w:rPr>
        <w:t>投资者</w:t>
      </w:r>
      <w:r>
        <w:rPr>
          <w:rFonts w:hint="eastAsia" w:ascii="仿宋" w:hAnsi="仿宋" w:eastAsia="仿宋" w:cs="仿宋"/>
          <w:color w:val="auto"/>
          <w:kern w:val="2"/>
          <w:sz w:val="32"/>
          <w:szCs w:val="32"/>
          <w:highlight w:val="none"/>
          <w:lang w:val="en-US" w:eastAsia="zh-CN" w:bidi="ar-SA"/>
        </w:rPr>
        <w:fldChar w:fldCharType="end"/>
      </w:r>
      <w:r>
        <w:rPr>
          <w:rFonts w:hint="eastAsia" w:ascii="仿宋" w:hAnsi="仿宋" w:eastAsia="仿宋" w:cs="仿宋"/>
          <w:color w:val="auto"/>
          <w:kern w:val="2"/>
          <w:sz w:val="32"/>
          <w:szCs w:val="32"/>
          <w:highlight w:val="none"/>
          <w:lang w:val="en-US" w:eastAsia="zh-CN" w:bidi="ar-SA"/>
        </w:rPr>
        <w:t>及其投资不低于本国投资者及其投资的</w:t>
      </w:r>
      <w:r>
        <w:rPr>
          <w:rFonts w:hint="eastAsia" w:ascii="仿宋" w:hAnsi="仿宋" w:eastAsia="仿宋" w:cs="仿宋"/>
          <w:color w:val="auto"/>
          <w:kern w:val="2"/>
          <w:sz w:val="32"/>
          <w:szCs w:val="32"/>
          <w:highlight w:val="none"/>
          <w:lang w:val="en-US" w:eastAsia="zh-CN" w:bidi="ar-SA"/>
        </w:rPr>
        <w:fldChar w:fldCharType="begin"/>
      </w:r>
      <w:r>
        <w:rPr>
          <w:rFonts w:hint="eastAsia" w:ascii="仿宋" w:hAnsi="仿宋" w:eastAsia="仿宋" w:cs="仿宋"/>
          <w:color w:val="auto"/>
          <w:kern w:val="2"/>
          <w:sz w:val="32"/>
          <w:szCs w:val="32"/>
          <w:highlight w:val="none"/>
          <w:lang w:val="en-US" w:eastAsia="zh-CN" w:bidi="ar-SA"/>
        </w:rPr>
        <w:instrText xml:space="preserve"> HYPERLINK "http://www.so.com/s?q=%E5%BE%85%E9%81%87&amp;ie=utf-8&amp;src=internal_wenda_recommend_textn" \t "https://wenda.so.com/q/_blank" </w:instrText>
      </w:r>
      <w:r>
        <w:rPr>
          <w:rFonts w:hint="eastAsia" w:ascii="仿宋" w:hAnsi="仿宋" w:eastAsia="仿宋" w:cs="仿宋"/>
          <w:color w:val="auto"/>
          <w:kern w:val="2"/>
          <w:sz w:val="32"/>
          <w:szCs w:val="32"/>
          <w:highlight w:val="none"/>
          <w:lang w:val="en-US" w:eastAsia="zh-CN" w:bidi="ar-SA"/>
        </w:rPr>
        <w:fldChar w:fldCharType="separate"/>
      </w:r>
      <w:r>
        <w:rPr>
          <w:rFonts w:hint="eastAsia" w:ascii="仿宋" w:hAnsi="仿宋" w:eastAsia="仿宋" w:cs="仿宋"/>
          <w:color w:val="auto"/>
          <w:kern w:val="2"/>
          <w:sz w:val="32"/>
          <w:szCs w:val="32"/>
          <w:highlight w:val="none"/>
          <w:lang w:val="en-US" w:eastAsia="zh-CN" w:bidi="ar-SA"/>
        </w:rPr>
        <w:t>待遇</w:t>
      </w:r>
      <w:r>
        <w:rPr>
          <w:rFonts w:hint="eastAsia" w:ascii="仿宋" w:hAnsi="仿宋" w:eastAsia="仿宋" w:cs="仿宋"/>
          <w:color w:val="auto"/>
          <w:kern w:val="2"/>
          <w:sz w:val="32"/>
          <w:szCs w:val="32"/>
          <w:highlight w:val="none"/>
          <w:lang w:val="en-US" w:eastAsia="zh-CN" w:bidi="ar-SA"/>
        </w:rPr>
        <w:fldChar w:fldCharType="end"/>
      </w:r>
      <w:r>
        <w:rPr>
          <w:rFonts w:hint="eastAsia" w:ascii="仿宋" w:hAnsi="仿宋" w:eastAsia="仿宋" w:cs="仿宋"/>
          <w:color w:val="auto"/>
          <w:kern w:val="2"/>
          <w:sz w:val="32"/>
          <w:szCs w:val="32"/>
          <w:highlight w:val="none"/>
          <w:lang w:val="en-US" w:eastAsia="zh-CN" w:bidi="ar-SA"/>
        </w:rPr>
        <w:t>。</w:t>
      </w:r>
    </w:p>
    <w:p w14:paraId="3ECF37D7">
      <w:pPr>
        <w:pStyle w:val="9"/>
        <w:keepNext w:val="0"/>
        <w:keepLines w:val="0"/>
        <w:pageBreakBefore w:val="0"/>
        <w:widowControl w:val="0"/>
        <w:kinsoku/>
        <w:wordWrap/>
        <w:overflowPunct/>
        <w:topLinePunct w:val="0"/>
        <w:autoSpaceDE/>
        <w:autoSpaceDN/>
        <w:bidi w:val="0"/>
        <w:adjustRightInd/>
        <w:snapToGrid/>
        <w:spacing w:line="634" w:lineRule="exact"/>
        <w:ind w:firstLine="640"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 xml:space="preserve"> </w:t>
      </w:r>
      <w:r>
        <w:rPr>
          <w:rFonts w:hint="eastAsia" w:ascii="仿宋" w:hAnsi="仿宋" w:eastAsia="仿宋" w:cs="仿宋"/>
          <w:b/>
          <w:bCs/>
          <w:color w:val="auto"/>
          <w:kern w:val="2"/>
          <w:sz w:val="32"/>
          <w:szCs w:val="32"/>
          <w:highlight w:val="none"/>
          <w:lang w:val="en-US" w:eastAsia="zh-CN" w:bidi="ar-SA"/>
        </w:rPr>
        <w:t xml:space="preserve">  </w:t>
      </w:r>
      <w:r>
        <w:rPr>
          <w:rFonts w:hint="eastAsia" w:ascii="楷体" w:hAnsi="楷体" w:eastAsia="楷体" w:cs="楷体"/>
          <w:b/>
          <w:bCs/>
          <w:color w:val="auto"/>
          <w:kern w:val="2"/>
          <w:sz w:val="32"/>
          <w:szCs w:val="32"/>
          <w:highlight w:val="none"/>
          <w:lang w:val="en-US" w:eastAsia="zh-CN" w:bidi="ar-SA"/>
        </w:rPr>
        <w:t xml:space="preserve"> 负面清单：</w:t>
      </w:r>
      <w:r>
        <w:rPr>
          <w:rFonts w:hint="eastAsia" w:ascii="仿宋" w:hAnsi="仿宋" w:eastAsia="仿宋" w:cs="仿宋"/>
          <w:i w:val="0"/>
          <w:caps w:val="0"/>
          <w:color w:val="auto"/>
          <w:spacing w:val="0"/>
          <w:sz w:val="32"/>
          <w:szCs w:val="32"/>
          <w:highlight w:val="none"/>
          <w:shd w:val="clear" w:fill="FFFFFF"/>
        </w:rPr>
        <w:t>相当于投资领域的“</w:t>
      </w:r>
      <w:r>
        <w:rPr>
          <w:rFonts w:hint="eastAsia" w:ascii="仿宋" w:hAnsi="仿宋" w:eastAsia="仿宋" w:cs="仿宋"/>
          <w:i w:val="0"/>
          <w:caps w:val="0"/>
          <w:color w:val="auto"/>
          <w:spacing w:val="0"/>
          <w:sz w:val="32"/>
          <w:szCs w:val="32"/>
          <w:highlight w:val="none"/>
          <w:u w:val="none"/>
          <w:shd w:val="clear" w:fill="FFFFFF"/>
        </w:rPr>
        <w:fldChar w:fldCharType="begin"/>
      </w:r>
      <w:r>
        <w:rPr>
          <w:rFonts w:hint="eastAsia" w:ascii="仿宋" w:hAnsi="仿宋" w:eastAsia="仿宋" w:cs="仿宋"/>
          <w:i w:val="0"/>
          <w:caps w:val="0"/>
          <w:color w:val="auto"/>
          <w:spacing w:val="0"/>
          <w:sz w:val="32"/>
          <w:szCs w:val="32"/>
          <w:highlight w:val="none"/>
          <w:u w:val="none"/>
          <w:shd w:val="clear" w:fill="FFFFFF"/>
        </w:rPr>
        <w:instrText xml:space="preserve"> HYPERLINK "https://baike.so.com/doc/2572651-2716840.html" \t "https://baike.so.com/doc/_blank" </w:instrText>
      </w:r>
      <w:r>
        <w:rPr>
          <w:rFonts w:hint="eastAsia" w:ascii="仿宋" w:hAnsi="仿宋" w:eastAsia="仿宋" w:cs="仿宋"/>
          <w:i w:val="0"/>
          <w:caps w:val="0"/>
          <w:color w:val="auto"/>
          <w:spacing w:val="0"/>
          <w:sz w:val="32"/>
          <w:szCs w:val="32"/>
          <w:highlight w:val="none"/>
          <w:u w:val="none"/>
          <w:shd w:val="clear" w:fill="FFFFFF"/>
        </w:rPr>
        <w:fldChar w:fldCharType="separate"/>
      </w:r>
      <w:r>
        <w:rPr>
          <w:rStyle w:val="27"/>
          <w:rFonts w:hint="eastAsia" w:ascii="仿宋" w:hAnsi="仿宋" w:eastAsia="仿宋" w:cs="仿宋"/>
          <w:i w:val="0"/>
          <w:caps w:val="0"/>
          <w:color w:val="auto"/>
          <w:spacing w:val="0"/>
          <w:sz w:val="32"/>
          <w:szCs w:val="32"/>
          <w:highlight w:val="none"/>
          <w:u w:val="none"/>
          <w:shd w:val="clear" w:fill="FFFFFF"/>
        </w:rPr>
        <w:t>黑名单</w:t>
      </w:r>
      <w:r>
        <w:rPr>
          <w:rFonts w:hint="eastAsia" w:ascii="仿宋" w:hAnsi="仿宋" w:eastAsia="仿宋" w:cs="仿宋"/>
          <w:i w:val="0"/>
          <w:caps w:val="0"/>
          <w:color w:val="auto"/>
          <w:spacing w:val="0"/>
          <w:sz w:val="32"/>
          <w:szCs w:val="32"/>
          <w:highlight w:val="none"/>
          <w:u w:val="none"/>
          <w:shd w:val="clear" w:fill="FFFFFF"/>
        </w:rPr>
        <w:fldChar w:fldCharType="end"/>
      </w:r>
      <w:r>
        <w:rPr>
          <w:rFonts w:hint="eastAsia" w:ascii="仿宋" w:hAnsi="仿宋" w:eastAsia="仿宋" w:cs="仿宋"/>
          <w:i w:val="0"/>
          <w:caps w:val="0"/>
          <w:color w:val="auto"/>
          <w:spacing w:val="0"/>
          <w:sz w:val="32"/>
          <w:szCs w:val="32"/>
          <w:highlight w:val="none"/>
          <w:shd w:val="clear" w:fill="FFFFFF"/>
        </w:rPr>
        <w:t>”，列明了企业不能投资的领域和产业</w:t>
      </w:r>
      <w:r>
        <w:rPr>
          <w:rFonts w:hint="eastAsia" w:ascii="仿宋" w:hAnsi="仿宋" w:eastAsia="仿宋" w:cs="仿宋"/>
          <w:i w:val="0"/>
          <w:caps w:val="0"/>
          <w:color w:val="auto"/>
          <w:spacing w:val="0"/>
          <w:sz w:val="32"/>
          <w:szCs w:val="32"/>
          <w:highlight w:val="none"/>
          <w:shd w:val="clear" w:fill="FFFFFF"/>
          <w:lang w:eastAsia="zh-CN"/>
        </w:rPr>
        <w:t>。</w:t>
      </w:r>
    </w:p>
    <w:p w14:paraId="300149A1">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两新一重：</w:t>
      </w:r>
      <w:r>
        <w:rPr>
          <w:rFonts w:hint="eastAsia" w:ascii="仿宋" w:hAnsi="仿宋" w:eastAsia="仿宋" w:cs="仿宋"/>
          <w:color w:val="auto"/>
          <w:sz w:val="32"/>
          <w:szCs w:val="32"/>
          <w:highlight w:val="none"/>
        </w:rPr>
        <w:t>新型基础设施、新型城镇化以及交通、水利等重大工程。</w:t>
      </w:r>
    </w:p>
    <w:p w14:paraId="59DC6DE5">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highlight w:val="none"/>
          <w:lang w:val="en-US" w:eastAsia="zh-CN"/>
        </w:rPr>
      </w:pPr>
      <w:r>
        <w:rPr>
          <w:rFonts w:hint="eastAsia" w:ascii="楷体" w:hAnsi="楷体" w:eastAsia="楷体" w:cs="楷体"/>
          <w:b/>
          <w:bCs/>
          <w:color w:val="auto"/>
          <w:kern w:val="2"/>
          <w:sz w:val="32"/>
          <w:szCs w:val="32"/>
          <w:highlight w:val="none"/>
          <w:lang w:val="en-US" w:eastAsia="zh-CN" w:bidi="ar-SA"/>
        </w:rPr>
        <w:t>“三类500强”企业：</w:t>
      </w:r>
      <w:r>
        <w:rPr>
          <w:rFonts w:hint="eastAsia" w:ascii="仿宋" w:hAnsi="仿宋" w:eastAsia="仿宋" w:cs="仿宋"/>
          <w:color w:val="auto"/>
          <w:sz w:val="32"/>
          <w:szCs w:val="32"/>
          <w:highlight w:val="none"/>
        </w:rPr>
        <w:t>即世界500强、中国500强和民营500强企业</w:t>
      </w:r>
      <w:r>
        <w:rPr>
          <w:rFonts w:hint="eastAsia" w:ascii="仿宋" w:hAnsi="仿宋" w:eastAsia="仿宋" w:cs="仿宋"/>
          <w:color w:val="auto"/>
          <w:sz w:val="32"/>
          <w:szCs w:val="32"/>
          <w:highlight w:val="none"/>
          <w:lang w:eastAsia="zh-CN"/>
        </w:rPr>
        <w:t>。</w:t>
      </w:r>
    </w:p>
    <w:p w14:paraId="3A4FC98F">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634" w:lineRule="exact"/>
        <w:ind w:firstLine="643" w:firstLineChars="200"/>
        <w:jc w:val="both"/>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kern w:val="2"/>
          <w:sz w:val="32"/>
          <w:szCs w:val="32"/>
          <w:highlight w:val="none"/>
          <w:lang w:val="en-US" w:eastAsia="zh-CN" w:bidi="ar-SA"/>
        </w:rPr>
        <w:t>湘南湘西承接产业转移示范区建设：</w:t>
      </w:r>
      <w:r>
        <w:rPr>
          <w:rFonts w:hint="eastAsia" w:ascii="仿宋" w:hAnsi="仿宋" w:eastAsia="仿宋" w:cs="仿宋"/>
          <w:color w:val="auto"/>
          <w:sz w:val="32"/>
          <w:szCs w:val="32"/>
          <w:highlight w:val="none"/>
        </w:rPr>
        <w:t>根据国家批复的《湘南湘西承接产业转移示范区总体方案》，推进湘南湘西承接产业转移示范区建设。湘南地区包括衡阳、郴州、永州，湘西地区包括湘西土家族苗族自治州、怀化市、邵阳市。</w:t>
      </w:r>
    </w:p>
    <w:p w14:paraId="556E1F58">
      <w:pPr>
        <w:pStyle w:val="2"/>
        <w:keepNext w:val="0"/>
        <w:keepLines w:val="0"/>
        <w:pageBreakBefore w:val="0"/>
        <w:widowControl w:val="0"/>
        <w:kinsoku/>
        <w:wordWrap/>
        <w:overflowPunct/>
        <w:topLinePunct w:val="0"/>
        <w:autoSpaceDE/>
        <w:autoSpaceDN/>
        <w:bidi w:val="0"/>
        <w:adjustRightInd/>
        <w:snapToGrid/>
        <w:spacing w:line="634" w:lineRule="exact"/>
        <w:ind w:firstLine="64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kern w:val="2"/>
          <w:sz w:val="32"/>
          <w:szCs w:val="32"/>
          <w:highlight w:val="none"/>
          <w:lang w:val="en-US" w:eastAsia="zh-CN" w:bidi="ar-SA"/>
        </w:rPr>
        <w:t>中国（湖南）自由贸易试验区：</w:t>
      </w:r>
      <w:r>
        <w:rPr>
          <w:rFonts w:hint="eastAsia" w:ascii="仿宋" w:hAnsi="仿宋" w:eastAsia="仿宋" w:cs="仿宋"/>
          <w:b w:val="0"/>
          <w:bCs w:val="0"/>
          <w:i w:val="0"/>
          <w:caps w:val="0"/>
          <w:color w:val="auto"/>
          <w:spacing w:val="0"/>
          <w:sz w:val="32"/>
          <w:szCs w:val="32"/>
          <w:highlight w:val="none"/>
          <w:shd w:val="clear" w:fill="FFFFFF"/>
        </w:rPr>
        <w:t>中国</w:t>
      </w:r>
      <w:r>
        <w:rPr>
          <w:rFonts w:hint="eastAsia" w:ascii="仿宋" w:hAnsi="仿宋" w:eastAsia="仿宋" w:cs="仿宋"/>
          <w:b w:val="0"/>
          <w:bCs w:val="0"/>
          <w:i w:val="0"/>
          <w:caps w:val="0"/>
          <w:color w:val="auto"/>
          <w:spacing w:val="0"/>
          <w:sz w:val="32"/>
          <w:szCs w:val="32"/>
          <w:highlight w:val="none"/>
          <w:shd w:val="clear" w:fill="FFFFFF"/>
          <w:lang w:eastAsia="zh-CN"/>
        </w:rPr>
        <w:t>（</w:t>
      </w:r>
      <w:r>
        <w:rPr>
          <w:rStyle w:val="26"/>
          <w:rFonts w:hint="eastAsia" w:ascii="仿宋" w:hAnsi="仿宋" w:eastAsia="仿宋" w:cs="仿宋"/>
          <w:b w:val="0"/>
          <w:bCs w:val="0"/>
          <w:i w:val="0"/>
          <w:caps w:val="0"/>
          <w:color w:val="auto"/>
          <w:spacing w:val="0"/>
          <w:sz w:val="32"/>
          <w:szCs w:val="32"/>
          <w:highlight w:val="none"/>
          <w:shd w:val="clear" w:fill="FFFFFF"/>
        </w:rPr>
        <w:t>湖南</w:t>
      </w:r>
      <w:r>
        <w:rPr>
          <w:rFonts w:hint="eastAsia" w:ascii="仿宋" w:hAnsi="仿宋" w:eastAsia="仿宋" w:cs="仿宋"/>
          <w:b w:val="0"/>
          <w:bCs w:val="0"/>
          <w:i w:val="0"/>
          <w:caps w:val="0"/>
          <w:color w:val="auto"/>
          <w:spacing w:val="0"/>
          <w:sz w:val="32"/>
          <w:szCs w:val="32"/>
          <w:highlight w:val="none"/>
          <w:shd w:val="clear" w:fill="FFFFFF"/>
          <w:lang w:eastAsia="zh-CN"/>
        </w:rPr>
        <w:t>）</w:t>
      </w:r>
      <w:r>
        <w:rPr>
          <w:rFonts w:hint="eastAsia" w:ascii="仿宋" w:hAnsi="仿宋" w:eastAsia="仿宋" w:cs="仿宋"/>
          <w:b w:val="0"/>
          <w:bCs w:val="0"/>
          <w:i w:val="0"/>
          <w:caps w:val="0"/>
          <w:color w:val="auto"/>
          <w:spacing w:val="0"/>
          <w:sz w:val="32"/>
          <w:szCs w:val="32"/>
          <w:highlight w:val="none"/>
          <w:shd w:val="clear" w:fill="FFFFFF"/>
        </w:rPr>
        <w:t>自由贸易试验区</w:t>
      </w:r>
      <w:r>
        <w:rPr>
          <w:rFonts w:hint="eastAsia" w:ascii="仿宋" w:hAnsi="仿宋" w:eastAsia="仿宋" w:cs="仿宋"/>
          <w:color w:val="auto"/>
          <w:sz w:val="32"/>
          <w:szCs w:val="32"/>
          <w:highlight w:val="none"/>
        </w:rPr>
        <w:t>涵盖长沙片区79.98平方公里</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岳阳片区19.94平方公里</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郴州片区19.84平方公里。长沙片区重点对接“一带一路”建设，突出临空经济，重点发展高端装备制造、新一代信息技术、生物医药、电子商务、农业科技等产业，打造全球高端装备制造业基地、内陆地区高端现代服务业中心、中非经贸深度合作先行区和中部地区崛起增长极。岳阳片区重点对接长江经济带发展战略，突出临港经济，重点发展航运物流、电子商务、新一代信息技术等产业，打造长江中游综合性航运物流中心、内陆临港经济示范区。郴州片区重点对接粤港澳大湾区建设，突出湘港澳直通，重点发展有色金属加工、现代物流等产业，打造内陆地区承接产业转移和加工贸易转型升级重要平台以及湘粤港澳合作示范区。</w:t>
      </w:r>
    </w:p>
    <w:p w14:paraId="7818FB12">
      <w:pPr>
        <w:keepNext w:val="0"/>
        <w:keepLines w:val="0"/>
        <w:pageBreakBefore w:val="0"/>
        <w:widowControl w:val="0"/>
        <w:suppressLineNumbers w:val="0"/>
        <w:kinsoku/>
        <w:wordWrap/>
        <w:overflowPunct/>
        <w:topLinePunct w:val="0"/>
        <w:autoSpaceDE/>
        <w:autoSpaceDN/>
        <w:bidi w:val="0"/>
        <w:adjustRightInd/>
        <w:snapToGrid/>
        <w:spacing w:line="634" w:lineRule="exact"/>
        <w:ind w:firstLine="643" w:firstLineChars="200"/>
        <w:jc w:val="left"/>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“三高四新”战略：</w:t>
      </w:r>
      <w:r>
        <w:rPr>
          <w:rFonts w:hint="eastAsia" w:ascii="仿宋" w:hAnsi="仿宋" w:eastAsia="仿宋" w:cs="仿宋"/>
          <w:color w:val="auto"/>
          <w:sz w:val="32"/>
          <w:szCs w:val="32"/>
          <w:highlight w:val="none"/>
          <w:lang w:val="en-US" w:eastAsia="zh-CN"/>
        </w:rPr>
        <w:t>12月1日，中共湖南省第十一届委员会第十二次全体会议确定了“三高四新”战略。</w:t>
      </w:r>
      <w:r>
        <w:rPr>
          <w:rFonts w:hint="eastAsia" w:ascii="仿宋" w:hAnsi="仿宋" w:eastAsia="仿宋" w:cs="仿宋"/>
          <w:b/>
          <w:bCs/>
          <w:color w:val="auto"/>
          <w:sz w:val="32"/>
          <w:szCs w:val="32"/>
          <w:highlight w:val="none"/>
          <w:lang w:val="en-US" w:eastAsia="zh-CN"/>
        </w:rPr>
        <w:t>“三高”</w:t>
      </w:r>
      <w:r>
        <w:rPr>
          <w:rFonts w:hint="eastAsia" w:ascii="仿宋" w:hAnsi="仿宋" w:eastAsia="仿宋" w:cs="仿宋"/>
          <w:color w:val="auto"/>
          <w:sz w:val="32"/>
          <w:szCs w:val="32"/>
          <w:highlight w:val="none"/>
          <w:lang w:val="en-US" w:eastAsia="zh-CN"/>
        </w:rPr>
        <w:t>即着力打造国家重要先进制造业、具有核心竞争力的科技创新、内陆地区改革开放的高地。</w:t>
      </w:r>
      <w:r>
        <w:rPr>
          <w:rFonts w:hint="eastAsia" w:ascii="仿宋" w:hAnsi="仿宋" w:eastAsia="仿宋" w:cs="仿宋"/>
          <w:b/>
          <w:bCs/>
          <w:color w:val="auto"/>
          <w:sz w:val="32"/>
          <w:szCs w:val="32"/>
          <w:highlight w:val="none"/>
          <w:lang w:val="en-US" w:eastAsia="zh-CN"/>
        </w:rPr>
        <w:t>“四新”</w:t>
      </w:r>
      <w:r>
        <w:rPr>
          <w:rFonts w:hint="eastAsia" w:ascii="仿宋" w:hAnsi="仿宋" w:eastAsia="仿宋" w:cs="仿宋"/>
          <w:color w:val="auto"/>
          <w:sz w:val="32"/>
          <w:szCs w:val="32"/>
          <w:highlight w:val="none"/>
          <w:lang w:val="en-US" w:eastAsia="zh-CN"/>
        </w:rPr>
        <w:t>即在推动高质量发展上闯出新路子，在构建新发展格局中展现新作为，在推动中部地区崛起和长江经济带发展中彰显新担当，奋力谱写新时代坚持和发展中国特色社会主义的湖南新篇章。</w:t>
      </w:r>
    </w:p>
    <w:p w14:paraId="68CA6EBC">
      <w:pPr>
        <w:keepNext w:val="0"/>
        <w:keepLines w:val="0"/>
        <w:pageBreakBefore w:val="0"/>
        <w:widowControl w:val="0"/>
        <w:kinsoku/>
        <w:wordWrap/>
        <w:overflowPunct/>
        <w:topLinePunct w:val="0"/>
        <w:autoSpaceDE/>
        <w:autoSpaceDN/>
        <w:bidi w:val="0"/>
        <w:adjustRightInd/>
        <w:snapToGrid/>
        <w:spacing w:before="0" w:after="0" w:line="634" w:lineRule="exact"/>
        <w:ind w:firstLine="643" w:firstLineChars="200"/>
        <w:jc w:val="both"/>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五项重点任务：</w:t>
      </w:r>
      <w:r>
        <w:rPr>
          <w:rFonts w:hint="eastAsia" w:ascii="仿宋" w:hAnsi="仿宋" w:eastAsia="仿宋" w:cs="仿宋"/>
          <w:color w:val="auto"/>
          <w:sz w:val="32"/>
          <w:szCs w:val="32"/>
          <w:highlight w:val="none"/>
          <w:u w:val="none"/>
        </w:rPr>
        <w:t>2020年9月，习近平总书记在湖南考察调研时，对湖南工作提出包括推动经济高质量发展、推进农业农村现代化、加强生态文明建设、</w:t>
      </w:r>
      <w:r>
        <w:rPr>
          <w:rFonts w:hint="eastAsia" w:ascii="仿宋" w:hAnsi="仿宋" w:eastAsia="仿宋" w:cs="仿宋"/>
          <w:color w:val="auto"/>
          <w:sz w:val="32"/>
          <w:szCs w:val="32"/>
          <w:highlight w:val="none"/>
          <w:u w:val="none"/>
          <w:lang w:eastAsia="zh-CN"/>
        </w:rPr>
        <w:t>推进</w:t>
      </w:r>
      <w:r>
        <w:rPr>
          <w:rFonts w:hint="eastAsia" w:ascii="仿宋" w:hAnsi="仿宋" w:eastAsia="仿宋" w:cs="仿宋"/>
          <w:color w:val="auto"/>
          <w:sz w:val="32"/>
          <w:szCs w:val="32"/>
          <w:highlight w:val="none"/>
          <w:u w:val="none"/>
        </w:rPr>
        <w:t>民生改善和社会稳定</w:t>
      </w:r>
      <w:r>
        <w:rPr>
          <w:rFonts w:hint="eastAsia" w:ascii="仿宋" w:hAnsi="仿宋" w:eastAsia="仿宋" w:cs="仿宋"/>
          <w:color w:val="auto"/>
          <w:sz w:val="32"/>
          <w:szCs w:val="32"/>
          <w:highlight w:val="none"/>
          <w:u w:val="none"/>
          <w:lang w:eastAsia="zh-CN"/>
        </w:rPr>
        <w:t>、全面从严治党等</w:t>
      </w:r>
      <w:r>
        <w:rPr>
          <w:rFonts w:hint="eastAsia" w:ascii="仿宋" w:hAnsi="仿宋" w:eastAsia="仿宋" w:cs="仿宋"/>
          <w:color w:val="auto"/>
          <w:sz w:val="32"/>
          <w:szCs w:val="32"/>
          <w:highlight w:val="none"/>
          <w:u w:val="none"/>
        </w:rPr>
        <w:t>五个方面</w:t>
      </w:r>
      <w:r>
        <w:rPr>
          <w:rFonts w:hint="eastAsia" w:ascii="仿宋" w:hAnsi="仿宋" w:eastAsia="仿宋" w:cs="仿宋"/>
          <w:color w:val="auto"/>
          <w:sz w:val="32"/>
          <w:szCs w:val="32"/>
          <w:highlight w:val="none"/>
          <w:u w:val="none"/>
          <w:lang w:eastAsia="zh-CN"/>
        </w:rPr>
        <w:t>重点任务</w:t>
      </w:r>
      <w:r>
        <w:rPr>
          <w:rFonts w:hint="eastAsia" w:ascii="仿宋" w:hAnsi="仿宋" w:eastAsia="仿宋" w:cs="仿宋"/>
          <w:color w:val="auto"/>
          <w:sz w:val="32"/>
          <w:szCs w:val="32"/>
          <w:highlight w:val="none"/>
          <w:u w:val="none"/>
        </w:rPr>
        <w:t>。</w:t>
      </w:r>
    </w:p>
    <w:p w14:paraId="055B3B2A">
      <w:pPr>
        <w:keepNext w:val="0"/>
        <w:keepLines w:val="0"/>
        <w:pageBreakBefore w:val="0"/>
        <w:widowControl w:val="0"/>
        <w:kinsoku/>
        <w:wordWrap/>
        <w:overflowPunct/>
        <w:topLinePunct w:val="0"/>
        <w:autoSpaceDE/>
        <w:autoSpaceDN/>
        <w:bidi w:val="0"/>
        <w:adjustRightInd/>
        <w:snapToGrid/>
        <w:spacing w:before="0" w:after="0" w:line="634" w:lineRule="exact"/>
        <w:ind w:firstLine="643" w:firstLineChars="200"/>
        <w:jc w:val="left"/>
        <w:textAlignment w:val="auto"/>
        <w:rPr>
          <w:rFonts w:hint="eastAsia" w:ascii="仿宋" w:hAnsi="仿宋" w:eastAsia="仿宋" w:cs="仿宋"/>
          <w:b/>
          <w:bCs/>
          <w:color w:val="auto"/>
          <w:sz w:val="32"/>
          <w:szCs w:val="32"/>
          <w:highlight w:val="none"/>
        </w:rPr>
      </w:pPr>
      <w:r>
        <w:rPr>
          <w:rFonts w:hint="eastAsia" w:ascii="楷体" w:hAnsi="楷体" w:eastAsia="楷体" w:cs="楷体"/>
          <w:b/>
          <w:bCs/>
          <w:color w:val="auto"/>
          <w:sz w:val="32"/>
          <w:szCs w:val="32"/>
          <w:highlight w:val="none"/>
          <w:lang w:val="en-US" w:eastAsia="zh-CN"/>
        </w:rPr>
        <w:t>一核两副三带四区：</w:t>
      </w:r>
      <w:r>
        <w:rPr>
          <w:rFonts w:hint="eastAsia" w:ascii="仿宋" w:hAnsi="仿宋" w:eastAsia="仿宋" w:cs="仿宋"/>
          <w:b/>
          <w:bCs/>
          <w:color w:val="auto"/>
          <w:sz w:val="32"/>
          <w:szCs w:val="32"/>
          <w:highlight w:val="none"/>
          <w:lang w:val="en-US" w:eastAsia="zh-CN"/>
        </w:rPr>
        <w:t>“一核”</w:t>
      </w:r>
      <w:r>
        <w:rPr>
          <w:rFonts w:hint="eastAsia" w:ascii="仿宋" w:hAnsi="仿宋" w:eastAsia="仿宋" w:cs="仿宋"/>
          <w:b w:val="0"/>
          <w:bCs w:val="0"/>
          <w:color w:val="auto"/>
          <w:sz w:val="32"/>
          <w:szCs w:val="32"/>
          <w:highlight w:val="none"/>
          <w:lang w:val="en-US" w:eastAsia="zh-CN"/>
        </w:rPr>
        <w:t>即大力推进长株潭一体化，打造中部地区崛起核心增长极，带动“3+5”城市群发展；</w:t>
      </w:r>
      <w:r>
        <w:rPr>
          <w:rFonts w:hint="eastAsia" w:ascii="仿宋" w:hAnsi="仿宋" w:eastAsia="仿宋" w:cs="仿宋"/>
          <w:b/>
          <w:bCs/>
          <w:color w:val="auto"/>
          <w:sz w:val="32"/>
          <w:szCs w:val="32"/>
          <w:highlight w:val="none"/>
          <w:lang w:val="en-US" w:eastAsia="zh-CN"/>
        </w:rPr>
        <w:t>“两副”</w:t>
      </w:r>
      <w:r>
        <w:rPr>
          <w:rFonts w:hint="eastAsia" w:ascii="仿宋" w:hAnsi="仿宋" w:eastAsia="仿宋" w:cs="仿宋"/>
          <w:b w:val="0"/>
          <w:bCs w:val="0"/>
          <w:color w:val="auto"/>
          <w:sz w:val="32"/>
          <w:szCs w:val="32"/>
          <w:highlight w:val="none"/>
          <w:lang w:val="en-US" w:eastAsia="zh-CN"/>
        </w:rPr>
        <w:t>即建设岳阳、衡阳两个省域副中心城市，支持岳阳建设长江经济带绿色发展示范区，支持衡阳建设现代产业强市；</w:t>
      </w:r>
      <w:r>
        <w:rPr>
          <w:rFonts w:hint="eastAsia" w:ascii="仿宋" w:hAnsi="仿宋" w:eastAsia="仿宋" w:cs="仿宋"/>
          <w:b/>
          <w:bCs/>
          <w:color w:val="auto"/>
          <w:sz w:val="32"/>
          <w:szCs w:val="32"/>
          <w:highlight w:val="none"/>
          <w:lang w:val="en-US" w:eastAsia="zh-CN"/>
        </w:rPr>
        <w:t>“三带”</w:t>
      </w:r>
      <w:r>
        <w:rPr>
          <w:rFonts w:hint="eastAsia" w:ascii="仿宋" w:hAnsi="仿宋" w:eastAsia="仿宋" w:cs="仿宋"/>
          <w:b w:val="0"/>
          <w:bCs w:val="0"/>
          <w:color w:val="auto"/>
          <w:sz w:val="32"/>
          <w:szCs w:val="32"/>
          <w:highlight w:val="none"/>
          <w:lang w:val="en-US" w:eastAsia="zh-CN"/>
        </w:rPr>
        <w:t>即建设沿京广、沪昆、渝长厦通道的三大经济发展带；</w:t>
      </w:r>
      <w:r>
        <w:rPr>
          <w:rFonts w:hint="eastAsia" w:ascii="仿宋" w:hAnsi="仿宋" w:eastAsia="仿宋" w:cs="仿宋"/>
          <w:b/>
          <w:bCs/>
          <w:color w:val="auto"/>
          <w:sz w:val="32"/>
          <w:szCs w:val="32"/>
          <w:highlight w:val="none"/>
          <w:lang w:val="en-US" w:eastAsia="zh-CN"/>
        </w:rPr>
        <w:t>“四区”</w:t>
      </w:r>
      <w:r>
        <w:rPr>
          <w:rFonts w:hint="eastAsia" w:ascii="仿宋" w:hAnsi="仿宋" w:eastAsia="仿宋" w:cs="仿宋"/>
          <w:b w:val="0"/>
          <w:bCs w:val="0"/>
          <w:color w:val="auto"/>
          <w:sz w:val="32"/>
          <w:szCs w:val="32"/>
          <w:highlight w:val="none"/>
          <w:lang w:val="en-US" w:eastAsia="zh-CN"/>
        </w:rPr>
        <w:t>即推动长株潭、洞庭湖、湘南、湘西四大区域板块协调联动发展。</w:t>
      </w:r>
    </w:p>
    <w:p w14:paraId="0BF4AD08">
      <w:pPr>
        <w:pStyle w:val="9"/>
        <w:keepNext w:val="0"/>
        <w:keepLines w:val="0"/>
        <w:pageBreakBefore w:val="0"/>
        <w:widowControl w:val="0"/>
        <w:kinsoku/>
        <w:wordWrap/>
        <w:overflowPunct/>
        <w:topLinePunct w:val="0"/>
        <w:autoSpaceDE/>
        <w:autoSpaceDN/>
        <w:bidi w:val="0"/>
        <w:adjustRightInd/>
        <w:snapToGrid/>
        <w:spacing w:line="634" w:lineRule="exact"/>
        <w:ind w:firstLine="619" w:firstLineChars="200"/>
        <w:textAlignment w:val="auto"/>
        <w:rPr>
          <w:rFonts w:hint="eastAsia" w:ascii="仿宋" w:hAnsi="仿宋" w:eastAsia="仿宋" w:cs="仿宋"/>
          <w:color w:val="auto"/>
          <w:spacing w:val="-6"/>
          <w:sz w:val="32"/>
          <w:szCs w:val="32"/>
          <w:highlight w:val="none"/>
          <w:lang w:val="en-US" w:eastAsia="zh-CN"/>
        </w:rPr>
      </w:pPr>
      <w:r>
        <w:rPr>
          <w:rFonts w:hint="eastAsia" w:ascii="楷体" w:hAnsi="楷体" w:eastAsia="楷体" w:cs="楷体"/>
          <w:b/>
          <w:bCs/>
          <w:color w:val="auto"/>
          <w:spacing w:val="-6"/>
          <w:kern w:val="2"/>
          <w:sz w:val="32"/>
          <w:szCs w:val="32"/>
          <w:highlight w:val="none"/>
          <w:lang w:val="en-US" w:eastAsia="zh-CN" w:bidi="ar-SA"/>
        </w:rPr>
        <w:t>“放管服”改革：</w:t>
      </w:r>
      <w:r>
        <w:rPr>
          <w:rFonts w:hint="eastAsia" w:ascii="仿宋" w:hAnsi="仿宋" w:eastAsia="仿宋" w:cs="仿宋"/>
          <w:b/>
          <w:bCs/>
          <w:color w:val="auto"/>
          <w:spacing w:val="-6"/>
          <w:sz w:val="32"/>
          <w:szCs w:val="32"/>
          <w:highlight w:val="none"/>
        </w:rPr>
        <w:t>“放”</w:t>
      </w:r>
      <w:r>
        <w:rPr>
          <w:rFonts w:hint="eastAsia" w:ascii="仿宋" w:hAnsi="仿宋" w:eastAsia="仿宋" w:cs="仿宋"/>
          <w:color w:val="auto"/>
          <w:spacing w:val="-6"/>
          <w:sz w:val="32"/>
          <w:szCs w:val="32"/>
          <w:highlight w:val="none"/>
        </w:rPr>
        <w:t>即简政放权，降低准入门槛。</w:t>
      </w:r>
      <w:r>
        <w:rPr>
          <w:rFonts w:hint="eastAsia" w:ascii="仿宋" w:hAnsi="仿宋" w:eastAsia="仿宋" w:cs="仿宋"/>
          <w:b/>
          <w:bCs/>
          <w:color w:val="auto"/>
          <w:spacing w:val="-6"/>
          <w:sz w:val="32"/>
          <w:szCs w:val="32"/>
          <w:highlight w:val="none"/>
        </w:rPr>
        <w:t>“管”</w:t>
      </w:r>
      <w:r>
        <w:rPr>
          <w:rFonts w:hint="eastAsia" w:ascii="仿宋" w:hAnsi="仿宋" w:eastAsia="仿宋" w:cs="仿宋"/>
          <w:color w:val="auto"/>
          <w:spacing w:val="-6"/>
          <w:sz w:val="32"/>
          <w:szCs w:val="32"/>
          <w:highlight w:val="none"/>
        </w:rPr>
        <w:t>即创新监管，促进公平竞争。</w:t>
      </w:r>
      <w:r>
        <w:rPr>
          <w:rFonts w:hint="eastAsia" w:ascii="仿宋" w:hAnsi="仿宋" w:eastAsia="仿宋" w:cs="仿宋"/>
          <w:b/>
          <w:bCs/>
          <w:color w:val="auto"/>
          <w:spacing w:val="-6"/>
          <w:sz w:val="32"/>
          <w:szCs w:val="32"/>
          <w:highlight w:val="none"/>
        </w:rPr>
        <w:t>“服”</w:t>
      </w:r>
      <w:r>
        <w:rPr>
          <w:rFonts w:hint="eastAsia" w:ascii="仿宋" w:hAnsi="仿宋" w:eastAsia="仿宋" w:cs="仿宋"/>
          <w:color w:val="auto"/>
          <w:spacing w:val="-6"/>
          <w:sz w:val="32"/>
          <w:szCs w:val="32"/>
          <w:highlight w:val="none"/>
        </w:rPr>
        <w:t>即高效服务，营造便利环境。</w:t>
      </w:r>
    </w:p>
    <w:p w14:paraId="6DE52F0E">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“一件事一次办”改革</w:t>
      </w:r>
      <w:r>
        <w:rPr>
          <w:rFonts w:hint="eastAsia" w:ascii="仿宋" w:hAnsi="仿宋" w:eastAsia="仿宋" w:cs="仿宋"/>
          <w:b/>
          <w:bCs/>
          <w:color w:val="auto"/>
          <w:kern w:val="2"/>
          <w:sz w:val="32"/>
          <w:szCs w:val="32"/>
          <w:highlight w:val="none"/>
          <w:lang w:val="en-US" w:eastAsia="zh-CN" w:bidi="ar-SA"/>
        </w:rPr>
        <w:t>：</w:t>
      </w:r>
      <w:r>
        <w:rPr>
          <w:rFonts w:hint="eastAsia" w:ascii="仿宋" w:hAnsi="仿宋" w:eastAsia="仿宋" w:cs="仿宋"/>
          <w:color w:val="auto"/>
          <w:sz w:val="32"/>
          <w:szCs w:val="32"/>
          <w:highlight w:val="none"/>
        </w:rPr>
        <w:t>对企业群众需办理的一个“事项”，一次告知、一次表单、一次联办、一次办好，线上“一次登录、一网通办”，线下“只进一扇门、最多跑一次”。</w:t>
      </w:r>
    </w:p>
    <w:p w14:paraId="467C638C">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kern w:val="2"/>
          <w:sz w:val="32"/>
          <w:szCs w:val="32"/>
          <w:highlight w:val="none"/>
          <w:lang w:val="en-US" w:eastAsia="zh-CN" w:bidi="ar-SA"/>
        </w:rPr>
        <w:t>三集中三到位：</w:t>
      </w:r>
      <w:r>
        <w:rPr>
          <w:rFonts w:hint="eastAsia" w:ascii="仿宋" w:hAnsi="仿宋" w:eastAsia="仿宋" w:cs="仿宋"/>
          <w:b/>
          <w:bCs/>
          <w:color w:val="auto"/>
          <w:kern w:val="2"/>
          <w:sz w:val="32"/>
          <w:szCs w:val="32"/>
          <w:highlight w:val="none"/>
          <w:lang w:val="en-US" w:eastAsia="zh-CN" w:bidi="ar-SA"/>
        </w:rPr>
        <w:t>“三集中”</w:t>
      </w:r>
      <w:r>
        <w:rPr>
          <w:rFonts w:hint="eastAsia" w:ascii="仿宋" w:hAnsi="仿宋" w:eastAsia="仿宋" w:cs="仿宋"/>
          <w:color w:val="auto"/>
          <w:kern w:val="2"/>
          <w:sz w:val="32"/>
          <w:szCs w:val="32"/>
          <w:highlight w:val="none"/>
          <w:lang w:val="en-US" w:eastAsia="zh-CN" w:bidi="ar-SA"/>
        </w:rPr>
        <w:t>是指行政审批职能向一个科室集中、承担审批职能的科室向行政服务中心集中、行政审批事项向电子政务平台集中。</w:t>
      </w:r>
      <w:r>
        <w:rPr>
          <w:rFonts w:hint="eastAsia" w:ascii="仿宋" w:hAnsi="仿宋" w:eastAsia="仿宋" w:cs="仿宋"/>
          <w:b/>
          <w:bCs/>
          <w:color w:val="auto"/>
          <w:kern w:val="2"/>
          <w:sz w:val="32"/>
          <w:szCs w:val="32"/>
          <w:highlight w:val="none"/>
          <w:lang w:val="en-US" w:eastAsia="zh-CN" w:bidi="ar-SA"/>
        </w:rPr>
        <w:t>“三到位”</w:t>
      </w:r>
      <w:r>
        <w:rPr>
          <w:rFonts w:hint="eastAsia" w:ascii="仿宋" w:hAnsi="仿宋" w:eastAsia="仿宋" w:cs="仿宋"/>
          <w:b w:val="0"/>
          <w:bCs w:val="0"/>
          <w:color w:val="auto"/>
          <w:kern w:val="2"/>
          <w:sz w:val="32"/>
          <w:szCs w:val="32"/>
          <w:highlight w:val="none"/>
          <w:lang w:val="en-US" w:eastAsia="zh-CN" w:bidi="ar-SA"/>
        </w:rPr>
        <w:t>是</w:t>
      </w:r>
      <w:r>
        <w:rPr>
          <w:rFonts w:hint="eastAsia" w:ascii="仿宋" w:hAnsi="仿宋" w:eastAsia="仿宋" w:cs="仿宋"/>
          <w:color w:val="auto"/>
          <w:kern w:val="2"/>
          <w:sz w:val="32"/>
          <w:szCs w:val="32"/>
          <w:highlight w:val="none"/>
          <w:lang w:val="en-US" w:eastAsia="zh-CN" w:bidi="ar-SA"/>
        </w:rPr>
        <w:t>指做到事项进驻大厅到位，审批授权、窗口到位，电子监察到位。</w:t>
      </w:r>
    </w:p>
    <w:p w14:paraId="4E5D7027">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kern w:val="2"/>
          <w:sz w:val="32"/>
          <w:szCs w:val="32"/>
          <w:highlight w:val="none"/>
          <w:lang w:val="en-US" w:eastAsia="zh-CN" w:bidi="ar-SA"/>
        </w:rPr>
        <w:t>星创天地：</w:t>
      </w:r>
      <w:r>
        <w:rPr>
          <w:rFonts w:hint="eastAsia" w:ascii="仿宋" w:hAnsi="仿宋" w:eastAsia="仿宋" w:cs="仿宋"/>
          <w:color w:val="auto"/>
          <w:kern w:val="2"/>
          <w:sz w:val="32"/>
          <w:szCs w:val="32"/>
          <w:highlight w:val="none"/>
          <w:lang w:val="en-US" w:eastAsia="zh-CN" w:bidi="ar-SA"/>
        </w:rPr>
        <w:t>是众创空间在农村基层的一种表现形式，是对</w:t>
      </w:r>
      <w:r>
        <w:rPr>
          <w:rFonts w:hint="eastAsia" w:ascii="仿宋" w:hAnsi="仿宋" w:eastAsia="仿宋" w:cs="仿宋"/>
          <w:color w:val="auto"/>
          <w:kern w:val="2"/>
          <w:sz w:val="32"/>
          <w:szCs w:val="32"/>
          <w:highlight w:val="none"/>
          <w:lang w:val="en-US" w:eastAsia="zh-CN" w:bidi="ar-SA"/>
        </w:rPr>
        <w:fldChar w:fldCharType="begin"/>
      </w:r>
      <w:r>
        <w:rPr>
          <w:rFonts w:hint="eastAsia" w:ascii="仿宋" w:hAnsi="仿宋" w:eastAsia="仿宋" w:cs="仿宋"/>
          <w:color w:val="auto"/>
          <w:kern w:val="2"/>
          <w:sz w:val="32"/>
          <w:szCs w:val="32"/>
          <w:highlight w:val="none"/>
          <w:lang w:val="en-US" w:eastAsia="zh-CN" w:bidi="ar-SA"/>
        </w:rPr>
        <w:instrText xml:space="preserve"> HYPERLINK "https://baike.so.com/doc/777060-822207.html" \t "https://baike.so.com/doc/_blank" </w:instrText>
      </w:r>
      <w:r>
        <w:rPr>
          <w:rFonts w:hint="eastAsia" w:ascii="仿宋" w:hAnsi="仿宋" w:eastAsia="仿宋" w:cs="仿宋"/>
          <w:color w:val="auto"/>
          <w:kern w:val="2"/>
          <w:sz w:val="32"/>
          <w:szCs w:val="32"/>
          <w:highlight w:val="none"/>
          <w:lang w:val="en-US" w:eastAsia="zh-CN" w:bidi="ar-SA"/>
        </w:rPr>
        <w:fldChar w:fldCharType="separate"/>
      </w:r>
      <w:r>
        <w:rPr>
          <w:rFonts w:hint="eastAsia" w:ascii="仿宋" w:hAnsi="仿宋" w:eastAsia="仿宋" w:cs="仿宋"/>
          <w:color w:val="auto"/>
          <w:kern w:val="2"/>
          <w:sz w:val="32"/>
          <w:szCs w:val="32"/>
          <w:highlight w:val="none"/>
          <w:lang w:val="en-US" w:eastAsia="zh-CN" w:bidi="ar-SA"/>
        </w:rPr>
        <w:t>星火计划</w:t>
      </w:r>
      <w:r>
        <w:rPr>
          <w:rFonts w:hint="eastAsia" w:ascii="仿宋" w:hAnsi="仿宋" w:eastAsia="仿宋" w:cs="仿宋"/>
          <w:color w:val="auto"/>
          <w:kern w:val="2"/>
          <w:sz w:val="32"/>
          <w:szCs w:val="32"/>
          <w:highlight w:val="none"/>
          <w:lang w:val="en-US" w:eastAsia="zh-CN" w:bidi="ar-SA"/>
        </w:rPr>
        <w:fldChar w:fldCharType="end"/>
      </w:r>
      <w:r>
        <w:rPr>
          <w:rFonts w:hint="eastAsia" w:ascii="仿宋" w:hAnsi="仿宋" w:eastAsia="仿宋" w:cs="仿宋"/>
          <w:color w:val="auto"/>
          <w:kern w:val="2"/>
          <w:sz w:val="32"/>
          <w:szCs w:val="32"/>
          <w:highlight w:val="none"/>
          <w:lang w:val="en-US" w:eastAsia="zh-CN" w:bidi="ar-SA"/>
        </w:rPr>
        <w:t>的一种传承和发扬。星创天地简言之是“星火燎原、创新创业，科技顶天，服务立地”，既是农业科技创新创业服务平台，又是新型职业农民的“学校”和创新型农业企业家的“摇篮”，是农村科技创新创业服务体系的重要组成部分，是推行科技特派员创制度的重要举措。</w:t>
      </w:r>
    </w:p>
    <w:p w14:paraId="2DDE4EDE">
      <w:pPr>
        <w:pStyle w:val="2"/>
        <w:keepNext w:val="0"/>
        <w:keepLines w:val="0"/>
        <w:pageBreakBefore w:val="0"/>
        <w:widowControl w:val="0"/>
        <w:kinsoku/>
        <w:wordWrap/>
        <w:overflowPunct/>
        <w:topLinePunct w:val="0"/>
        <w:autoSpaceDE/>
        <w:autoSpaceDN/>
        <w:bidi w:val="0"/>
        <w:adjustRightInd/>
        <w:snapToGrid/>
        <w:spacing w:line="634" w:lineRule="exact"/>
        <w:ind w:firstLine="64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“135”工程：</w:t>
      </w:r>
      <w:r>
        <w:rPr>
          <w:rFonts w:hint="eastAsia" w:ascii="仿宋" w:hAnsi="仿宋" w:eastAsia="仿宋" w:cs="仿宋"/>
          <w:color w:val="auto"/>
          <w:sz w:val="32"/>
          <w:szCs w:val="32"/>
          <w:highlight w:val="none"/>
        </w:rPr>
        <w:t>即通过三年的努力在全省建设100个创新创业产业园区、建成3000万平方米标准厂房、引进5000家创新创业企业</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 xml:space="preserve"> </w:t>
      </w:r>
    </w:p>
    <w:p w14:paraId="0016C094">
      <w:pPr>
        <w:keepNext w:val="0"/>
        <w:keepLines w:val="0"/>
        <w:pageBreakBefore w:val="0"/>
        <w:widowControl w:val="0"/>
        <w:kinsoku/>
        <w:wordWrap/>
        <w:overflowPunct/>
        <w:topLinePunct w:val="0"/>
        <w:autoSpaceDE/>
        <w:autoSpaceDN/>
        <w:bidi w:val="0"/>
        <w:adjustRightInd/>
        <w:snapToGrid/>
        <w:spacing w:before="0" w:after="0" w:line="634" w:lineRule="exact"/>
        <w:ind w:firstLine="643" w:firstLineChars="200"/>
        <w:jc w:val="both"/>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“135”工程升级版：</w:t>
      </w:r>
      <w:r>
        <w:rPr>
          <w:rFonts w:hint="eastAsia" w:ascii="仿宋" w:hAnsi="仿宋" w:eastAsia="仿宋" w:cs="仿宋"/>
          <w:color w:val="auto"/>
          <w:sz w:val="32"/>
          <w:szCs w:val="32"/>
          <w:highlight w:val="none"/>
        </w:rPr>
        <w:t>全省围绕服务实体经济高质量发展，在巩固“135”工程成效的基础上，再扶持100个以上优势特色产业园区，建设产业发展、技术支撑、融资担保3大平台，引进5000家以上产业型企业落地，实现园区动能升级、功能升级、效能升级。</w:t>
      </w:r>
    </w:p>
    <w:p w14:paraId="0231E34A">
      <w:pPr>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沪昆高速百里工业走廊：</w:t>
      </w:r>
      <w:r>
        <w:rPr>
          <w:rFonts w:hint="eastAsia" w:ascii="仿宋" w:hAnsi="仿宋" w:eastAsia="仿宋" w:cs="仿宋"/>
          <w:color w:val="auto"/>
          <w:sz w:val="32"/>
          <w:szCs w:val="32"/>
          <w:highlight w:val="none"/>
        </w:rPr>
        <w:t>以沪昆高速沿线7个省级工业园区为节点，连线成片。</w:t>
      </w:r>
    </w:p>
    <w:p w14:paraId="19864D05">
      <w:pPr>
        <w:pStyle w:val="2"/>
        <w:keepNext w:val="0"/>
        <w:keepLines w:val="0"/>
        <w:pageBreakBefore w:val="0"/>
        <w:widowControl w:val="0"/>
        <w:kinsoku/>
        <w:wordWrap/>
        <w:overflowPunct/>
        <w:topLinePunct w:val="0"/>
        <w:autoSpaceDE/>
        <w:autoSpaceDN/>
        <w:bidi w:val="0"/>
        <w:adjustRightInd/>
        <w:snapToGrid/>
        <w:spacing w:line="634" w:lineRule="exact"/>
        <w:ind w:firstLine="64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邵阳市“二中心一枢纽”：</w:t>
      </w:r>
      <w:r>
        <w:rPr>
          <w:rFonts w:hint="eastAsia" w:ascii="仿宋" w:hAnsi="仿宋" w:eastAsia="仿宋" w:cs="仿宋"/>
          <w:color w:val="auto"/>
          <w:sz w:val="32"/>
          <w:szCs w:val="32"/>
          <w:highlight w:val="none"/>
          <w:lang w:val="en-US" w:eastAsia="zh-CN"/>
        </w:rPr>
        <w:t>即高质量建成湖南省域副中</w:t>
      </w:r>
      <w:r>
        <w:rPr>
          <w:rFonts w:hint="eastAsia" w:ascii="仿宋" w:hAnsi="仿宋" w:eastAsia="仿宋" w:cs="仿宋"/>
          <w:color w:val="auto"/>
          <w:spacing w:val="-6"/>
          <w:sz w:val="32"/>
          <w:szCs w:val="32"/>
          <w:highlight w:val="none"/>
          <w:lang w:val="en-US" w:eastAsia="zh-CN"/>
        </w:rPr>
        <w:t>心、湘中湘西南经济文化体育中心、全国区域性综合交通枢纽。</w:t>
      </w:r>
      <w:r>
        <w:rPr>
          <w:rFonts w:hint="eastAsia" w:ascii="仿宋" w:hAnsi="仿宋" w:eastAsia="仿宋" w:cs="仿宋"/>
          <w:color w:val="auto"/>
          <w:sz w:val="32"/>
          <w:szCs w:val="32"/>
          <w:highlight w:val="none"/>
          <w:lang w:val="en-US" w:eastAsia="zh-CN"/>
        </w:rPr>
        <w:t xml:space="preserve"> </w:t>
      </w:r>
    </w:p>
    <w:p w14:paraId="63559CFF">
      <w:pPr>
        <w:keepNext w:val="0"/>
        <w:keepLines w:val="0"/>
        <w:pageBreakBefore w:val="0"/>
        <w:widowControl w:val="0"/>
        <w:kinsoku/>
        <w:wordWrap/>
        <w:overflowPunct/>
        <w:topLinePunct w:val="0"/>
        <w:autoSpaceDE/>
        <w:autoSpaceDN/>
        <w:bidi w:val="0"/>
        <w:adjustRightInd/>
        <w:snapToGrid/>
        <w:spacing w:before="0" w:after="0" w:line="634" w:lineRule="exact"/>
        <w:ind w:firstLine="667" w:firstLineChars="200"/>
        <w:jc w:val="both"/>
        <w:textAlignment w:val="auto"/>
        <w:rPr>
          <w:rFonts w:hint="eastAsia" w:ascii="仿宋" w:hAnsi="仿宋" w:eastAsia="仿宋" w:cs="仿宋"/>
          <w:color w:val="auto"/>
          <w:spacing w:val="6"/>
          <w:sz w:val="32"/>
          <w:szCs w:val="32"/>
          <w:highlight w:val="none"/>
          <w:lang w:val="en-US" w:eastAsia="zh-CN"/>
        </w:rPr>
      </w:pPr>
      <w:r>
        <w:rPr>
          <w:rFonts w:hint="eastAsia" w:ascii="楷体" w:hAnsi="楷体" w:eastAsia="楷体" w:cs="楷体"/>
          <w:b/>
          <w:bCs/>
          <w:color w:val="auto"/>
          <w:spacing w:val="6"/>
          <w:sz w:val="32"/>
          <w:szCs w:val="32"/>
          <w:highlight w:val="none"/>
          <w:lang w:val="en-US" w:eastAsia="zh-CN"/>
        </w:rPr>
        <w:t>“1+7+N”优化营商环境工作体系：</w:t>
      </w:r>
      <w:r>
        <w:rPr>
          <w:rFonts w:hint="eastAsia" w:ascii="仿宋" w:hAnsi="仿宋" w:eastAsia="仿宋" w:cs="仿宋"/>
          <w:b w:val="0"/>
          <w:bCs w:val="0"/>
          <w:color w:val="auto"/>
          <w:spacing w:val="6"/>
          <w:sz w:val="32"/>
          <w:szCs w:val="32"/>
          <w:highlight w:val="none"/>
          <w:lang w:val="en-US" w:eastAsia="zh-CN"/>
        </w:rPr>
        <w:t>1</w:t>
      </w:r>
      <w:r>
        <w:rPr>
          <w:rFonts w:hint="eastAsia" w:ascii="仿宋" w:hAnsi="仿宋" w:eastAsia="仿宋" w:cs="仿宋"/>
          <w:color w:val="auto"/>
          <w:spacing w:val="6"/>
          <w:sz w:val="32"/>
          <w:szCs w:val="32"/>
          <w:highlight w:val="none"/>
        </w:rPr>
        <w:t>个顶层设计，即《邵阳市“优化营商环境提升年”实施方案》；7项企业关切和群众关注的重点改革举措，分别为深化商事制度改革、推进工程建设项目审批制度改革、不动产登记制度改革、推进政务服务“一网、一门、一次”改革、优化纳税营商环境、推进跨境贸易便利化、加强信用监管；“N”项围绕营商环境相关的优化措施，包括获得用水用电用气便利度改革、公共资源交易制度改革等方面。</w:t>
      </w:r>
    </w:p>
    <w:p w14:paraId="7470385B">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b/>
          <w:bCs/>
          <w:color w:val="auto"/>
          <w:kern w:val="2"/>
          <w:sz w:val="32"/>
          <w:szCs w:val="32"/>
          <w:highlight w:val="none"/>
          <w:lang w:val="en-US" w:eastAsia="zh-CN" w:bidi="ar-SA"/>
        </w:rPr>
      </w:pPr>
      <w:r>
        <w:rPr>
          <w:rFonts w:hint="eastAsia" w:ascii="楷体" w:hAnsi="楷体" w:eastAsia="楷体" w:cs="楷体"/>
          <w:b/>
          <w:bCs/>
          <w:color w:val="auto"/>
          <w:kern w:val="2"/>
          <w:sz w:val="32"/>
          <w:szCs w:val="32"/>
          <w:highlight w:val="none"/>
          <w:lang w:val="en-US" w:eastAsia="zh-CN" w:bidi="ar-SA"/>
        </w:rPr>
        <w:t>精明增长：</w:t>
      </w:r>
      <w:r>
        <w:rPr>
          <w:rFonts w:hint="eastAsia" w:ascii="仿宋" w:hAnsi="仿宋" w:eastAsia="仿宋" w:cs="仿宋"/>
          <w:color w:val="auto"/>
          <w:kern w:val="2"/>
          <w:sz w:val="32"/>
          <w:szCs w:val="32"/>
          <w:highlight w:val="none"/>
          <w:lang w:val="en-US" w:eastAsia="zh-CN" w:bidi="ar-SA"/>
        </w:rPr>
        <w:t>指住宅区、办公场所和商贸用地交错布局，都集中在城市中心。是一种在提高土地利用效率的基础上控制城市扩张、保护生态环境、服务于经济发展、促进城乡协调发展和人们生活质量提高的发展模式。</w:t>
      </w:r>
    </w:p>
    <w:p w14:paraId="17B85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34" w:lineRule="exact"/>
        <w:ind w:left="0" w:right="0" w:firstLine="643" w:firstLineChars="200"/>
        <w:jc w:val="left"/>
        <w:textAlignment w:val="auto"/>
        <w:rPr>
          <w:rFonts w:hint="eastAsia" w:ascii="仿宋" w:hAnsi="仿宋" w:eastAsia="仿宋" w:cs="仿宋"/>
          <w:color w:val="auto"/>
          <w:highlight w:val="none"/>
        </w:rPr>
      </w:pPr>
      <w:r>
        <w:rPr>
          <w:rFonts w:hint="eastAsia" w:ascii="楷体" w:hAnsi="楷体" w:eastAsia="楷体" w:cs="楷体"/>
          <w:b/>
          <w:bCs w:val="0"/>
          <w:color w:val="auto"/>
          <w:kern w:val="0"/>
          <w:sz w:val="32"/>
          <w:szCs w:val="32"/>
          <w:highlight w:val="none"/>
          <w:lang w:val="en-US" w:eastAsia="zh-CN" w:bidi="ar"/>
        </w:rPr>
        <w:t>五个中心：</w:t>
      </w:r>
      <w:r>
        <w:rPr>
          <w:rFonts w:hint="eastAsia" w:ascii="仿宋" w:hAnsi="仿宋" w:eastAsia="仿宋" w:cs="仿宋"/>
          <w:color w:val="auto"/>
          <w:kern w:val="0"/>
          <w:sz w:val="32"/>
          <w:szCs w:val="32"/>
          <w:highlight w:val="none"/>
          <w:lang w:val="en-US" w:eastAsia="zh-CN" w:bidi="ar"/>
        </w:rPr>
        <w:t>文化旅游中心、科教卫生中心、商贸服务中心、特色产业中心、交通集散中心。</w:t>
      </w:r>
    </w:p>
    <w:p w14:paraId="4AF1A7C7">
      <w:pPr>
        <w:keepNext w:val="0"/>
        <w:keepLines w:val="0"/>
        <w:pageBreakBefore w:val="0"/>
        <w:widowControl w:val="0"/>
        <w:kinsoku/>
        <w:wordWrap/>
        <w:overflowPunct/>
        <w:topLinePunct w:val="0"/>
        <w:autoSpaceDE/>
        <w:autoSpaceDN/>
        <w:bidi w:val="0"/>
        <w:adjustRightInd/>
        <w:snapToGrid/>
        <w:spacing w:before="0" w:after="0" w:line="634" w:lineRule="exact"/>
        <w:ind w:firstLine="643" w:firstLineChars="200"/>
        <w:jc w:val="both"/>
        <w:textAlignment w:val="auto"/>
        <w:rPr>
          <w:rFonts w:hint="eastAsia" w:ascii="仿宋" w:hAnsi="仿宋" w:eastAsia="仿宋" w:cs="仿宋"/>
          <w:b w:val="0"/>
          <w:bCs w:val="0"/>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一园一山一镇一城一基地一中心：</w:t>
      </w:r>
      <w:r>
        <w:rPr>
          <w:rFonts w:hint="eastAsia" w:ascii="仿宋" w:hAnsi="仿宋" w:eastAsia="仿宋" w:cs="仿宋"/>
          <w:b/>
          <w:bCs/>
          <w:color w:val="auto"/>
          <w:sz w:val="32"/>
          <w:szCs w:val="32"/>
          <w:highlight w:val="none"/>
          <w:lang w:val="en-US" w:eastAsia="zh-CN"/>
        </w:rPr>
        <w:t>“</w:t>
      </w:r>
      <w:r>
        <w:rPr>
          <w:rFonts w:hint="eastAsia" w:ascii="仿宋" w:hAnsi="仿宋" w:eastAsia="仿宋" w:cs="仿宋"/>
          <w:b/>
          <w:bCs/>
          <w:color w:val="auto"/>
          <w:sz w:val="32"/>
          <w:szCs w:val="32"/>
          <w:highlight w:val="none"/>
          <w:lang w:eastAsia="zh-CN"/>
        </w:rPr>
        <w:t>一园”</w:t>
      </w:r>
      <w:r>
        <w:rPr>
          <w:rFonts w:hint="eastAsia" w:ascii="仿宋" w:hAnsi="仿宋" w:eastAsia="仿宋" w:cs="仿宋"/>
          <w:color w:val="auto"/>
          <w:sz w:val="32"/>
          <w:szCs w:val="32"/>
          <w:highlight w:val="none"/>
          <w:lang w:eastAsia="zh-CN"/>
        </w:rPr>
        <w:t>即产业园区，</w:t>
      </w:r>
      <w:r>
        <w:rPr>
          <w:rFonts w:hint="eastAsia" w:ascii="仿宋" w:hAnsi="仿宋" w:eastAsia="仿宋" w:cs="仿宋"/>
          <w:b/>
          <w:bCs/>
          <w:color w:val="auto"/>
          <w:sz w:val="32"/>
          <w:szCs w:val="32"/>
          <w:highlight w:val="none"/>
          <w:lang w:eastAsia="zh-CN"/>
        </w:rPr>
        <w:t>“一山”</w:t>
      </w:r>
      <w:r>
        <w:rPr>
          <w:rFonts w:hint="eastAsia" w:ascii="仿宋" w:hAnsi="仿宋" w:eastAsia="仿宋" w:cs="仿宋"/>
          <w:color w:val="auto"/>
          <w:sz w:val="32"/>
          <w:szCs w:val="32"/>
          <w:highlight w:val="none"/>
          <w:lang w:eastAsia="zh-CN"/>
        </w:rPr>
        <w:t>即云山旅游，</w:t>
      </w:r>
      <w:r>
        <w:rPr>
          <w:rFonts w:hint="eastAsia" w:ascii="仿宋" w:hAnsi="仿宋" w:eastAsia="仿宋" w:cs="仿宋"/>
          <w:b/>
          <w:bCs/>
          <w:color w:val="auto"/>
          <w:sz w:val="32"/>
          <w:szCs w:val="32"/>
          <w:highlight w:val="none"/>
          <w:lang w:eastAsia="zh-CN"/>
        </w:rPr>
        <w:t>“一镇”</w:t>
      </w:r>
      <w:r>
        <w:rPr>
          <w:rFonts w:hint="eastAsia" w:ascii="仿宋" w:hAnsi="仿宋" w:eastAsia="仿宋" w:cs="仿宋"/>
          <w:color w:val="auto"/>
          <w:sz w:val="32"/>
          <w:szCs w:val="32"/>
          <w:highlight w:val="none"/>
          <w:lang w:eastAsia="zh-CN"/>
        </w:rPr>
        <w:t>即都梁文旅休闲特色小镇，</w:t>
      </w:r>
      <w:r>
        <w:rPr>
          <w:rFonts w:hint="eastAsia" w:ascii="仿宋" w:hAnsi="仿宋" w:eastAsia="仿宋" w:cs="仿宋"/>
          <w:b/>
          <w:bCs/>
          <w:color w:val="auto"/>
          <w:sz w:val="32"/>
          <w:szCs w:val="32"/>
          <w:highlight w:val="none"/>
          <w:lang w:eastAsia="zh-CN"/>
        </w:rPr>
        <w:t>“一城”</w:t>
      </w:r>
      <w:r>
        <w:rPr>
          <w:rFonts w:hint="eastAsia" w:ascii="仿宋" w:hAnsi="仿宋" w:eastAsia="仿宋" w:cs="仿宋"/>
          <w:color w:val="auto"/>
          <w:sz w:val="32"/>
          <w:szCs w:val="32"/>
          <w:highlight w:val="none"/>
          <w:lang w:eastAsia="zh-CN"/>
        </w:rPr>
        <w:t>即狮子湖影视城，</w:t>
      </w:r>
      <w:r>
        <w:rPr>
          <w:rFonts w:hint="eastAsia" w:ascii="仿宋" w:hAnsi="仿宋" w:eastAsia="仿宋" w:cs="仿宋"/>
          <w:b/>
          <w:bCs/>
          <w:color w:val="auto"/>
          <w:sz w:val="32"/>
          <w:szCs w:val="32"/>
          <w:highlight w:val="none"/>
          <w:lang w:eastAsia="zh-CN"/>
        </w:rPr>
        <w:t>“一基地”</w:t>
      </w:r>
      <w:r>
        <w:rPr>
          <w:rFonts w:hint="eastAsia" w:ascii="仿宋" w:hAnsi="仿宋" w:eastAsia="仿宋" w:cs="仿宋"/>
          <w:color w:val="auto"/>
          <w:sz w:val="32"/>
          <w:szCs w:val="32"/>
          <w:highlight w:val="none"/>
          <w:lang w:eastAsia="zh-CN"/>
        </w:rPr>
        <w:t>即国防教育基地，</w:t>
      </w:r>
      <w:r>
        <w:rPr>
          <w:rFonts w:hint="eastAsia" w:ascii="仿宋" w:hAnsi="仿宋" w:eastAsia="仿宋" w:cs="仿宋"/>
          <w:b/>
          <w:bCs/>
          <w:color w:val="auto"/>
          <w:sz w:val="32"/>
          <w:szCs w:val="32"/>
          <w:highlight w:val="none"/>
          <w:lang w:eastAsia="zh-CN"/>
        </w:rPr>
        <w:t>“一中心”</w:t>
      </w:r>
      <w:r>
        <w:rPr>
          <w:rFonts w:hint="eastAsia" w:ascii="仿宋" w:hAnsi="仿宋" w:eastAsia="仿宋" w:cs="仿宋"/>
          <w:color w:val="auto"/>
          <w:sz w:val="32"/>
          <w:szCs w:val="32"/>
          <w:highlight w:val="none"/>
          <w:lang w:eastAsia="zh-CN"/>
        </w:rPr>
        <w:t>即城中心新东路百姓商圈。</w:t>
      </w:r>
    </w:p>
    <w:p w14:paraId="68BCA23D">
      <w:pPr>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sz w:val="32"/>
          <w:szCs w:val="32"/>
          <w:highlight w:val="none"/>
          <w:lang w:eastAsia="zh-CN"/>
        </w:rPr>
      </w:pPr>
      <w:r>
        <w:rPr>
          <w:rFonts w:hint="eastAsia" w:ascii="楷体" w:hAnsi="楷体" w:eastAsia="楷体" w:cs="楷体"/>
          <w:b/>
          <w:bCs/>
          <w:color w:val="auto"/>
          <w:sz w:val="32"/>
          <w:szCs w:val="32"/>
          <w:highlight w:val="none"/>
          <w:lang w:val="en-US" w:eastAsia="zh-CN"/>
        </w:rPr>
        <w:t>四纵四横：</w:t>
      </w:r>
      <w:r>
        <w:rPr>
          <w:rFonts w:hint="eastAsia" w:ascii="仿宋" w:hAnsi="仿宋" w:eastAsia="仿宋" w:cs="仿宋"/>
          <w:b/>
          <w:bCs/>
          <w:color w:val="auto"/>
          <w:sz w:val="32"/>
          <w:szCs w:val="32"/>
          <w:highlight w:val="none"/>
          <w:lang w:eastAsia="zh-CN"/>
        </w:rPr>
        <w:t>“四纵”</w:t>
      </w:r>
      <w:r>
        <w:rPr>
          <w:rFonts w:hint="eastAsia" w:ascii="仿宋" w:hAnsi="仿宋" w:eastAsia="仿宋" w:cs="仿宋"/>
          <w:color w:val="auto"/>
          <w:sz w:val="32"/>
          <w:szCs w:val="32"/>
          <w:highlight w:val="none"/>
          <w:lang w:eastAsia="zh-CN"/>
        </w:rPr>
        <w:t>即春光路，塘富路，城东路、恒泰路；</w:t>
      </w:r>
      <w:r>
        <w:rPr>
          <w:rFonts w:hint="eastAsia" w:ascii="仿宋" w:hAnsi="仿宋" w:eastAsia="仿宋" w:cs="仿宋"/>
          <w:b/>
          <w:bCs/>
          <w:color w:val="auto"/>
          <w:sz w:val="32"/>
          <w:szCs w:val="32"/>
          <w:highlight w:val="none"/>
          <w:lang w:eastAsia="zh-CN"/>
        </w:rPr>
        <w:t>“四横”</w:t>
      </w:r>
      <w:r>
        <w:rPr>
          <w:rFonts w:hint="eastAsia" w:ascii="仿宋" w:hAnsi="仿宋" w:eastAsia="仿宋" w:cs="仿宋"/>
          <w:color w:val="auto"/>
          <w:sz w:val="32"/>
          <w:szCs w:val="32"/>
          <w:highlight w:val="none"/>
          <w:lang w:eastAsia="zh-CN"/>
        </w:rPr>
        <w:t>即恒丰路，水云东路，新铺东路，九恒路。</w:t>
      </w:r>
    </w:p>
    <w:p w14:paraId="46BF5FDD">
      <w:pPr>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九纵九横一环：</w:t>
      </w:r>
      <w:r>
        <w:rPr>
          <w:rFonts w:hint="eastAsia" w:ascii="仿宋" w:hAnsi="仿宋" w:eastAsia="仿宋" w:cs="仿宋"/>
          <w:b/>
          <w:bCs/>
          <w:color w:val="auto"/>
          <w:sz w:val="32"/>
          <w:szCs w:val="32"/>
          <w:highlight w:val="none"/>
          <w:lang w:val="en-US" w:eastAsia="zh-CN"/>
        </w:rPr>
        <w:t>“九纵”</w:t>
      </w:r>
      <w:r>
        <w:rPr>
          <w:rFonts w:hint="eastAsia" w:ascii="仿宋" w:hAnsi="仿宋" w:eastAsia="仿宋" w:cs="仿宋"/>
          <w:b w:val="0"/>
          <w:bCs w:val="0"/>
          <w:color w:val="auto"/>
          <w:sz w:val="32"/>
          <w:szCs w:val="32"/>
          <w:highlight w:val="none"/>
          <w:lang w:val="en-US" w:eastAsia="zh-CN"/>
        </w:rPr>
        <w:t>即云山路、武强路、都梁路、同保路、迎春路、东升路、春光路、玉龙路、塘富路；</w:t>
      </w:r>
      <w:r>
        <w:rPr>
          <w:rFonts w:hint="eastAsia" w:ascii="仿宋" w:hAnsi="仿宋" w:eastAsia="仿宋" w:cs="仿宋"/>
          <w:b/>
          <w:bCs/>
          <w:color w:val="auto"/>
          <w:sz w:val="32"/>
          <w:szCs w:val="32"/>
          <w:highlight w:val="none"/>
          <w:lang w:val="en-US" w:eastAsia="zh-CN"/>
        </w:rPr>
        <w:t>“九横”</w:t>
      </w:r>
      <w:r>
        <w:rPr>
          <w:rFonts w:hint="eastAsia" w:ascii="仿宋" w:hAnsi="仿宋" w:eastAsia="仿宋" w:cs="仿宋"/>
          <w:b w:val="0"/>
          <w:bCs w:val="0"/>
          <w:color w:val="auto"/>
          <w:sz w:val="32"/>
          <w:szCs w:val="32"/>
          <w:highlight w:val="none"/>
          <w:lang w:val="en-US" w:eastAsia="zh-CN"/>
        </w:rPr>
        <w:t>即丰仁路、狮子山、新东路、武冈大道、乐洋路、水云路、陶侃路、春园路、沿河路；</w:t>
      </w:r>
      <w:r>
        <w:rPr>
          <w:rFonts w:hint="eastAsia" w:ascii="仿宋" w:hAnsi="仿宋" w:eastAsia="仿宋" w:cs="仿宋"/>
          <w:b/>
          <w:bCs/>
          <w:color w:val="auto"/>
          <w:sz w:val="32"/>
          <w:szCs w:val="32"/>
          <w:highlight w:val="none"/>
          <w:lang w:val="en-US" w:eastAsia="zh-CN"/>
        </w:rPr>
        <w:t>“一环”</w:t>
      </w:r>
      <w:r>
        <w:rPr>
          <w:rFonts w:hint="eastAsia" w:ascii="仿宋" w:hAnsi="仿宋" w:eastAsia="仿宋" w:cs="仿宋"/>
          <w:b w:val="0"/>
          <w:bCs w:val="0"/>
          <w:color w:val="auto"/>
          <w:sz w:val="32"/>
          <w:szCs w:val="32"/>
          <w:highlight w:val="none"/>
          <w:lang w:val="en-US" w:eastAsia="zh-CN"/>
        </w:rPr>
        <w:t>即云山路-新东路-春光路-水云路-云山路。</w:t>
      </w:r>
    </w:p>
    <w:p w14:paraId="6CC4BAF7">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b w:val="0"/>
          <w:bCs w:val="0"/>
          <w:color w:val="auto"/>
          <w:kern w:val="2"/>
          <w:sz w:val="32"/>
          <w:szCs w:val="32"/>
          <w:highlight w:val="none"/>
          <w:lang w:val="en-US" w:eastAsia="zh-CN" w:bidi="ar-SA"/>
        </w:rPr>
      </w:pPr>
      <w:r>
        <w:rPr>
          <w:rFonts w:hint="eastAsia" w:ascii="楷体" w:hAnsi="楷体" w:eastAsia="楷体" w:cs="楷体"/>
          <w:b/>
          <w:bCs/>
          <w:color w:val="auto"/>
          <w:kern w:val="2"/>
          <w:sz w:val="32"/>
          <w:szCs w:val="32"/>
          <w:highlight w:val="none"/>
          <w:lang w:val="en-US" w:eastAsia="zh-CN" w:bidi="ar-SA"/>
        </w:rPr>
        <w:t>一环两轴六板块：</w:t>
      </w:r>
      <w:r>
        <w:rPr>
          <w:rFonts w:hint="eastAsia" w:ascii="仿宋" w:hAnsi="仿宋" w:eastAsia="仿宋" w:cs="仿宋"/>
          <w:b/>
          <w:bCs/>
          <w:color w:val="auto"/>
          <w:kern w:val="2"/>
          <w:sz w:val="32"/>
          <w:szCs w:val="32"/>
          <w:highlight w:val="none"/>
          <w:lang w:val="en-US" w:eastAsia="zh-CN" w:bidi="ar-SA"/>
        </w:rPr>
        <w:t>“一环”</w:t>
      </w:r>
      <w:r>
        <w:rPr>
          <w:rFonts w:hint="eastAsia" w:ascii="仿宋" w:hAnsi="仿宋" w:eastAsia="仿宋" w:cs="仿宋"/>
          <w:b w:val="0"/>
          <w:bCs w:val="0"/>
          <w:color w:val="auto"/>
          <w:kern w:val="2"/>
          <w:sz w:val="32"/>
          <w:szCs w:val="32"/>
          <w:highlight w:val="none"/>
          <w:lang w:val="en-US" w:eastAsia="zh-CN" w:bidi="ar-SA"/>
        </w:rPr>
        <w:t>即古城—云山乡村美食游憩环。</w:t>
      </w:r>
      <w:r>
        <w:rPr>
          <w:rFonts w:hint="eastAsia" w:ascii="仿宋" w:hAnsi="仿宋" w:eastAsia="仿宋" w:cs="仿宋"/>
          <w:b/>
          <w:bCs/>
          <w:color w:val="auto"/>
          <w:kern w:val="2"/>
          <w:sz w:val="32"/>
          <w:szCs w:val="32"/>
          <w:highlight w:val="none"/>
          <w:lang w:val="en-US" w:eastAsia="zh-CN" w:bidi="ar-SA"/>
        </w:rPr>
        <w:t>“两轴”</w:t>
      </w:r>
      <w:r>
        <w:rPr>
          <w:rFonts w:hint="eastAsia" w:ascii="仿宋" w:hAnsi="仿宋" w:eastAsia="仿宋" w:cs="仿宋"/>
          <w:b w:val="0"/>
          <w:bCs w:val="0"/>
          <w:color w:val="auto"/>
          <w:kern w:val="2"/>
          <w:sz w:val="32"/>
          <w:szCs w:val="32"/>
          <w:highlight w:val="none"/>
          <w:lang w:val="en-US" w:eastAsia="zh-CN" w:bidi="ar-SA"/>
        </w:rPr>
        <w:t>即沿G356的南北向发展轴，重点打造文化休闲、科普研学、康养保健等旅游品牌，构建连通武冈南北的乡村旅游发展轴线；沿G241的东北—西南方向发展轴，重点打造文化休闲、民俗体验、户外运动等旅游品牌，构建连接邵阳、城步的乡村旅游发展轴线。</w:t>
      </w:r>
      <w:r>
        <w:rPr>
          <w:rFonts w:hint="eastAsia" w:ascii="仿宋" w:hAnsi="仿宋" w:eastAsia="仿宋" w:cs="仿宋"/>
          <w:b/>
          <w:bCs/>
          <w:color w:val="auto"/>
          <w:kern w:val="2"/>
          <w:sz w:val="32"/>
          <w:szCs w:val="32"/>
          <w:highlight w:val="none"/>
          <w:lang w:val="en-US" w:eastAsia="zh-CN" w:bidi="ar-SA"/>
        </w:rPr>
        <w:t>“六板块”</w:t>
      </w:r>
      <w:r>
        <w:rPr>
          <w:rFonts w:hint="eastAsia" w:ascii="仿宋" w:hAnsi="仿宋" w:eastAsia="仿宋" w:cs="仿宋"/>
          <w:b w:val="0"/>
          <w:bCs w:val="0"/>
          <w:color w:val="auto"/>
          <w:kern w:val="2"/>
          <w:sz w:val="32"/>
          <w:szCs w:val="32"/>
          <w:highlight w:val="none"/>
          <w:lang w:val="en-US" w:eastAsia="zh-CN" w:bidi="ar-SA"/>
        </w:rPr>
        <w:t>即“舌尖武冈”美食板块、“乐活天子山”生态旅游板块、“山水古村”乡村度假板块、“福寿乡野”生态康养板块、“古韵都梁”人文科普板块、“多彩浪石”民宿体验板块。</w:t>
      </w:r>
    </w:p>
    <w:p w14:paraId="59FE232E">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kern w:val="2"/>
          <w:sz w:val="32"/>
          <w:szCs w:val="32"/>
          <w:highlight w:val="none"/>
          <w:lang w:val="en-US" w:eastAsia="zh-CN" w:bidi="ar-SA"/>
        </w:rPr>
        <w:t>四好农村路：</w:t>
      </w:r>
      <w:r>
        <w:rPr>
          <w:rFonts w:hint="eastAsia" w:ascii="仿宋" w:hAnsi="仿宋" w:eastAsia="仿宋" w:cs="仿宋"/>
          <w:color w:val="auto"/>
          <w:sz w:val="32"/>
          <w:szCs w:val="32"/>
          <w:highlight w:val="none"/>
        </w:rPr>
        <w:t>习近平总书记指出：农村公路建设要因地制宜、以人为本，与优化村镇布局、农村经济发展和广大农民安全便捷出行相适应，进一步把农村公路“建好、管好、护好、运营好”。</w:t>
      </w:r>
    </w:p>
    <w:p w14:paraId="21055163">
      <w:pPr>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highlight w:val="none"/>
          <w:lang w:val="en-US" w:eastAsia="zh-CN"/>
        </w:rPr>
      </w:pPr>
      <w:r>
        <w:rPr>
          <w:rFonts w:hint="eastAsia" w:ascii="楷体" w:hAnsi="楷体" w:eastAsia="楷体" w:cs="楷体"/>
          <w:b/>
          <w:bCs/>
          <w:color w:val="auto"/>
          <w:highlight w:val="none"/>
          <w:lang w:val="en-US" w:eastAsia="zh-CN"/>
        </w:rPr>
        <w:t>“西翼”</w:t>
      </w:r>
      <w:r>
        <w:rPr>
          <w:rFonts w:hint="eastAsia" w:ascii="楷体" w:hAnsi="楷体" w:eastAsia="楷体" w:cs="楷体"/>
          <w:b/>
          <w:bCs/>
          <w:color w:val="auto"/>
          <w:szCs w:val="32"/>
          <w:highlight w:val="none"/>
          <w:lang w:val="en-US" w:eastAsia="zh-CN"/>
        </w:rPr>
        <w:t>：</w:t>
      </w:r>
      <w:r>
        <w:rPr>
          <w:rFonts w:hint="eastAsia" w:ascii="仿宋" w:hAnsi="仿宋" w:eastAsia="仿宋" w:cs="仿宋"/>
          <w:color w:val="auto"/>
          <w:kern w:val="0"/>
          <w:sz w:val="32"/>
          <w:szCs w:val="32"/>
          <w:highlight w:val="none"/>
        </w:rPr>
        <w:t>即武冈物流区。规划建设1</w:t>
      </w:r>
      <w:r>
        <w:rPr>
          <w:rFonts w:hint="eastAsia" w:ascii="仿宋" w:hAnsi="仿宋" w:eastAsia="仿宋" w:cs="仿宋"/>
          <w:color w:val="auto"/>
          <w:kern w:val="0"/>
          <w:sz w:val="32"/>
          <w:szCs w:val="32"/>
          <w:highlight w:val="none"/>
          <w:lang w:val="en-US" w:eastAsia="zh-CN"/>
        </w:rPr>
        <w:t>-</w:t>
      </w:r>
      <w:r>
        <w:rPr>
          <w:rFonts w:hint="eastAsia" w:ascii="仿宋" w:hAnsi="仿宋" w:eastAsia="仿宋" w:cs="仿宋"/>
          <w:color w:val="auto"/>
          <w:kern w:val="0"/>
          <w:sz w:val="32"/>
          <w:szCs w:val="32"/>
          <w:highlight w:val="none"/>
        </w:rPr>
        <w:t>2平方公里的综合物流园区，依托西部生态圈及机场重点发展农副产品物流、空港物流、冷链物流。到2025年，将园区打造成集农产品仓配一体化服务、物流信息服务、物流咨询服务为一体的综合物流园区，争取建设省级示范性农产品智慧型物流园。</w:t>
      </w:r>
    </w:p>
    <w:p w14:paraId="3F78FD33">
      <w:pPr>
        <w:pStyle w:val="9"/>
        <w:keepNext w:val="0"/>
        <w:keepLines w:val="0"/>
        <w:pageBreakBefore w:val="0"/>
        <w:widowControl w:val="0"/>
        <w:kinsoku/>
        <w:wordWrap/>
        <w:overflowPunct/>
        <w:topLinePunct w:val="0"/>
        <w:autoSpaceDE/>
        <w:autoSpaceDN/>
        <w:bidi w:val="0"/>
        <w:adjustRightInd/>
        <w:snapToGrid/>
        <w:spacing w:line="634" w:lineRule="exact"/>
        <w:ind w:firstLine="599" w:firstLineChars="200"/>
        <w:textAlignment w:val="auto"/>
        <w:rPr>
          <w:rFonts w:hint="eastAsia" w:ascii="仿宋" w:hAnsi="仿宋" w:eastAsia="仿宋" w:cs="仿宋"/>
          <w:color w:val="auto"/>
          <w:spacing w:val="-11"/>
          <w:sz w:val="32"/>
          <w:szCs w:val="32"/>
          <w:highlight w:val="none"/>
          <w:lang w:val="en-US" w:eastAsia="zh-CN"/>
        </w:rPr>
      </w:pPr>
      <w:r>
        <w:rPr>
          <w:rFonts w:hint="eastAsia" w:ascii="楷体" w:hAnsi="楷体" w:eastAsia="楷体" w:cs="楷体"/>
          <w:b/>
          <w:bCs/>
          <w:color w:val="auto"/>
          <w:spacing w:val="-11"/>
          <w:kern w:val="2"/>
          <w:sz w:val="32"/>
          <w:szCs w:val="32"/>
          <w:highlight w:val="none"/>
          <w:lang w:val="en-US" w:eastAsia="zh-CN" w:bidi="ar-SA"/>
        </w:rPr>
        <w:t>一县一特：</w:t>
      </w:r>
      <w:r>
        <w:rPr>
          <w:rFonts w:hint="eastAsia" w:ascii="仿宋" w:hAnsi="仿宋" w:eastAsia="仿宋" w:cs="仿宋"/>
          <w:color w:val="auto"/>
          <w:spacing w:val="-11"/>
          <w:sz w:val="32"/>
          <w:szCs w:val="32"/>
          <w:highlight w:val="none"/>
        </w:rPr>
        <w:t>一个县或一个片区重点扶持一个主导特色产业。</w:t>
      </w:r>
    </w:p>
    <w:p w14:paraId="77C42246">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一特一品：</w:t>
      </w:r>
      <w:r>
        <w:rPr>
          <w:rFonts w:hint="eastAsia" w:ascii="仿宋" w:hAnsi="仿宋" w:eastAsia="仿宋" w:cs="仿宋"/>
          <w:color w:val="auto"/>
          <w:sz w:val="32"/>
          <w:szCs w:val="32"/>
          <w:highlight w:val="none"/>
        </w:rPr>
        <w:t>一个主导特色产业</w:t>
      </w:r>
      <w:r>
        <w:rPr>
          <w:rFonts w:hint="eastAsia" w:ascii="仿宋" w:hAnsi="仿宋" w:eastAsia="仿宋" w:cs="仿宋"/>
          <w:color w:val="auto"/>
          <w:sz w:val="32"/>
          <w:szCs w:val="32"/>
          <w:highlight w:val="none"/>
          <w:lang w:val="en-US" w:eastAsia="zh-CN"/>
        </w:rPr>
        <w:t>重点打造一个品牌。</w:t>
      </w:r>
    </w:p>
    <w:p w14:paraId="5ABED6F8">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六大强农行动：</w:t>
      </w:r>
      <w:r>
        <w:rPr>
          <w:rFonts w:hint="eastAsia" w:ascii="仿宋" w:hAnsi="仿宋" w:eastAsia="仿宋" w:cs="仿宋"/>
          <w:color w:val="auto"/>
          <w:kern w:val="2"/>
          <w:sz w:val="32"/>
          <w:szCs w:val="32"/>
          <w:highlight w:val="none"/>
          <w:lang w:val="en-US" w:eastAsia="zh-CN" w:bidi="ar-SA"/>
        </w:rPr>
        <w:t>品牌强农、特色强农、质量强农、产业融合强农、科技强农、开放强农行动。</w:t>
      </w:r>
    </w:p>
    <w:p w14:paraId="620EA071">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楷体" w:hAnsi="楷体" w:eastAsia="楷体" w:cs="楷体"/>
          <w:b/>
          <w:bCs/>
          <w:color w:val="auto"/>
          <w:kern w:val="2"/>
          <w:sz w:val="32"/>
          <w:szCs w:val="32"/>
          <w:highlight w:val="none"/>
          <w:lang w:val="en-US" w:eastAsia="zh-CN" w:bidi="ar-SA"/>
        </w:rPr>
        <w:t>“六级”退役军人服务保障体系：</w:t>
      </w:r>
      <w:r>
        <w:rPr>
          <w:rFonts w:hint="eastAsia" w:ascii="仿宋" w:hAnsi="仿宋" w:eastAsia="仿宋" w:cs="仿宋"/>
          <w:color w:val="auto"/>
          <w:kern w:val="2"/>
          <w:sz w:val="32"/>
          <w:szCs w:val="32"/>
          <w:highlight w:val="none"/>
          <w:lang w:val="en-US" w:eastAsia="zh-CN" w:bidi="ar-SA"/>
        </w:rPr>
        <w:t>从中央到村六级都要建立，中央和省市县建立退役军人服务中心，乡镇（街道）、村（社区）两级建立退役军人服务站，要求“全覆盖”。</w:t>
      </w:r>
    </w:p>
    <w:p w14:paraId="5C14A74D">
      <w:pPr>
        <w:pStyle w:val="9"/>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“五有”标准要求：</w:t>
      </w:r>
      <w:r>
        <w:rPr>
          <w:rFonts w:hint="eastAsia" w:ascii="仿宋" w:hAnsi="仿宋" w:eastAsia="仿宋" w:cs="仿宋"/>
          <w:color w:val="auto"/>
          <w:kern w:val="2"/>
          <w:sz w:val="32"/>
          <w:szCs w:val="32"/>
          <w:highlight w:val="none"/>
          <w:lang w:val="en-US" w:eastAsia="zh-CN" w:bidi="ar-SA"/>
        </w:rPr>
        <w:t>有机构、有编制、有人员、有经费、有保障。</w:t>
      </w:r>
    </w:p>
    <w:p w14:paraId="0CA289B9">
      <w:pPr>
        <w:pStyle w:val="9"/>
        <w:keepNext w:val="0"/>
        <w:keepLines w:val="0"/>
        <w:pageBreakBefore w:val="0"/>
        <w:widowControl w:val="0"/>
        <w:kinsoku/>
        <w:wordWrap/>
        <w:overflowPunct/>
        <w:topLinePunct w:val="0"/>
        <w:autoSpaceDE/>
        <w:autoSpaceDN/>
        <w:bidi w:val="0"/>
        <w:adjustRightInd/>
        <w:snapToGrid/>
        <w:spacing w:line="634" w:lineRule="exact"/>
        <w:ind w:firstLine="640"/>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“三三三四六”武冈模式：</w:t>
      </w:r>
      <w:r>
        <w:rPr>
          <w:rFonts w:hint="eastAsia" w:ascii="仿宋" w:hAnsi="仿宋" w:eastAsia="仿宋" w:cs="仿宋"/>
          <w:b/>
          <w:bCs/>
          <w:color w:val="auto"/>
          <w:sz w:val="32"/>
          <w:szCs w:val="32"/>
          <w:highlight w:val="none"/>
          <w:lang w:val="en-US" w:eastAsia="zh-CN"/>
        </w:rPr>
        <w:t>“</w:t>
      </w:r>
      <w:r>
        <w:rPr>
          <w:rFonts w:hint="eastAsia" w:ascii="仿宋" w:hAnsi="仿宋" w:eastAsia="仿宋" w:cs="仿宋"/>
          <w:b/>
          <w:bCs/>
          <w:color w:val="auto"/>
          <w:sz w:val="32"/>
          <w:szCs w:val="32"/>
          <w:highlight w:val="none"/>
          <w:lang w:eastAsia="zh-CN"/>
        </w:rPr>
        <w:t>三”</w:t>
      </w:r>
      <w:r>
        <w:rPr>
          <w:rFonts w:hint="eastAsia" w:ascii="仿宋" w:hAnsi="仿宋" w:eastAsia="仿宋" w:cs="仿宋"/>
          <w:color w:val="auto"/>
          <w:sz w:val="32"/>
          <w:szCs w:val="32"/>
          <w:highlight w:val="none"/>
          <w:lang w:eastAsia="zh-CN"/>
        </w:rPr>
        <w:t>即强化主体责任、书记责任、联动责任；</w:t>
      </w:r>
      <w:r>
        <w:rPr>
          <w:rFonts w:hint="eastAsia" w:ascii="仿宋" w:hAnsi="仿宋" w:eastAsia="仿宋" w:cs="仿宋"/>
          <w:b/>
          <w:bCs/>
          <w:color w:val="auto"/>
          <w:sz w:val="32"/>
          <w:szCs w:val="32"/>
          <w:highlight w:val="none"/>
          <w:lang w:eastAsia="zh-CN"/>
        </w:rPr>
        <w:t>“三”</w:t>
      </w:r>
      <w:r>
        <w:rPr>
          <w:rFonts w:hint="eastAsia" w:ascii="仿宋" w:hAnsi="仿宋" w:eastAsia="仿宋" w:cs="仿宋"/>
          <w:color w:val="auto"/>
          <w:sz w:val="32"/>
          <w:szCs w:val="32"/>
          <w:highlight w:val="none"/>
          <w:lang w:eastAsia="zh-CN"/>
        </w:rPr>
        <w:t>即抓实系统化学习培训、系统化明确目标、系统化调度工作；</w:t>
      </w:r>
      <w:r>
        <w:rPr>
          <w:rFonts w:hint="eastAsia" w:ascii="仿宋" w:hAnsi="仿宋" w:eastAsia="仿宋" w:cs="仿宋"/>
          <w:b/>
          <w:bCs/>
          <w:color w:val="auto"/>
          <w:sz w:val="32"/>
          <w:szCs w:val="32"/>
          <w:highlight w:val="none"/>
          <w:lang w:eastAsia="zh-CN"/>
        </w:rPr>
        <w:t>“三”</w:t>
      </w:r>
      <w:r>
        <w:rPr>
          <w:rFonts w:hint="eastAsia" w:ascii="仿宋" w:hAnsi="仿宋" w:eastAsia="仿宋" w:cs="仿宋"/>
          <w:color w:val="auto"/>
          <w:sz w:val="32"/>
          <w:szCs w:val="32"/>
          <w:highlight w:val="none"/>
          <w:lang w:eastAsia="zh-CN"/>
        </w:rPr>
        <w:t>即打造党员先锋品牌、为民服务品牌、全面覆盖品牌；</w:t>
      </w:r>
      <w:r>
        <w:rPr>
          <w:rFonts w:hint="eastAsia" w:ascii="仿宋" w:hAnsi="仿宋" w:eastAsia="仿宋" w:cs="仿宋"/>
          <w:b/>
          <w:bCs/>
          <w:color w:val="auto"/>
          <w:sz w:val="32"/>
          <w:szCs w:val="32"/>
          <w:highlight w:val="none"/>
          <w:lang w:eastAsia="zh-CN"/>
        </w:rPr>
        <w:t>“四”</w:t>
      </w:r>
      <w:r>
        <w:rPr>
          <w:rFonts w:hint="eastAsia" w:ascii="仿宋" w:hAnsi="仿宋" w:eastAsia="仿宋" w:cs="仿宋"/>
          <w:color w:val="auto"/>
          <w:sz w:val="32"/>
          <w:szCs w:val="32"/>
          <w:highlight w:val="none"/>
          <w:lang w:eastAsia="zh-CN"/>
        </w:rPr>
        <w:t>即建强</w:t>
      </w:r>
      <w:r>
        <w:rPr>
          <w:rFonts w:hint="eastAsia" w:ascii="仿宋" w:hAnsi="仿宋" w:eastAsia="仿宋" w:cs="仿宋"/>
          <w:color w:val="auto"/>
          <w:sz w:val="32"/>
          <w:szCs w:val="32"/>
          <w:highlight w:val="none"/>
          <w:lang w:val="en-US" w:eastAsia="zh-CN"/>
        </w:rPr>
        <w:t>基层阵地、展示大厅、志愿广场、办公场所；</w:t>
      </w:r>
      <w:r>
        <w:rPr>
          <w:rFonts w:hint="eastAsia" w:ascii="仿宋" w:hAnsi="仿宋" w:eastAsia="仿宋" w:cs="仿宋"/>
          <w:b/>
          <w:bCs/>
          <w:color w:val="auto"/>
          <w:sz w:val="32"/>
          <w:szCs w:val="32"/>
          <w:highlight w:val="none"/>
          <w:lang w:eastAsia="zh-CN"/>
        </w:rPr>
        <w:t>“六”</w:t>
      </w:r>
      <w:r>
        <w:rPr>
          <w:rFonts w:hint="eastAsia" w:ascii="仿宋" w:hAnsi="仿宋" w:eastAsia="仿宋" w:cs="仿宋"/>
          <w:color w:val="auto"/>
          <w:sz w:val="32"/>
          <w:szCs w:val="32"/>
          <w:highlight w:val="none"/>
          <w:lang w:eastAsia="zh-CN"/>
        </w:rPr>
        <w:t>即</w:t>
      </w:r>
      <w:r>
        <w:rPr>
          <w:rFonts w:hint="eastAsia" w:ascii="仿宋" w:hAnsi="仿宋" w:eastAsia="仿宋" w:cs="仿宋"/>
          <w:color w:val="auto"/>
          <w:sz w:val="32"/>
          <w:szCs w:val="32"/>
          <w:highlight w:val="none"/>
          <w:lang w:val="en-US" w:eastAsia="zh-CN"/>
        </w:rPr>
        <w:t>做好宣传、学习、助人、育化、评比、文娱六项工作。</w:t>
      </w:r>
    </w:p>
    <w:p w14:paraId="13CFB0DF">
      <w:pPr>
        <w:keepNext w:val="0"/>
        <w:keepLines w:val="0"/>
        <w:pageBreakBefore w:val="0"/>
        <w:widowControl w:val="0"/>
        <w:kinsoku/>
        <w:wordWrap/>
        <w:overflowPunct/>
        <w:topLinePunct w:val="0"/>
        <w:autoSpaceDE/>
        <w:autoSpaceDN/>
        <w:bidi w:val="0"/>
        <w:adjustRightInd/>
        <w:snapToGrid/>
        <w:spacing w:line="634" w:lineRule="exact"/>
        <w:ind w:firstLine="643" w:firstLineChars="200"/>
        <w:textAlignment w:val="auto"/>
        <w:rPr>
          <w:rFonts w:hint="eastAsia" w:ascii="仿宋" w:hAnsi="仿宋" w:eastAsia="仿宋" w:cs="仿宋"/>
          <w:color w:val="auto"/>
          <w:sz w:val="32"/>
          <w:szCs w:val="32"/>
          <w:highlight w:val="none"/>
          <w:lang w:eastAsia="zh-CN"/>
        </w:rPr>
      </w:pPr>
      <w:r>
        <w:rPr>
          <w:rFonts w:hint="eastAsia" w:ascii="楷体" w:hAnsi="楷体" w:eastAsia="楷体" w:cs="楷体"/>
          <w:b/>
          <w:bCs/>
          <w:color w:val="auto"/>
          <w:sz w:val="32"/>
          <w:szCs w:val="32"/>
          <w:highlight w:val="none"/>
          <w:lang w:val="en-US" w:eastAsia="zh-CN"/>
        </w:rPr>
        <w:t>安全生产“三张清单”：</w:t>
      </w:r>
      <w:r>
        <w:rPr>
          <w:rFonts w:hint="eastAsia" w:ascii="仿宋" w:hAnsi="仿宋" w:eastAsia="仿宋" w:cs="仿宋"/>
          <w:color w:val="auto"/>
          <w:sz w:val="32"/>
          <w:szCs w:val="32"/>
          <w:highlight w:val="none"/>
          <w:lang w:eastAsia="zh-CN"/>
        </w:rPr>
        <w:t>即安全生产工作履职清单、隐患排查清单、监管执法清单。</w:t>
      </w:r>
    </w:p>
    <w:p w14:paraId="7E580E9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634" w:lineRule="exact"/>
        <w:ind w:left="0" w:right="0" w:firstLine="630" w:firstLineChars="196"/>
        <w:jc w:val="left"/>
        <w:textAlignment w:val="auto"/>
        <w:rPr>
          <w:rFonts w:hint="eastAsia" w:ascii="仿宋" w:hAnsi="仿宋" w:eastAsia="仿宋" w:cs="仿宋"/>
          <w:color w:val="auto"/>
          <w:highlight w:val="none"/>
        </w:rPr>
      </w:pPr>
      <w:r>
        <w:rPr>
          <w:rFonts w:hint="eastAsia" w:ascii="楷体" w:hAnsi="楷体" w:eastAsia="楷体" w:cs="楷体"/>
          <w:b/>
          <w:bCs/>
          <w:color w:val="auto"/>
          <w:sz w:val="32"/>
          <w:szCs w:val="32"/>
          <w:highlight w:val="none"/>
          <w:lang w:val="en-US" w:eastAsia="zh-CN"/>
        </w:rPr>
        <w:t>十村示范、百村整治：</w:t>
      </w:r>
      <w:r>
        <w:rPr>
          <w:rFonts w:hint="eastAsia" w:ascii="仿宋" w:hAnsi="仿宋" w:eastAsia="仿宋" w:cs="仿宋"/>
          <w:color w:val="auto"/>
          <w:kern w:val="2"/>
          <w:sz w:val="32"/>
          <w:szCs w:val="32"/>
          <w:highlight w:val="none"/>
          <w:shd w:val="clear" w:fill="FFFFFF"/>
          <w:lang w:val="en-US" w:eastAsia="zh-CN" w:bidi="ar"/>
        </w:rPr>
        <w:t>通过打造10个以上邵阳市级美丽乡村示范村、100个人居环境整治村，加快人居环境改善。</w:t>
      </w:r>
    </w:p>
    <w:p w14:paraId="1C39B23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634" w:lineRule="exact"/>
        <w:ind w:left="0" w:right="0" w:firstLine="630" w:firstLineChars="196"/>
        <w:jc w:val="left"/>
        <w:textAlignment w:val="auto"/>
        <w:rPr>
          <w:rFonts w:hint="eastAsia" w:ascii="仿宋" w:hAnsi="仿宋" w:eastAsia="仿宋" w:cs="仿宋"/>
          <w:color w:val="auto"/>
          <w:highlight w:val="none"/>
        </w:rPr>
      </w:pPr>
      <w:r>
        <w:rPr>
          <w:rFonts w:hint="eastAsia" w:ascii="楷体" w:hAnsi="楷体" w:eastAsia="楷体" w:cs="楷体"/>
          <w:b/>
          <w:bCs/>
          <w:color w:val="auto"/>
          <w:sz w:val="32"/>
          <w:szCs w:val="32"/>
          <w:highlight w:val="none"/>
          <w:lang w:val="en-US" w:eastAsia="zh-CN"/>
        </w:rPr>
        <w:t>三长三员制：</w:t>
      </w:r>
      <w:r>
        <w:rPr>
          <w:rFonts w:hint="eastAsia" w:ascii="仿宋" w:hAnsi="仿宋" w:eastAsia="仿宋" w:cs="仿宋"/>
          <w:color w:val="auto"/>
          <w:kern w:val="2"/>
          <w:sz w:val="32"/>
          <w:szCs w:val="32"/>
          <w:highlight w:val="none"/>
          <w:shd w:val="clear" w:fill="FFFFFF"/>
          <w:lang w:val="en-US" w:eastAsia="zh-CN" w:bidi="ar"/>
        </w:rPr>
        <w:t>安全饮水水源保护“三长三员”责任机制。“三长”，即乡镇行政首长任辖区内人饮工程供水“总长”、乡镇农业服务中心负责人任辖区内联村集中供水工程水厂“厂长”或村主任任辖区内单村饮水工程“厂长”、组长任辖区内水井“井长”；“三员”，即村长或组长任管理员、乡镇农业服务中心水管业务人员任安全员、村保洁员任辖区内水厂和水井保洁员。</w:t>
      </w:r>
    </w:p>
    <w:p w14:paraId="4F220C0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634" w:lineRule="exact"/>
        <w:ind w:left="0" w:right="0" w:firstLine="630" w:firstLineChars="196"/>
        <w:jc w:val="left"/>
        <w:textAlignment w:val="auto"/>
        <w:rPr>
          <w:rFonts w:hint="eastAsia" w:ascii="仿宋" w:hAnsi="仿宋" w:eastAsia="仿宋" w:cs="仿宋"/>
          <w:color w:val="auto"/>
          <w:highlight w:val="none"/>
        </w:rPr>
      </w:pPr>
      <w:r>
        <w:rPr>
          <w:rFonts w:hint="eastAsia" w:ascii="楷体" w:hAnsi="楷体" w:eastAsia="楷体" w:cs="楷体"/>
          <w:b/>
          <w:bCs/>
          <w:color w:val="auto"/>
          <w:sz w:val="32"/>
          <w:szCs w:val="32"/>
          <w:highlight w:val="none"/>
          <w:lang w:val="en-US" w:eastAsia="zh-CN"/>
        </w:rPr>
        <w:t>六治一提：</w:t>
      </w:r>
      <w:r>
        <w:rPr>
          <w:rFonts w:hint="eastAsia" w:ascii="仿宋" w:hAnsi="仿宋" w:eastAsia="仿宋" w:cs="仿宋"/>
          <w:b/>
          <w:bCs/>
          <w:color w:val="auto"/>
          <w:kern w:val="2"/>
          <w:sz w:val="32"/>
          <w:szCs w:val="32"/>
          <w:highlight w:val="none"/>
          <w:shd w:val="clear" w:fill="FFFFFF"/>
          <w:lang w:val="en-US" w:eastAsia="zh-CN" w:bidi="ar"/>
        </w:rPr>
        <w:t>六治，</w:t>
      </w:r>
      <w:r>
        <w:rPr>
          <w:rFonts w:hint="eastAsia" w:ascii="仿宋" w:hAnsi="仿宋" w:eastAsia="仿宋" w:cs="仿宋"/>
          <w:color w:val="auto"/>
          <w:kern w:val="2"/>
          <w:sz w:val="32"/>
          <w:szCs w:val="32"/>
          <w:highlight w:val="none"/>
          <w:shd w:val="clear" w:fill="FFFFFF"/>
          <w:lang w:val="en-US" w:eastAsia="zh-CN" w:bidi="ar"/>
        </w:rPr>
        <w:t>即治垃圾、治水、治污、治厕所、治空心房、治农业生产废弃物；</w:t>
      </w:r>
      <w:r>
        <w:rPr>
          <w:rFonts w:hint="eastAsia" w:ascii="仿宋" w:hAnsi="仿宋" w:eastAsia="仿宋" w:cs="仿宋"/>
          <w:b/>
          <w:bCs/>
          <w:color w:val="auto"/>
          <w:kern w:val="2"/>
          <w:sz w:val="32"/>
          <w:szCs w:val="32"/>
          <w:highlight w:val="none"/>
          <w:shd w:val="clear" w:fill="FFFFFF"/>
          <w:lang w:val="en-US" w:eastAsia="zh-CN" w:bidi="ar"/>
        </w:rPr>
        <w:t>一提，</w:t>
      </w:r>
      <w:r>
        <w:rPr>
          <w:rFonts w:hint="eastAsia" w:ascii="仿宋" w:hAnsi="仿宋" w:eastAsia="仿宋" w:cs="仿宋"/>
          <w:color w:val="auto"/>
          <w:kern w:val="2"/>
          <w:sz w:val="32"/>
          <w:szCs w:val="32"/>
          <w:highlight w:val="none"/>
          <w:shd w:val="clear" w:fill="FFFFFF"/>
          <w:lang w:val="en-US" w:eastAsia="zh-CN" w:bidi="ar"/>
        </w:rPr>
        <w:t>即提升村容村貌。</w:t>
      </w:r>
    </w:p>
    <w:p w14:paraId="44EA61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634" w:lineRule="exact"/>
        <w:ind w:left="0" w:right="0" w:firstLine="630" w:firstLineChars="196"/>
        <w:jc w:val="left"/>
        <w:textAlignment w:val="auto"/>
        <w:rPr>
          <w:rFonts w:hint="eastAsia" w:ascii="仿宋" w:hAnsi="仿宋" w:eastAsia="仿宋" w:cs="仿宋"/>
          <w:b/>
          <w:bCs/>
          <w:color w:val="auto"/>
          <w:sz w:val="32"/>
          <w:szCs w:val="32"/>
          <w:highlight w:val="none"/>
          <w:lang w:val="en-US" w:eastAsia="zh-CN"/>
        </w:rPr>
      </w:pPr>
      <w:r>
        <w:rPr>
          <w:rFonts w:hint="eastAsia" w:ascii="楷体" w:hAnsi="楷体" w:eastAsia="楷体" w:cs="楷体"/>
          <w:b/>
          <w:bCs/>
          <w:color w:val="auto"/>
          <w:szCs w:val="32"/>
          <w:highlight w:val="none"/>
          <w:lang w:eastAsia="zh-CN"/>
        </w:rPr>
        <w:t>“三清一改”</w:t>
      </w:r>
      <w:r>
        <w:rPr>
          <w:rFonts w:hint="eastAsia" w:ascii="楷体" w:hAnsi="楷体" w:eastAsia="楷体" w:cs="楷体"/>
          <w:color w:val="auto"/>
          <w:szCs w:val="32"/>
          <w:highlight w:val="none"/>
          <w:lang w:eastAsia="zh-CN"/>
        </w:rPr>
        <w:t>：</w:t>
      </w:r>
      <w:r>
        <w:rPr>
          <w:rFonts w:hint="eastAsia" w:ascii="仿宋" w:hAnsi="仿宋" w:eastAsia="仿宋" w:cs="仿宋"/>
          <w:color w:val="auto"/>
          <w:szCs w:val="32"/>
          <w:highlight w:val="none"/>
          <w:lang w:eastAsia="zh-CN"/>
        </w:rPr>
        <w:t>即清理农村生活垃圾、清理村内塘沟、清理畜禽养殖粪污等农业生产废弃物、改变影响农村人居环境的不良习惯。</w:t>
      </w:r>
    </w:p>
    <w:p w14:paraId="4A0E5F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634" w:lineRule="exact"/>
        <w:ind w:left="0" w:right="0" w:firstLine="630" w:firstLineChars="196"/>
        <w:jc w:val="left"/>
        <w:textAlignment w:val="auto"/>
        <w:rPr>
          <w:rFonts w:hint="eastAsia" w:ascii="仿宋" w:hAnsi="仿宋" w:eastAsia="仿宋" w:cs="仿宋"/>
          <w:color w:val="auto"/>
          <w:highlight w:val="none"/>
        </w:rPr>
      </w:pPr>
      <w:r>
        <w:rPr>
          <w:rFonts w:hint="eastAsia" w:ascii="楷体" w:hAnsi="楷体" w:eastAsia="楷体" w:cs="楷体"/>
          <w:b/>
          <w:bCs/>
          <w:color w:val="auto"/>
          <w:sz w:val="32"/>
          <w:szCs w:val="32"/>
          <w:highlight w:val="none"/>
          <w:lang w:val="en-US" w:eastAsia="zh-CN"/>
        </w:rPr>
        <w:t>安全生产“3533+1”工作机制：</w:t>
      </w:r>
      <w:r>
        <w:rPr>
          <w:rFonts w:hint="eastAsia" w:ascii="仿宋" w:hAnsi="仿宋" w:eastAsia="仿宋" w:cs="仿宋"/>
          <w:color w:val="auto"/>
          <w:kern w:val="2"/>
          <w:sz w:val="32"/>
          <w:szCs w:val="32"/>
          <w:highlight w:val="none"/>
          <w:shd w:val="clear" w:fill="FFFFFF"/>
          <w:lang w:val="en-US" w:eastAsia="zh-CN" w:bidi="ar"/>
        </w:rPr>
        <w:t>“3533”，即小乡镇每天安排3人、大乡镇每天安排5人、重要安委会成员单位每天安排3人专抓安全生产工作、重要时段保证3人以上对重点安全隐患实行24小时不间断盯守；“1”，即安全生产隐患动态销号机制。</w:t>
      </w:r>
    </w:p>
    <w:p w14:paraId="72FA32E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634" w:lineRule="exact"/>
        <w:ind w:left="0" w:right="0" w:firstLine="630" w:firstLineChars="196"/>
        <w:jc w:val="left"/>
        <w:textAlignment w:val="auto"/>
        <w:rPr>
          <w:rFonts w:hint="eastAsia" w:ascii="仿宋" w:hAnsi="仿宋" w:eastAsia="仿宋" w:cs="仿宋"/>
          <w:color w:val="auto"/>
          <w:kern w:val="2"/>
          <w:sz w:val="32"/>
          <w:szCs w:val="32"/>
          <w:highlight w:val="none"/>
          <w:shd w:val="clear" w:fill="FFFFFF"/>
          <w:lang w:val="en-US" w:eastAsia="zh-CN" w:bidi="ar"/>
        </w:rPr>
      </w:pPr>
      <w:r>
        <w:rPr>
          <w:rFonts w:hint="eastAsia" w:ascii="楷体" w:hAnsi="楷体" w:eastAsia="楷体" w:cs="楷体"/>
          <w:b/>
          <w:bCs/>
          <w:color w:val="auto"/>
          <w:sz w:val="32"/>
          <w:szCs w:val="32"/>
          <w:highlight w:val="none"/>
          <w:lang w:val="en-US" w:eastAsia="zh-CN"/>
        </w:rPr>
        <w:t>森林防火“十个一”工作机制：</w:t>
      </w:r>
      <w:r>
        <w:rPr>
          <w:rFonts w:hint="eastAsia" w:ascii="仿宋" w:hAnsi="仿宋" w:eastAsia="仿宋" w:cs="仿宋"/>
          <w:color w:val="auto"/>
          <w:kern w:val="2"/>
          <w:sz w:val="32"/>
          <w:szCs w:val="32"/>
          <w:highlight w:val="none"/>
          <w:shd w:val="clear" w:fill="FFFFFF"/>
          <w:lang w:val="en-US" w:eastAsia="zh-CN" w:bidi="ar"/>
        </w:rPr>
        <w:t>“十个一”，即在森林防火期间，责任单位要制定一个方案、一个村要有5条以上永久性标语、一天安排一小时以上宣传教育、一支流动巡逻队伍开展巡查、一支应急扑救队伍待命、一个值班值守责任表、重点防火单位要设置一处以上告示牌和一处检查站、储备一批救火物资、开展一次以上专业执法活动等。</w:t>
      </w:r>
    </w:p>
    <w:p w14:paraId="3E5B51D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634" w:lineRule="exact"/>
        <w:ind w:left="0" w:right="0" w:firstLine="563" w:firstLineChars="196"/>
        <w:jc w:val="left"/>
        <w:textAlignment w:val="auto"/>
        <w:rPr>
          <w:rFonts w:hint="eastAsia" w:ascii="仿宋" w:hAnsi="仿宋" w:eastAsia="仿宋" w:cs="仿宋"/>
          <w:b w:val="0"/>
          <w:bCs w:val="0"/>
          <w:color w:val="auto"/>
          <w:spacing w:val="-17"/>
          <w:sz w:val="32"/>
          <w:szCs w:val="32"/>
          <w:highlight w:val="none"/>
          <w:lang w:val="en-US" w:eastAsia="zh-CN"/>
        </w:rPr>
      </w:pPr>
      <w:r>
        <w:rPr>
          <w:rFonts w:hint="eastAsia" w:ascii="楷体" w:hAnsi="楷体" w:eastAsia="楷体" w:cs="楷体"/>
          <w:b/>
          <w:bCs/>
          <w:color w:val="auto"/>
          <w:spacing w:val="-17"/>
          <w:sz w:val="32"/>
          <w:szCs w:val="32"/>
          <w:highlight w:val="none"/>
          <w:lang w:val="en-US" w:eastAsia="zh-CN"/>
        </w:rPr>
        <w:t>四边五年：</w:t>
      </w:r>
      <w:r>
        <w:rPr>
          <w:rFonts w:hint="eastAsia" w:ascii="仿宋" w:hAnsi="仿宋" w:eastAsia="仿宋" w:cs="仿宋"/>
          <w:b/>
          <w:bCs/>
          <w:color w:val="auto"/>
          <w:spacing w:val="-17"/>
          <w:sz w:val="32"/>
          <w:szCs w:val="32"/>
          <w:highlight w:val="none"/>
          <w:lang w:val="en-US" w:eastAsia="zh-CN"/>
        </w:rPr>
        <w:t>四边即</w:t>
      </w:r>
      <w:r>
        <w:rPr>
          <w:rFonts w:hint="eastAsia" w:ascii="仿宋" w:hAnsi="仿宋" w:eastAsia="仿宋" w:cs="仿宋"/>
          <w:b w:val="0"/>
          <w:bCs w:val="0"/>
          <w:color w:val="auto"/>
          <w:spacing w:val="-17"/>
          <w:sz w:val="32"/>
          <w:szCs w:val="32"/>
          <w:highlight w:val="none"/>
          <w:lang w:val="en-US" w:eastAsia="zh-CN"/>
        </w:rPr>
        <w:t>路边、水边、城边、村边；</w:t>
      </w:r>
      <w:r>
        <w:rPr>
          <w:rFonts w:hint="eastAsia" w:ascii="仿宋" w:hAnsi="仿宋" w:eastAsia="仿宋" w:cs="仿宋"/>
          <w:b/>
          <w:bCs/>
          <w:color w:val="auto"/>
          <w:spacing w:val="-17"/>
          <w:sz w:val="32"/>
          <w:szCs w:val="32"/>
          <w:highlight w:val="none"/>
          <w:lang w:val="en-US" w:eastAsia="zh-CN"/>
        </w:rPr>
        <w:t>五年</w:t>
      </w:r>
      <w:r>
        <w:rPr>
          <w:rFonts w:hint="eastAsia" w:ascii="仿宋" w:hAnsi="仿宋" w:eastAsia="仿宋" w:cs="仿宋"/>
          <w:b w:val="0"/>
          <w:bCs w:val="0"/>
          <w:color w:val="auto"/>
          <w:spacing w:val="-17"/>
          <w:sz w:val="32"/>
          <w:szCs w:val="32"/>
          <w:highlight w:val="none"/>
          <w:lang w:val="en-US" w:eastAsia="zh-CN"/>
        </w:rPr>
        <w:t>即2016-2020年。</w:t>
      </w:r>
    </w:p>
    <w:p w14:paraId="1E5D2ED6">
      <w:pPr>
        <w:pStyle w:val="9"/>
        <w:keepNext w:val="0"/>
        <w:keepLines w:val="0"/>
        <w:pageBreakBefore w:val="0"/>
        <w:widowControl w:val="0"/>
        <w:kinsoku/>
        <w:wordWrap/>
        <w:overflowPunct/>
        <w:topLinePunct w:val="0"/>
        <w:autoSpaceDE/>
        <w:autoSpaceDN/>
        <w:bidi w:val="0"/>
        <w:adjustRightInd/>
        <w:snapToGrid/>
        <w:spacing w:line="634" w:lineRule="exact"/>
        <w:ind w:firstLine="575" w:firstLineChars="200"/>
        <w:textAlignment w:val="auto"/>
        <w:rPr>
          <w:rFonts w:hint="eastAsia" w:ascii="仿宋" w:hAnsi="仿宋" w:eastAsia="仿宋" w:cs="仿宋"/>
          <w:color w:val="auto"/>
          <w:highlight w:val="none"/>
          <w:lang w:val="en-US" w:eastAsia="zh-CN"/>
        </w:rPr>
      </w:pPr>
      <w:r>
        <w:rPr>
          <w:rFonts w:hint="eastAsia" w:ascii="楷体" w:hAnsi="楷体" w:eastAsia="楷体" w:cs="楷体"/>
          <w:b/>
          <w:bCs/>
          <w:color w:val="auto"/>
          <w:spacing w:val="-17"/>
          <w:sz w:val="32"/>
          <w:szCs w:val="32"/>
          <w:highlight w:val="none"/>
          <w:lang w:val="en-US" w:eastAsia="zh-CN"/>
        </w:rPr>
        <w:t>五边造林：</w:t>
      </w:r>
      <w:r>
        <w:rPr>
          <w:rFonts w:hint="eastAsia" w:ascii="仿宋" w:hAnsi="仿宋" w:eastAsia="仿宋" w:cs="仿宋"/>
          <w:b w:val="0"/>
          <w:bCs w:val="0"/>
          <w:color w:val="auto"/>
          <w:spacing w:val="-17"/>
          <w:sz w:val="32"/>
          <w:szCs w:val="32"/>
          <w:highlight w:val="none"/>
          <w:lang w:val="en-US" w:eastAsia="zh-CN"/>
        </w:rPr>
        <w:t>即路边、水边、城边、村边、房边造林。</w:t>
      </w:r>
    </w:p>
    <w:p w14:paraId="2FEA803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634" w:lineRule="exact"/>
        <w:ind w:left="0" w:right="0" w:firstLine="653" w:firstLineChars="196"/>
        <w:jc w:val="left"/>
        <w:textAlignment w:val="auto"/>
        <w:rPr>
          <w:rFonts w:hint="eastAsia" w:ascii="仿宋" w:hAnsi="仿宋" w:eastAsia="仿宋" w:cs="仿宋"/>
          <w:color w:val="auto"/>
          <w:spacing w:val="6"/>
          <w:highlight w:val="none"/>
        </w:rPr>
      </w:pPr>
      <w:r>
        <w:rPr>
          <w:rFonts w:hint="eastAsia" w:ascii="楷体" w:hAnsi="楷体" w:eastAsia="楷体" w:cs="楷体"/>
          <w:b/>
          <w:bCs/>
          <w:color w:val="auto"/>
          <w:spacing w:val="6"/>
          <w:sz w:val="32"/>
          <w:szCs w:val="32"/>
          <w:highlight w:val="none"/>
          <w:lang w:val="en-US" w:eastAsia="zh-CN"/>
        </w:rPr>
        <w:t>雪亮工程：</w:t>
      </w:r>
      <w:r>
        <w:rPr>
          <w:rFonts w:hint="eastAsia" w:ascii="仿宋" w:hAnsi="仿宋" w:eastAsia="仿宋" w:cs="仿宋"/>
          <w:color w:val="auto"/>
          <w:spacing w:val="6"/>
          <w:kern w:val="2"/>
          <w:sz w:val="32"/>
          <w:szCs w:val="32"/>
          <w:highlight w:val="none"/>
          <w:shd w:val="clear" w:fill="FFFFFF"/>
          <w:lang w:val="en-US" w:eastAsia="zh-CN" w:bidi="ar"/>
        </w:rPr>
        <w:t>即以市、乡、村三级综治中心为指挥平台，以综治信息化为支撑、以网格化管理为基础、以公共安全视频监控联网应用为重点的“群众性治安防控工程”，通过发动社会力量和群众共同监看视频监控，实现治安防控“全覆盖、无死角”。</w:t>
      </w:r>
    </w:p>
    <w:p w14:paraId="7E1DB724">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634" w:lineRule="exact"/>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w:t>
      </w:r>
      <w:r>
        <w:rPr>
          <w:rFonts w:hint="eastAsia" w:ascii="仿宋" w:hAnsi="仿宋" w:eastAsia="仿宋" w:cs="仿宋"/>
          <w:b/>
          <w:bCs/>
          <w:color w:val="auto"/>
          <w:kern w:val="2"/>
          <w:sz w:val="32"/>
          <w:szCs w:val="32"/>
          <w:highlight w:val="none"/>
          <w:lang w:val="en-US" w:eastAsia="zh-CN" w:bidi="ar-SA"/>
        </w:rPr>
        <w:t>　</w:t>
      </w:r>
      <w:r>
        <w:rPr>
          <w:rFonts w:hint="eastAsia" w:ascii="楷体" w:hAnsi="楷体" w:eastAsia="楷体" w:cs="楷体"/>
          <w:b/>
          <w:bCs/>
          <w:color w:val="auto"/>
          <w:kern w:val="2"/>
          <w:sz w:val="32"/>
          <w:szCs w:val="32"/>
          <w:highlight w:val="none"/>
          <w:lang w:val="en-US" w:eastAsia="zh-CN" w:bidi="ar-SA"/>
        </w:rPr>
        <w:t>2+N旅游发展模式：</w:t>
      </w:r>
      <w:r>
        <w:rPr>
          <w:rFonts w:hint="eastAsia" w:ascii="仿宋" w:hAnsi="仿宋" w:eastAsia="仿宋" w:cs="仿宋"/>
          <w:color w:val="auto"/>
          <w:sz w:val="32"/>
          <w:szCs w:val="32"/>
          <w:highlight w:val="none"/>
        </w:rPr>
        <w:t>突出云山生态旅游和古王城文化旅游两大核心，引领发展荷塘小镇、同保楼、里仁、嗨花弄、云山露营公园、浪石古民居、中山堂—李明灏故居等旅游景区景点建设，走具有武冈特色的全域旅游发展新路。</w:t>
      </w:r>
    </w:p>
    <w:p w14:paraId="1EB870D9">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634" w:lineRule="exact"/>
        <w:jc w:val="both"/>
        <w:textAlignment w:val="auto"/>
        <w:rPr>
          <w:rFonts w:hint="eastAsia" w:ascii="仿宋" w:hAnsi="仿宋" w:eastAsia="仿宋" w:cs="仿宋"/>
          <w:color w:val="auto"/>
          <w:sz w:val="32"/>
          <w:szCs w:val="32"/>
          <w:highlight w:val="none"/>
        </w:rPr>
      </w:pPr>
      <w:r>
        <w:rPr>
          <w:rFonts w:hint="eastAsia" w:ascii="仿宋" w:hAnsi="仿宋" w:eastAsia="仿宋" w:cs="仿宋"/>
          <w:b/>
          <w:bCs/>
          <w:color w:val="auto"/>
          <w:kern w:val="2"/>
          <w:sz w:val="32"/>
          <w:szCs w:val="32"/>
          <w:highlight w:val="none"/>
          <w:lang w:val="en-US" w:eastAsia="zh-CN" w:bidi="ar-SA"/>
        </w:rPr>
        <w:t>　</w:t>
      </w:r>
      <w:r>
        <w:rPr>
          <w:rFonts w:hint="eastAsia" w:ascii="楷体" w:hAnsi="楷体" w:eastAsia="楷体" w:cs="楷体"/>
          <w:b/>
          <w:bCs/>
          <w:color w:val="auto"/>
          <w:kern w:val="2"/>
          <w:sz w:val="32"/>
          <w:szCs w:val="32"/>
          <w:highlight w:val="none"/>
          <w:lang w:val="en-US" w:eastAsia="zh-CN" w:bidi="ar-SA"/>
        </w:rPr>
        <w:t>　双随机、一公开</w:t>
      </w:r>
      <w:r>
        <w:rPr>
          <w:rFonts w:hint="eastAsia" w:ascii="仿宋" w:hAnsi="仿宋" w:eastAsia="仿宋" w:cs="仿宋"/>
          <w:b/>
          <w:bCs/>
          <w:color w:val="auto"/>
          <w:kern w:val="2"/>
          <w:sz w:val="32"/>
          <w:szCs w:val="32"/>
          <w:highlight w:val="none"/>
          <w:lang w:val="en-US" w:eastAsia="zh-CN" w:bidi="ar-SA"/>
        </w:rPr>
        <w:t>：</w:t>
      </w:r>
      <w:r>
        <w:rPr>
          <w:rFonts w:hint="eastAsia" w:ascii="仿宋" w:hAnsi="仿宋" w:eastAsia="仿宋" w:cs="仿宋"/>
          <w:color w:val="auto"/>
          <w:sz w:val="32"/>
          <w:szCs w:val="32"/>
          <w:highlight w:val="none"/>
        </w:rPr>
        <w:t>即在政府管理方式和规范市场执法中全面推行的监管模式，在监管过程中随机抽取检查对象，随</w:t>
      </w:r>
      <w:r>
        <w:rPr>
          <w:rFonts w:hint="eastAsia" w:ascii="仿宋" w:hAnsi="仿宋" w:eastAsia="仿宋" w:cs="仿宋"/>
          <w:color w:val="auto"/>
          <w:spacing w:val="-6"/>
          <w:sz w:val="32"/>
          <w:szCs w:val="32"/>
          <w:highlight w:val="none"/>
        </w:rPr>
        <w:t>机选派执法检查人员，抽查情况及查处结果及时向社会公开。</w:t>
      </w:r>
    </w:p>
    <w:p w14:paraId="3A8C3972">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620" w:lineRule="exact"/>
        <w:ind w:firstLine="653"/>
        <w:jc w:val="both"/>
        <w:textAlignment w:val="auto"/>
        <w:rPr>
          <w:rFonts w:hint="eastAsia" w:ascii="仿宋" w:hAnsi="仿宋" w:eastAsia="仿宋" w:cs="仿宋"/>
          <w:color w:val="auto"/>
          <w:sz w:val="32"/>
          <w:szCs w:val="32"/>
          <w:highlight w:val="none"/>
        </w:rPr>
      </w:pPr>
      <w:r>
        <w:rPr>
          <w:rFonts w:hint="eastAsia" w:ascii="楷体" w:hAnsi="楷体" w:eastAsia="楷体" w:cs="楷体"/>
          <w:b/>
          <w:bCs/>
          <w:color w:val="auto"/>
          <w:kern w:val="2"/>
          <w:sz w:val="32"/>
          <w:szCs w:val="32"/>
          <w:highlight w:val="none"/>
          <w:lang w:val="en-US" w:eastAsia="zh-CN" w:bidi="ar-SA"/>
        </w:rPr>
        <w:t>都梁人才行动计划：</w:t>
      </w:r>
      <w:r>
        <w:rPr>
          <w:rFonts w:hint="eastAsia" w:ascii="仿宋" w:hAnsi="仿宋" w:eastAsia="仿宋" w:cs="仿宋"/>
          <w:color w:val="auto"/>
          <w:sz w:val="32"/>
          <w:szCs w:val="32"/>
          <w:highlight w:val="none"/>
        </w:rPr>
        <w:t>对接《湖南省芙蓉人才行动计划》，立足武冈实际，未来5年，大力实施产业人才引聚、青年人才引育、专业人才培育等人才工程和人才发展体制机制创新的都梁人才行动计划。</w:t>
      </w:r>
    </w:p>
    <w:p w14:paraId="6E2F90F8">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620" w:lineRule="exact"/>
        <w:ind w:firstLine="653"/>
        <w:jc w:val="both"/>
        <w:textAlignment w:val="auto"/>
        <w:rPr>
          <w:rFonts w:hint="eastAsia"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基础设施REITs：</w:t>
      </w:r>
      <w:r>
        <w:rPr>
          <w:rFonts w:hint="eastAsia" w:ascii="仿宋" w:hAnsi="仿宋" w:eastAsia="仿宋" w:cs="仿宋"/>
          <w:color w:val="auto"/>
          <w:sz w:val="32"/>
          <w:szCs w:val="32"/>
          <w:highlight w:val="none"/>
          <w:lang w:val="en-US" w:eastAsia="zh-CN"/>
        </w:rPr>
        <w:t>将基础设施证券化进行投资,即将基础设施按照价值分为一定数量的证券，再向市场进行出售，购买这部分证券的投资者可以分享基础设施带来的收益。</w:t>
      </w:r>
    </w:p>
    <w:p w14:paraId="120ED806">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620" w:lineRule="exact"/>
        <w:ind w:firstLine="653"/>
        <w:jc w:val="both"/>
        <w:textAlignment w:val="auto"/>
        <w:rPr>
          <w:rFonts w:hint="default" w:ascii="仿宋" w:hAnsi="仿宋" w:eastAsia="仿宋" w:cs="仿宋"/>
          <w:color w:val="auto"/>
          <w:sz w:val="32"/>
          <w:szCs w:val="32"/>
          <w:highlight w:val="none"/>
          <w:lang w:val="en-US" w:eastAsia="zh-CN"/>
        </w:rPr>
      </w:pPr>
      <w:r>
        <w:rPr>
          <w:rFonts w:hint="eastAsia" w:ascii="楷体" w:hAnsi="楷体" w:eastAsia="楷体" w:cs="楷体"/>
          <w:b/>
          <w:bCs/>
          <w:color w:val="auto"/>
          <w:kern w:val="2"/>
          <w:sz w:val="32"/>
          <w:szCs w:val="32"/>
          <w:highlight w:val="none"/>
          <w:lang w:val="en-US" w:eastAsia="zh-CN" w:bidi="ar-SA"/>
        </w:rPr>
        <w:t>PPP:</w:t>
      </w:r>
      <w:r>
        <w:rPr>
          <w:rFonts w:hint="eastAsia" w:ascii="仿宋" w:hAnsi="仿宋" w:eastAsia="仿宋" w:cs="仿宋"/>
          <w:color w:val="auto"/>
          <w:sz w:val="32"/>
          <w:szCs w:val="32"/>
          <w:highlight w:val="none"/>
          <w:lang w:val="en-US" w:eastAsia="zh-CN"/>
        </w:rPr>
        <w:t>即政府和社会资本合作，是公共基础设施中的一种项目运作模式。在该模式下，鼓励私营企业、民营资本与政府进行合作，参与公共基础设施的建设。</w:t>
      </w:r>
    </w:p>
    <w:sectPr>
      <w:footerReference r:id="rId8" w:type="default"/>
      <w:pgSz w:w="11906" w:h="16838"/>
      <w:pgMar w:top="1701" w:right="1417" w:bottom="1701" w:left="1701"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9ED262-5E05-4B84-B94F-93C3C324148F}"/>
  </w:font>
  <w:font w:name="Arial">
    <w:panose1 w:val="020B0604020202020204"/>
    <w:charset w:val="01"/>
    <w:family w:val="swiss"/>
    <w:pitch w:val="default"/>
    <w:sig w:usb0="E0002EFF" w:usb1="C000785B" w:usb2="00000009" w:usb3="00000000" w:csb0="400001FF" w:csb1="FFFF0000"/>
    <w:embedRegular r:id="rId2" w:fontKey="{AB6C1F1E-F289-4B07-AE24-32BB7ACB58B1}"/>
  </w:font>
  <w:font w:name="黑体">
    <w:panose1 w:val="02010609060101010101"/>
    <w:charset w:val="86"/>
    <w:family w:val="auto"/>
    <w:pitch w:val="default"/>
    <w:sig w:usb0="800002BF" w:usb1="38CF7CFA" w:usb2="00000016" w:usb3="00000000" w:csb0="00040001" w:csb1="00000000"/>
    <w:embedRegular r:id="rId3" w:fontKey="{4A9CB833-2277-4FAF-B57B-42974B11DA58}"/>
  </w:font>
  <w:font w:name="Courier New">
    <w:panose1 w:val="02070309020205020404"/>
    <w:charset w:val="01"/>
    <w:family w:val="modern"/>
    <w:pitch w:val="default"/>
    <w:sig w:usb0="E0002EFF" w:usb1="C0007843" w:usb2="00000009" w:usb3="00000000" w:csb0="400001FF" w:csb1="FFFF0000"/>
    <w:embedRegular r:id="rId4" w:fontKey="{14657DBB-2A7A-4E06-985D-CD77E4C03442}"/>
  </w:font>
  <w:font w:name="Symbol">
    <w:panose1 w:val="05050102010706020507"/>
    <w:charset w:val="02"/>
    <w:family w:val="roman"/>
    <w:pitch w:val="default"/>
    <w:sig w:usb0="00000000" w:usb1="00000000" w:usb2="00000000" w:usb3="00000000" w:csb0="80000000" w:csb1="00000000"/>
    <w:embedRegular r:id="rId5" w:fontKey="{A764BD6D-77F3-4A10-A157-CBA179977918}"/>
  </w:font>
  <w:font w:name="Calibri">
    <w:panose1 w:val="020F0502020204030204"/>
    <w:charset w:val="00"/>
    <w:family w:val="swiss"/>
    <w:pitch w:val="default"/>
    <w:sig w:usb0="E4002EFF" w:usb1="C000247B" w:usb2="00000009" w:usb3="00000000" w:csb0="200001FF" w:csb1="00000000"/>
    <w:embedRegular r:id="rId6" w:fontKey="{264255B6-C305-40B5-AFBC-363B24A7B205}"/>
  </w:font>
  <w:font w:name="FangSong_GB2312">
    <w:altName w:val="仿宋"/>
    <w:panose1 w:val="02010609030101010101"/>
    <w:charset w:val="86"/>
    <w:family w:val="modern"/>
    <w:pitch w:val="default"/>
    <w:sig w:usb0="00000000" w:usb1="00000000" w:usb2="00000000" w:usb3="00000000" w:csb0="00040000" w:csb1="00000000"/>
    <w:embedRegular r:id="rId7" w:fontKey="{BE3BD1CA-552E-4540-8CEF-3BD90FF2872C}"/>
  </w:font>
  <w:font w:name="方正小标宋简体">
    <w:altName w:val="Arial Unicode MS"/>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embedRegular r:id="rId8" w:fontKey="{AA9C7BA0-ED80-46EA-A195-E38882885AB2}"/>
  </w:font>
  <w:font w:name="Cambria">
    <w:panose1 w:val="02040503050406030204"/>
    <w:charset w:val="00"/>
    <w:family w:val="roman"/>
    <w:pitch w:val="default"/>
    <w:sig w:usb0="E00006FF" w:usb1="420024FF" w:usb2="02000000" w:usb3="00000000" w:csb0="2000019F" w:csb1="00000000"/>
    <w:embedRegular r:id="rId9" w:fontKey="{0604E68B-EDB8-46D0-885A-48549320EDED}"/>
  </w:font>
  <w:font w:name="方正大标宋简体">
    <w:altName w:val="微软雅黑"/>
    <w:panose1 w:val="02010601030101010101"/>
    <w:charset w:val="86"/>
    <w:family w:val="auto"/>
    <w:pitch w:val="default"/>
    <w:sig w:usb0="00000000" w:usb1="00000000" w:usb2="00000000" w:usb3="00000000" w:csb0="00040000" w:csb1="00000000"/>
    <w:embedRegular r:id="rId10" w:fontKey="{588D2F6B-EA44-4EBF-A1A4-217A68A70276}"/>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embedRegular r:id="rId11" w:fontKey="{D7757607-D69D-49CD-BD47-3DF806841C0C}"/>
  </w:font>
  <w:font w:name="KaiTi_GB2312">
    <w:altName w:val="楷体"/>
    <w:panose1 w:val="02010609030101010101"/>
    <w:charset w:val="86"/>
    <w:family w:val="auto"/>
    <w:pitch w:val="default"/>
    <w:sig w:usb0="00000000" w:usb1="00000000" w:usb2="00000000" w:usb3="00000000" w:csb0="00040000" w:csb1="00000000"/>
    <w:embedRegular r:id="rId12" w:fontKey="{8F8C83CE-8803-4AB3-AAA0-E03CBE854CD4}"/>
  </w:font>
  <w:font w:name="方正粗宋简体">
    <w:altName w:val="宋体"/>
    <w:panose1 w:val="03000509000000000000"/>
    <w:charset w:val="86"/>
    <w:family w:val="auto"/>
    <w:pitch w:val="default"/>
    <w:sig w:usb0="00000000" w:usb1="00000000" w:usb2="00000000" w:usb3="00000000" w:csb0="00040000" w:csb1="00000000"/>
    <w:embedRegular r:id="rId13" w:fontKey="{138EE5B6-9C01-4BC0-946B-2A06A0BF6EE0}"/>
  </w:font>
  <w:font w:name="方正书宋_GBK">
    <w:altName w:val="Arial Unicode MS"/>
    <w:panose1 w:val="02000000000000000000"/>
    <w:charset w:val="86"/>
    <w:family w:val="auto"/>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embedRegular r:id="rId14" w:fontKey="{5BF21185-CA94-41DE-8DEE-0F71B4C6BE14}"/>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F3CD2">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E0DDC">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F5D05">
                          <w:pPr>
                            <w:pStyle w:val="13"/>
                            <w:rPr>
                              <w:rFonts w:hint="eastAsia" w:eastAsia="FangSong_GB2312"/>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46F5D05">
                    <w:pPr>
                      <w:pStyle w:val="13"/>
                      <w:rPr>
                        <w:rFonts w:hint="eastAsia" w:eastAsia="FangSong_GB2312"/>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CBFDD">
                          <w:pPr>
                            <w:pStyle w:val="13"/>
                            <w:rPr>
                              <w:rFonts w:hint="eastAsia" w:eastAsia="FangSong_GB2312"/>
                              <w:sz w:val="30"/>
                              <w:szCs w:val="30"/>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EACBFDD">
                    <w:pPr>
                      <w:pStyle w:val="13"/>
                      <w:rPr>
                        <w:rFonts w:hint="eastAsia" w:eastAsia="FangSong_GB2312"/>
                        <w:sz w:val="30"/>
                        <w:szCs w:val="30"/>
                        <w:lang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20" w:lineRule="auto"/>
      </w:pPr>
      <w:r>
        <w:separator/>
      </w:r>
    </w:p>
  </w:footnote>
  <w:footnote w:type="continuationSeparator" w:id="1">
    <w:p>
      <w:pPr>
        <w:spacing w:line="42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9D064">
    <w:pPr>
      <w:widowControl/>
      <w:pBdr>
        <w:bottom w:val="none" w:color="auto" w:sz="0" w:space="0"/>
      </w:pBdr>
      <w:jc w:val="both"/>
      <w:rPr>
        <w:rFonts w:ascii="楷体" w:hAnsi="楷体" w:eastAsia="楷体" w:cs="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11D61">
    <w:pPr>
      <w:pStyle w:val="1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N2UwYzYwZTY1M2JiZGYxNTIyZDVkZWY1YzRlODYifQ=="/>
  </w:docVars>
  <w:rsids>
    <w:rsidRoot w:val="00172A27"/>
    <w:rsid w:val="000347A1"/>
    <w:rsid w:val="00080F8B"/>
    <w:rsid w:val="00084923"/>
    <w:rsid w:val="000A67D3"/>
    <w:rsid w:val="00172A27"/>
    <w:rsid w:val="001A0AC3"/>
    <w:rsid w:val="001B07CB"/>
    <w:rsid w:val="001D7B4F"/>
    <w:rsid w:val="002544AD"/>
    <w:rsid w:val="00335C27"/>
    <w:rsid w:val="00352BD6"/>
    <w:rsid w:val="00363EEA"/>
    <w:rsid w:val="003F2F6A"/>
    <w:rsid w:val="004E02C5"/>
    <w:rsid w:val="004F6084"/>
    <w:rsid w:val="00506DDA"/>
    <w:rsid w:val="00516559"/>
    <w:rsid w:val="0053522C"/>
    <w:rsid w:val="005F3031"/>
    <w:rsid w:val="006A3111"/>
    <w:rsid w:val="006B71E1"/>
    <w:rsid w:val="0071642C"/>
    <w:rsid w:val="007E109E"/>
    <w:rsid w:val="007F469A"/>
    <w:rsid w:val="008355FA"/>
    <w:rsid w:val="00890ECA"/>
    <w:rsid w:val="008A1C36"/>
    <w:rsid w:val="008A6CE6"/>
    <w:rsid w:val="008B71CB"/>
    <w:rsid w:val="009C57A1"/>
    <w:rsid w:val="009E31B0"/>
    <w:rsid w:val="009E7E4D"/>
    <w:rsid w:val="00A260B8"/>
    <w:rsid w:val="00AC00F4"/>
    <w:rsid w:val="00AC192F"/>
    <w:rsid w:val="00B22AD3"/>
    <w:rsid w:val="00B323D0"/>
    <w:rsid w:val="00BC31B2"/>
    <w:rsid w:val="00BD7FEE"/>
    <w:rsid w:val="00BF4665"/>
    <w:rsid w:val="00C05014"/>
    <w:rsid w:val="00C17A0E"/>
    <w:rsid w:val="00C22BE4"/>
    <w:rsid w:val="00C26AAA"/>
    <w:rsid w:val="00C5105D"/>
    <w:rsid w:val="00C83420"/>
    <w:rsid w:val="00C87D5B"/>
    <w:rsid w:val="00CE0FA8"/>
    <w:rsid w:val="00D436D6"/>
    <w:rsid w:val="00E03E9B"/>
    <w:rsid w:val="00E52050"/>
    <w:rsid w:val="00E5421C"/>
    <w:rsid w:val="00E76663"/>
    <w:rsid w:val="00E8681F"/>
    <w:rsid w:val="00EA4ECD"/>
    <w:rsid w:val="00EC67C8"/>
    <w:rsid w:val="00F17B1C"/>
    <w:rsid w:val="00F206BE"/>
    <w:rsid w:val="010472B3"/>
    <w:rsid w:val="0112092A"/>
    <w:rsid w:val="011944FE"/>
    <w:rsid w:val="01197934"/>
    <w:rsid w:val="011B363E"/>
    <w:rsid w:val="012D3BD3"/>
    <w:rsid w:val="01342C61"/>
    <w:rsid w:val="01370E27"/>
    <w:rsid w:val="013A133B"/>
    <w:rsid w:val="01447095"/>
    <w:rsid w:val="014C0702"/>
    <w:rsid w:val="014F0A7F"/>
    <w:rsid w:val="01502C07"/>
    <w:rsid w:val="015446C4"/>
    <w:rsid w:val="01545ECD"/>
    <w:rsid w:val="01622DC0"/>
    <w:rsid w:val="0164139E"/>
    <w:rsid w:val="01812459"/>
    <w:rsid w:val="0186609C"/>
    <w:rsid w:val="018B7EC4"/>
    <w:rsid w:val="018F7F18"/>
    <w:rsid w:val="0196322E"/>
    <w:rsid w:val="01976135"/>
    <w:rsid w:val="019C7D01"/>
    <w:rsid w:val="01A31F41"/>
    <w:rsid w:val="01AC0809"/>
    <w:rsid w:val="01B0110F"/>
    <w:rsid w:val="01BB155B"/>
    <w:rsid w:val="01BF73AB"/>
    <w:rsid w:val="01C83F10"/>
    <w:rsid w:val="01CB1CB1"/>
    <w:rsid w:val="01CB2981"/>
    <w:rsid w:val="01D61F03"/>
    <w:rsid w:val="01E124E0"/>
    <w:rsid w:val="01E74A32"/>
    <w:rsid w:val="01EE0FBB"/>
    <w:rsid w:val="01FB54A9"/>
    <w:rsid w:val="02020D00"/>
    <w:rsid w:val="02054028"/>
    <w:rsid w:val="021044D4"/>
    <w:rsid w:val="02153393"/>
    <w:rsid w:val="021F2DAE"/>
    <w:rsid w:val="022230A3"/>
    <w:rsid w:val="02226B67"/>
    <w:rsid w:val="02232A05"/>
    <w:rsid w:val="02302A32"/>
    <w:rsid w:val="02305EDC"/>
    <w:rsid w:val="023238D8"/>
    <w:rsid w:val="02406F82"/>
    <w:rsid w:val="02450DB8"/>
    <w:rsid w:val="02475116"/>
    <w:rsid w:val="024869BC"/>
    <w:rsid w:val="02544BC1"/>
    <w:rsid w:val="02561DA4"/>
    <w:rsid w:val="025B26B6"/>
    <w:rsid w:val="026E77AA"/>
    <w:rsid w:val="027F0006"/>
    <w:rsid w:val="028F5E76"/>
    <w:rsid w:val="02993489"/>
    <w:rsid w:val="029E6295"/>
    <w:rsid w:val="02A4776B"/>
    <w:rsid w:val="02B16E51"/>
    <w:rsid w:val="02B26C99"/>
    <w:rsid w:val="02BC4C2D"/>
    <w:rsid w:val="02C23537"/>
    <w:rsid w:val="02C7571B"/>
    <w:rsid w:val="02C82E99"/>
    <w:rsid w:val="02CB0D54"/>
    <w:rsid w:val="02CE45E6"/>
    <w:rsid w:val="02CF6BD3"/>
    <w:rsid w:val="02D04A53"/>
    <w:rsid w:val="02D84CED"/>
    <w:rsid w:val="02DE2EF3"/>
    <w:rsid w:val="02DF2DEC"/>
    <w:rsid w:val="02E524CE"/>
    <w:rsid w:val="02E97AC3"/>
    <w:rsid w:val="02F57460"/>
    <w:rsid w:val="02FB014B"/>
    <w:rsid w:val="02FD425C"/>
    <w:rsid w:val="030000AE"/>
    <w:rsid w:val="03020702"/>
    <w:rsid w:val="03084CFA"/>
    <w:rsid w:val="0314296E"/>
    <w:rsid w:val="031430AC"/>
    <w:rsid w:val="0319141C"/>
    <w:rsid w:val="03227511"/>
    <w:rsid w:val="03263D11"/>
    <w:rsid w:val="03280183"/>
    <w:rsid w:val="032C46F9"/>
    <w:rsid w:val="03302503"/>
    <w:rsid w:val="03331416"/>
    <w:rsid w:val="0337153F"/>
    <w:rsid w:val="03390253"/>
    <w:rsid w:val="03403696"/>
    <w:rsid w:val="03476FCE"/>
    <w:rsid w:val="0349607B"/>
    <w:rsid w:val="034B5AE5"/>
    <w:rsid w:val="03511D45"/>
    <w:rsid w:val="03563605"/>
    <w:rsid w:val="035E59CE"/>
    <w:rsid w:val="036322EA"/>
    <w:rsid w:val="03655304"/>
    <w:rsid w:val="0367758D"/>
    <w:rsid w:val="036E67F1"/>
    <w:rsid w:val="037436DA"/>
    <w:rsid w:val="039F2FD7"/>
    <w:rsid w:val="03A13B7B"/>
    <w:rsid w:val="03A33EA1"/>
    <w:rsid w:val="03A47822"/>
    <w:rsid w:val="03A856FC"/>
    <w:rsid w:val="03AD5610"/>
    <w:rsid w:val="03B26ABE"/>
    <w:rsid w:val="03BB3026"/>
    <w:rsid w:val="03BC4205"/>
    <w:rsid w:val="03C71341"/>
    <w:rsid w:val="03CD508B"/>
    <w:rsid w:val="03D747CB"/>
    <w:rsid w:val="03E67649"/>
    <w:rsid w:val="03EB4165"/>
    <w:rsid w:val="03F250C1"/>
    <w:rsid w:val="03F965CF"/>
    <w:rsid w:val="04001FD9"/>
    <w:rsid w:val="041253BD"/>
    <w:rsid w:val="041855EC"/>
    <w:rsid w:val="04190794"/>
    <w:rsid w:val="041C076F"/>
    <w:rsid w:val="04226323"/>
    <w:rsid w:val="04272104"/>
    <w:rsid w:val="04345A27"/>
    <w:rsid w:val="04387B11"/>
    <w:rsid w:val="04415B63"/>
    <w:rsid w:val="044D2BFE"/>
    <w:rsid w:val="044D5EB9"/>
    <w:rsid w:val="044E272E"/>
    <w:rsid w:val="045623D2"/>
    <w:rsid w:val="04585112"/>
    <w:rsid w:val="04594B6A"/>
    <w:rsid w:val="045F1977"/>
    <w:rsid w:val="04622803"/>
    <w:rsid w:val="046D0363"/>
    <w:rsid w:val="04780DFE"/>
    <w:rsid w:val="047D3EA8"/>
    <w:rsid w:val="047E01F9"/>
    <w:rsid w:val="04837ACC"/>
    <w:rsid w:val="048B3E38"/>
    <w:rsid w:val="049A0C4C"/>
    <w:rsid w:val="049C6118"/>
    <w:rsid w:val="049F7189"/>
    <w:rsid w:val="04A32025"/>
    <w:rsid w:val="04A5564B"/>
    <w:rsid w:val="04A86903"/>
    <w:rsid w:val="04AD53A5"/>
    <w:rsid w:val="04AF49FA"/>
    <w:rsid w:val="04BA3D58"/>
    <w:rsid w:val="04BE122C"/>
    <w:rsid w:val="04C24169"/>
    <w:rsid w:val="04C36D25"/>
    <w:rsid w:val="04E06E6F"/>
    <w:rsid w:val="04E21246"/>
    <w:rsid w:val="04FD0DEC"/>
    <w:rsid w:val="04FD5A7D"/>
    <w:rsid w:val="050354D0"/>
    <w:rsid w:val="0508634E"/>
    <w:rsid w:val="050A43B2"/>
    <w:rsid w:val="050B2959"/>
    <w:rsid w:val="050F63D6"/>
    <w:rsid w:val="05215C10"/>
    <w:rsid w:val="052C18B3"/>
    <w:rsid w:val="05365D50"/>
    <w:rsid w:val="054017C7"/>
    <w:rsid w:val="05502CD6"/>
    <w:rsid w:val="05704373"/>
    <w:rsid w:val="05833966"/>
    <w:rsid w:val="05877FBA"/>
    <w:rsid w:val="059F0BA3"/>
    <w:rsid w:val="05A27795"/>
    <w:rsid w:val="05B715A8"/>
    <w:rsid w:val="05BA27E3"/>
    <w:rsid w:val="05BA6EEE"/>
    <w:rsid w:val="05BC3FF6"/>
    <w:rsid w:val="05BC4398"/>
    <w:rsid w:val="05BE2C59"/>
    <w:rsid w:val="05BE6760"/>
    <w:rsid w:val="05C37FD8"/>
    <w:rsid w:val="05C810E0"/>
    <w:rsid w:val="05D07496"/>
    <w:rsid w:val="05D11737"/>
    <w:rsid w:val="05D751FA"/>
    <w:rsid w:val="06157156"/>
    <w:rsid w:val="061B2B7E"/>
    <w:rsid w:val="06212755"/>
    <w:rsid w:val="06250C9A"/>
    <w:rsid w:val="06275CEA"/>
    <w:rsid w:val="062B3FB0"/>
    <w:rsid w:val="06416E37"/>
    <w:rsid w:val="064335ED"/>
    <w:rsid w:val="065A1B90"/>
    <w:rsid w:val="0668214D"/>
    <w:rsid w:val="066B2734"/>
    <w:rsid w:val="066D6A5E"/>
    <w:rsid w:val="06723834"/>
    <w:rsid w:val="06750D47"/>
    <w:rsid w:val="06766B97"/>
    <w:rsid w:val="06776F4C"/>
    <w:rsid w:val="067E18FB"/>
    <w:rsid w:val="06820A9C"/>
    <w:rsid w:val="068B0B9D"/>
    <w:rsid w:val="068D1494"/>
    <w:rsid w:val="0693690A"/>
    <w:rsid w:val="06D37CAE"/>
    <w:rsid w:val="06E9571B"/>
    <w:rsid w:val="06EE3437"/>
    <w:rsid w:val="06FF6D34"/>
    <w:rsid w:val="07016DB0"/>
    <w:rsid w:val="0704054C"/>
    <w:rsid w:val="0708017A"/>
    <w:rsid w:val="07180927"/>
    <w:rsid w:val="072D7108"/>
    <w:rsid w:val="0731167E"/>
    <w:rsid w:val="073149DB"/>
    <w:rsid w:val="07451AC4"/>
    <w:rsid w:val="07470675"/>
    <w:rsid w:val="07490DAF"/>
    <w:rsid w:val="074B5746"/>
    <w:rsid w:val="07574AC1"/>
    <w:rsid w:val="0759048D"/>
    <w:rsid w:val="075C2B85"/>
    <w:rsid w:val="07733258"/>
    <w:rsid w:val="0777149D"/>
    <w:rsid w:val="078A71A1"/>
    <w:rsid w:val="078A7D40"/>
    <w:rsid w:val="078E348E"/>
    <w:rsid w:val="07951FBB"/>
    <w:rsid w:val="07965A7C"/>
    <w:rsid w:val="0797415F"/>
    <w:rsid w:val="079B404A"/>
    <w:rsid w:val="079F59B9"/>
    <w:rsid w:val="07A22377"/>
    <w:rsid w:val="07A32C42"/>
    <w:rsid w:val="07AB6C67"/>
    <w:rsid w:val="07EC2C6D"/>
    <w:rsid w:val="07F576A0"/>
    <w:rsid w:val="08004DCE"/>
    <w:rsid w:val="08005B76"/>
    <w:rsid w:val="080C1B8D"/>
    <w:rsid w:val="080E3508"/>
    <w:rsid w:val="081F06CF"/>
    <w:rsid w:val="08263542"/>
    <w:rsid w:val="082E41E5"/>
    <w:rsid w:val="0832267F"/>
    <w:rsid w:val="0838427D"/>
    <w:rsid w:val="083A27D4"/>
    <w:rsid w:val="084E165C"/>
    <w:rsid w:val="085250DC"/>
    <w:rsid w:val="0853156E"/>
    <w:rsid w:val="08625A96"/>
    <w:rsid w:val="086A44E6"/>
    <w:rsid w:val="087408C2"/>
    <w:rsid w:val="087D5B5E"/>
    <w:rsid w:val="08865255"/>
    <w:rsid w:val="089F1C1C"/>
    <w:rsid w:val="089F5292"/>
    <w:rsid w:val="08A101FE"/>
    <w:rsid w:val="08AB1DDC"/>
    <w:rsid w:val="08B22AFC"/>
    <w:rsid w:val="08B57458"/>
    <w:rsid w:val="08B7513B"/>
    <w:rsid w:val="08BD304C"/>
    <w:rsid w:val="08C13F3A"/>
    <w:rsid w:val="08CE78E2"/>
    <w:rsid w:val="08DD7168"/>
    <w:rsid w:val="08DE0F49"/>
    <w:rsid w:val="08DE6793"/>
    <w:rsid w:val="08EE3E80"/>
    <w:rsid w:val="08F3385E"/>
    <w:rsid w:val="08FA3821"/>
    <w:rsid w:val="08FD6A91"/>
    <w:rsid w:val="09021324"/>
    <w:rsid w:val="090D7238"/>
    <w:rsid w:val="09113FEA"/>
    <w:rsid w:val="09267788"/>
    <w:rsid w:val="093065CA"/>
    <w:rsid w:val="09324EBE"/>
    <w:rsid w:val="09375B09"/>
    <w:rsid w:val="093761DE"/>
    <w:rsid w:val="09401C8C"/>
    <w:rsid w:val="09450156"/>
    <w:rsid w:val="0946542C"/>
    <w:rsid w:val="094B00BD"/>
    <w:rsid w:val="094D4709"/>
    <w:rsid w:val="094F4103"/>
    <w:rsid w:val="09547B01"/>
    <w:rsid w:val="09567693"/>
    <w:rsid w:val="096A1C02"/>
    <w:rsid w:val="096D33C8"/>
    <w:rsid w:val="0977506A"/>
    <w:rsid w:val="097A192E"/>
    <w:rsid w:val="097C665C"/>
    <w:rsid w:val="097D69B9"/>
    <w:rsid w:val="09840AC4"/>
    <w:rsid w:val="09875698"/>
    <w:rsid w:val="099075A2"/>
    <w:rsid w:val="09A60F91"/>
    <w:rsid w:val="09C459FF"/>
    <w:rsid w:val="09E765B1"/>
    <w:rsid w:val="09F63638"/>
    <w:rsid w:val="09FA640D"/>
    <w:rsid w:val="09FD1561"/>
    <w:rsid w:val="0A05450C"/>
    <w:rsid w:val="0A116C10"/>
    <w:rsid w:val="0A1F1B58"/>
    <w:rsid w:val="0A276AC7"/>
    <w:rsid w:val="0A2E2179"/>
    <w:rsid w:val="0A323108"/>
    <w:rsid w:val="0A360D90"/>
    <w:rsid w:val="0A361443"/>
    <w:rsid w:val="0A4F3682"/>
    <w:rsid w:val="0A6107CD"/>
    <w:rsid w:val="0A655CB1"/>
    <w:rsid w:val="0A684531"/>
    <w:rsid w:val="0A6A4C85"/>
    <w:rsid w:val="0A7105D7"/>
    <w:rsid w:val="0A74428F"/>
    <w:rsid w:val="0A7B0ACA"/>
    <w:rsid w:val="0A7D61D2"/>
    <w:rsid w:val="0A7F1F8B"/>
    <w:rsid w:val="0A8231A6"/>
    <w:rsid w:val="0A85238A"/>
    <w:rsid w:val="0A866564"/>
    <w:rsid w:val="0A89076B"/>
    <w:rsid w:val="0A982724"/>
    <w:rsid w:val="0A997BD2"/>
    <w:rsid w:val="0A9C5804"/>
    <w:rsid w:val="0AA34ACC"/>
    <w:rsid w:val="0AA73BB5"/>
    <w:rsid w:val="0AAF3342"/>
    <w:rsid w:val="0AB425AA"/>
    <w:rsid w:val="0AB75659"/>
    <w:rsid w:val="0ABD2C31"/>
    <w:rsid w:val="0AC000E5"/>
    <w:rsid w:val="0AC051E6"/>
    <w:rsid w:val="0ACE16B8"/>
    <w:rsid w:val="0AD35DAC"/>
    <w:rsid w:val="0AE8631E"/>
    <w:rsid w:val="0AE90ED8"/>
    <w:rsid w:val="0B2553AA"/>
    <w:rsid w:val="0B2C06F7"/>
    <w:rsid w:val="0B346F36"/>
    <w:rsid w:val="0B3B2BE5"/>
    <w:rsid w:val="0B3C5FCB"/>
    <w:rsid w:val="0B4947AE"/>
    <w:rsid w:val="0B4C2C7D"/>
    <w:rsid w:val="0B4F08D0"/>
    <w:rsid w:val="0B501178"/>
    <w:rsid w:val="0B507040"/>
    <w:rsid w:val="0B521B70"/>
    <w:rsid w:val="0B61190F"/>
    <w:rsid w:val="0B633E6F"/>
    <w:rsid w:val="0B662405"/>
    <w:rsid w:val="0B7211CC"/>
    <w:rsid w:val="0B750597"/>
    <w:rsid w:val="0B8018D0"/>
    <w:rsid w:val="0B8F12F5"/>
    <w:rsid w:val="0B90288F"/>
    <w:rsid w:val="0B943FD8"/>
    <w:rsid w:val="0B9459BD"/>
    <w:rsid w:val="0B953399"/>
    <w:rsid w:val="0B9A46E3"/>
    <w:rsid w:val="0BAC400C"/>
    <w:rsid w:val="0BB33FE9"/>
    <w:rsid w:val="0BB430C1"/>
    <w:rsid w:val="0BC814F6"/>
    <w:rsid w:val="0BCA53B4"/>
    <w:rsid w:val="0BCD1C6D"/>
    <w:rsid w:val="0BCE5C6C"/>
    <w:rsid w:val="0BEB23A4"/>
    <w:rsid w:val="0BFC47FD"/>
    <w:rsid w:val="0C0A2E1C"/>
    <w:rsid w:val="0C0F38C6"/>
    <w:rsid w:val="0C1308F0"/>
    <w:rsid w:val="0C157770"/>
    <w:rsid w:val="0C1642D5"/>
    <w:rsid w:val="0C18243C"/>
    <w:rsid w:val="0C1B75D5"/>
    <w:rsid w:val="0C230C73"/>
    <w:rsid w:val="0C2353D2"/>
    <w:rsid w:val="0C251E9D"/>
    <w:rsid w:val="0C252D9C"/>
    <w:rsid w:val="0C2769AC"/>
    <w:rsid w:val="0C346FC9"/>
    <w:rsid w:val="0C3476E4"/>
    <w:rsid w:val="0C3B4FD3"/>
    <w:rsid w:val="0C3F0363"/>
    <w:rsid w:val="0C4D1D78"/>
    <w:rsid w:val="0C54331D"/>
    <w:rsid w:val="0C624BC4"/>
    <w:rsid w:val="0C6602EE"/>
    <w:rsid w:val="0C6901DB"/>
    <w:rsid w:val="0C6C7183"/>
    <w:rsid w:val="0C6E6AB6"/>
    <w:rsid w:val="0C7214D6"/>
    <w:rsid w:val="0C7266BF"/>
    <w:rsid w:val="0C7D7B26"/>
    <w:rsid w:val="0C7E130A"/>
    <w:rsid w:val="0C834BCF"/>
    <w:rsid w:val="0C8E3593"/>
    <w:rsid w:val="0C946460"/>
    <w:rsid w:val="0C9D5096"/>
    <w:rsid w:val="0CA55676"/>
    <w:rsid w:val="0CAD2A3E"/>
    <w:rsid w:val="0CB9652F"/>
    <w:rsid w:val="0CBD2F22"/>
    <w:rsid w:val="0CBE27FC"/>
    <w:rsid w:val="0CC03011"/>
    <w:rsid w:val="0CC25682"/>
    <w:rsid w:val="0CC31317"/>
    <w:rsid w:val="0CCD5FCA"/>
    <w:rsid w:val="0CD56A2E"/>
    <w:rsid w:val="0CDC15B5"/>
    <w:rsid w:val="0CF522FF"/>
    <w:rsid w:val="0CF8016B"/>
    <w:rsid w:val="0D053826"/>
    <w:rsid w:val="0D0C3086"/>
    <w:rsid w:val="0D125664"/>
    <w:rsid w:val="0D164F4D"/>
    <w:rsid w:val="0D1A7198"/>
    <w:rsid w:val="0D1E43F4"/>
    <w:rsid w:val="0D2142B9"/>
    <w:rsid w:val="0D22084D"/>
    <w:rsid w:val="0D25000F"/>
    <w:rsid w:val="0D27336D"/>
    <w:rsid w:val="0D38358E"/>
    <w:rsid w:val="0D3E2DF6"/>
    <w:rsid w:val="0D486C27"/>
    <w:rsid w:val="0D4F67E8"/>
    <w:rsid w:val="0D531E59"/>
    <w:rsid w:val="0D546C09"/>
    <w:rsid w:val="0D5A0DC3"/>
    <w:rsid w:val="0D5C345A"/>
    <w:rsid w:val="0D6C3BDA"/>
    <w:rsid w:val="0D701922"/>
    <w:rsid w:val="0D7A6E27"/>
    <w:rsid w:val="0D7C661B"/>
    <w:rsid w:val="0D830EEE"/>
    <w:rsid w:val="0D96515F"/>
    <w:rsid w:val="0D9E66FC"/>
    <w:rsid w:val="0DA12F04"/>
    <w:rsid w:val="0DA22E58"/>
    <w:rsid w:val="0DAB1A35"/>
    <w:rsid w:val="0DBE21CE"/>
    <w:rsid w:val="0DC10AAF"/>
    <w:rsid w:val="0DC20C8E"/>
    <w:rsid w:val="0DC60EB7"/>
    <w:rsid w:val="0DCA0551"/>
    <w:rsid w:val="0DCE6BFD"/>
    <w:rsid w:val="0DD5574D"/>
    <w:rsid w:val="0DD71F54"/>
    <w:rsid w:val="0DD74A8E"/>
    <w:rsid w:val="0DD92E59"/>
    <w:rsid w:val="0DE0461E"/>
    <w:rsid w:val="0DF42AEC"/>
    <w:rsid w:val="0DF664F3"/>
    <w:rsid w:val="0DF87EE9"/>
    <w:rsid w:val="0E03224D"/>
    <w:rsid w:val="0E0424DF"/>
    <w:rsid w:val="0E1913BE"/>
    <w:rsid w:val="0E1A106C"/>
    <w:rsid w:val="0E201EB5"/>
    <w:rsid w:val="0E254F19"/>
    <w:rsid w:val="0E293230"/>
    <w:rsid w:val="0E2A6C7F"/>
    <w:rsid w:val="0E332AC6"/>
    <w:rsid w:val="0E347D37"/>
    <w:rsid w:val="0E365120"/>
    <w:rsid w:val="0E3C4D85"/>
    <w:rsid w:val="0E3D4BC0"/>
    <w:rsid w:val="0E4520BB"/>
    <w:rsid w:val="0E720515"/>
    <w:rsid w:val="0E725397"/>
    <w:rsid w:val="0E7508F9"/>
    <w:rsid w:val="0E7B7DA8"/>
    <w:rsid w:val="0E876C2D"/>
    <w:rsid w:val="0E934B6D"/>
    <w:rsid w:val="0E9871B7"/>
    <w:rsid w:val="0EAE3533"/>
    <w:rsid w:val="0EBC4A43"/>
    <w:rsid w:val="0EBF6A38"/>
    <w:rsid w:val="0EC4207F"/>
    <w:rsid w:val="0ED603F4"/>
    <w:rsid w:val="0ED72A75"/>
    <w:rsid w:val="0EF04C5A"/>
    <w:rsid w:val="0F0B4000"/>
    <w:rsid w:val="0F0F1C7B"/>
    <w:rsid w:val="0F152EBC"/>
    <w:rsid w:val="0F2145DE"/>
    <w:rsid w:val="0F2203E2"/>
    <w:rsid w:val="0F220471"/>
    <w:rsid w:val="0F26506C"/>
    <w:rsid w:val="0F281FB1"/>
    <w:rsid w:val="0F2925BA"/>
    <w:rsid w:val="0F2A4A26"/>
    <w:rsid w:val="0F3045EE"/>
    <w:rsid w:val="0F3C3571"/>
    <w:rsid w:val="0F47585A"/>
    <w:rsid w:val="0F553528"/>
    <w:rsid w:val="0F770D8D"/>
    <w:rsid w:val="0F826AD8"/>
    <w:rsid w:val="0F873AA6"/>
    <w:rsid w:val="0F8F34BF"/>
    <w:rsid w:val="0F9003BE"/>
    <w:rsid w:val="0F977843"/>
    <w:rsid w:val="0F987437"/>
    <w:rsid w:val="0F9C1F43"/>
    <w:rsid w:val="0FA11899"/>
    <w:rsid w:val="0FA162E6"/>
    <w:rsid w:val="0FA83FF5"/>
    <w:rsid w:val="0FB17D9C"/>
    <w:rsid w:val="0FB42A60"/>
    <w:rsid w:val="0FB7795D"/>
    <w:rsid w:val="0FC1589F"/>
    <w:rsid w:val="0FC27015"/>
    <w:rsid w:val="0FCF79BF"/>
    <w:rsid w:val="0FD33851"/>
    <w:rsid w:val="0FD54372"/>
    <w:rsid w:val="0FDD220E"/>
    <w:rsid w:val="0FE1417B"/>
    <w:rsid w:val="0FE8514B"/>
    <w:rsid w:val="0FEA3A22"/>
    <w:rsid w:val="0FF84E64"/>
    <w:rsid w:val="100214FF"/>
    <w:rsid w:val="1005383C"/>
    <w:rsid w:val="10137131"/>
    <w:rsid w:val="10167263"/>
    <w:rsid w:val="102303C4"/>
    <w:rsid w:val="102B2ED2"/>
    <w:rsid w:val="102B3FA5"/>
    <w:rsid w:val="102F41A2"/>
    <w:rsid w:val="103A6B44"/>
    <w:rsid w:val="103B49C2"/>
    <w:rsid w:val="1041423B"/>
    <w:rsid w:val="104274C5"/>
    <w:rsid w:val="10453290"/>
    <w:rsid w:val="105662AB"/>
    <w:rsid w:val="1067588E"/>
    <w:rsid w:val="106924E6"/>
    <w:rsid w:val="106D7BAB"/>
    <w:rsid w:val="10706E1E"/>
    <w:rsid w:val="1080603B"/>
    <w:rsid w:val="10841842"/>
    <w:rsid w:val="10844204"/>
    <w:rsid w:val="108E27C9"/>
    <w:rsid w:val="109D336C"/>
    <w:rsid w:val="10A04D4C"/>
    <w:rsid w:val="10A163D5"/>
    <w:rsid w:val="10A45D88"/>
    <w:rsid w:val="10AA2860"/>
    <w:rsid w:val="10AC25BB"/>
    <w:rsid w:val="10B3083B"/>
    <w:rsid w:val="10BA3F21"/>
    <w:rsid w:val="10C209EA"/>
    <w:rsid w:val="10D028DA"/>
    <w:rsid w:val="10E9018B"/>
    <w:rsid w:val="10EA5D51"/>
    <w:rsid w:val="1104418D"/>
    <w:rsid w:val="111F4906"/>
    <w:rsid w:val="112B6D21"/>
    <w:rsid w:val="11352489"/>
    <w:rsid w:val="1137191A"/>
    <w:rsid w:val="1143595C"/>
    <w:rsid w:val="11484EED"/>
    <w:rsid w:val="11492157"/>
    <w:rsid w:val="1150024C"/>
    <w:rsid w:val="115811CA"/>
    <w:rsid w:val="11720C6B"/>
    <w:rsid w:val="11773F80"/>
    <w:rsid w:val="118B05EC"/>
    <w:rsid w:val="118B6ED9"/>
    <w:rsid w:val="11A615C5"/>
    <w:rsid w:val="11A84041"/>
    <w:rsid w:val="11BE2318"/>
    <w:rsid w:val="11CE0940"/>
    <w:rsid w:val="11F8239F"/>
    <w:rsid w:val="12021E90"/>
    <w:rsid w:val="120A6B2B"/>
    <w:rsid w:val="12286C1E"/>
    <w:rsid w:val="1231021C"/>
    <w:rsid w:val="12311F1D"/>
    <w:rsid w:val="123B248F"/>
    <w:rsid w:val="123B6177"/>
    <w:rsid w:val="124167BA"/>
    <w:rsid w:val="124178DE"/>
    <w:rsid w:val="12707CF7"/>
    <w:rsid w:val="127A3B2A"/>
    <w:rsid w:val="12817338"/>
    <w:rsid w:val="12852BFA"/>
    <w:rsid w:val="12874797"/>
    <w:rsid w:val="12891AD0"/>
    <w:rsid w:val="128C2165"/>
    <w:rsid w:val="12906B6B"/>
    <w:rsid w:val="12983A0B"/>
    <w:rsid w:val="12A2322A"/>
    <w:rsid w:val="12A86042"/>
    <w:rsid w:val="12AB563A"/>
    <w:rsid w:val="12BB3E11"/>
    <w:rsid w:val="12C0395E"/>
    <w:rsid w:val="12C70FB9"/>
    <w:rsid w:val="12CF70C5"/>
    <w:rsid w:val="12D06B68"/>
    <w:rsid w:val="12D9072E"/>
    <w:rsid w:val="12E62FC2"/>
    <w:rsid w:val="12E75AD3"/>
    <w:rsid w:val="12F32389"/>
    <w:rsid w:val="12FA3630"/>
    <w:rsid w:val="13080501"/>
    <w:rsid w:val="13091FE7"/>
    <w:rsid w:val="130931FE"/>
    <w:rsid w:val="13101F80"/>
    <w:rsid w:val="13307EC9"/>
    <w:rsid w:val="133633CC"/>
    <w:rsid w:val="13370679"/>
    <w:rsid w:val="13392FD9"/>
    <w:rsid w:val="13395D36"/>
    <w:rsid w:val="133B6DD6"/>
    <w:rsid w:val="13422175"/>
    <w:rsid w:val="13500EDE"/>
    <w:rsid w:val="13536130"/>
    <w:rsid w:val="135407CB"/>
    <w:rsid w:val="136236A5"/>
    <w:rsid w:val="13663138"/>
    <w:rsid w:val="136824C0"/>
    <w:rsid w:val="13817864"/>
    <w:rsid w:val="138B2289"/>
    <w:rsid w:val="138F5D28"/>
    <w:rsid w:val="139C1113"/>
    <w:rsid w:val="139C6C87"/>
    <w:rsid w:val="13A0298C"/>
    <w:rsid w:val="13A5533C"/>
    <w:rsid w:val="13AC4A07"/>
    <w:rsid w:val="13AE2A9D"/>
    <w:rsid w:val="13C82225"/>
    <w:rsid w:val="13D20616"/>
    <w:rsid w:val="13D93AFD"/>
    <w:rsid w:val="13EA26DF"/>
    <w:rsid w:val="13EF0309"/>
    <w:rsid w:val="13F5284D"/>
    <w:rsid w:val="13FB6895"/>
    <w:rsid w:val="13FE71B5"/>
    <w:rsid w:val="140C25F5"/>
    <w:rsid w:val="142114DB"/>
    <w:rsid w:val="14285F7F"/>
    <w:rsid w:val="142D16DF"/>
    <w:rsid w:val="14441A0F"/>
    <w:rsid w:val="14513854"/>
    <w:rsid w:val="14556CD1"/>
    <w:rsid w:val="14572CB7"/>
    <w:rsid w:val="146726CF"/>
    <w:rsid w:val="14704477"/>
    <w:rsid w:val="147B2D21"/>
    <w:rsid w:val="14811DAC"/>
    <w:rsid w:val="148641ED"/>
    <w:rsid w:val="14894D15"/>
    <w:rsid w:val="14941D07"/>
    <w:rsid w:val="14950F0E"/>
    <w:rsid w:val="14952045"/>
    <w:rsid w:val="14A00505"/>
    <w:rsid w:val="14A43548"/>
    <w:rsid w:val="14AE12C6"/>
    <w:rsid w:val="14B43EA4"/>
    <w:rsid w:val="14D040BF"/>
    <w:rsid w:val="14D13A1F"/>
    <w:rsid w:val="14DD323E"/>
    <w:rsid w:val="14DE2202"/>
    <w:rsid w:val="14F71BC9"/>
    <w:rsid w:val="15076F0F"/>
    <w:rsid w:val="150C223B"/>
    <w:rsid w:val="1513767C"/>
    <w:rsid w:val="151B5190"/>
    <w:rsid w:val="151F1642"/>
    <w:rsid w:val="152F19A5"/>
    <w:rsid w:val="15344A8B"/>
    <w:rsid w:val="15395820"/>
    <w:rsid w:val="153E7796"/>
    <w:rsid w:val="15483219"/>
    <w:rsid w:val="1553053E"/>
    <w:rsid w:val="15544815"/>
    <w:rsid w:val="1564092D"/>
    <w:rsid w:val="156A301D"/>
    <w:rsid w:val="156E5B93"/>
    <w:rsid w:val="15744F6F"/>
    <w:rsid w:val="15827FFF"/>
    <w:rsid w:val="15843A1D"/>
    <w:rsid w:val="15861263"/>
    <w:rsid w:val="1592390B"/>
    <w:rsid w:val="159A7DF6"/>
    <w:rsid w:val="15A32C5D"/>
    <w:rsid w:val="15A81322"/>
    <w:rsid w:val="15BA4E63"/>
    <w:rsid w:val="15C226BF"/>
    <w:rsid w:val="15CF6ACA"/>
    <w:rsid w:val="15D61867"/>
    <w:rsid w:val="15D96791"/>
    <w:rsid w:val="15DD06BF"/>
    <w:rsid w:val="15E87B96"/>
    <w:rsid w:val="15F13E6A"/>
    <w:rsid w:val="161F4AA8"/>
    <w:rsid w:val="1624360E"/>
    <w:rsid w:val="162D042A"/>
    <w:rsid w:val="162E323C"/>
    <w:rsid w:val="163519B5"/>
    <w:rsid w:val="165C46C3"/>
    <w:rsid w:val="16644A0C"/>
    <w:rsid w:val="1669134A"/>
    <w:rsid w:val="167420D1"/>
    <w:rsid w:val="167F52C7"/>
    <w:rsid w:val="1690293D"/>
    <w:rsid w:val="169148BA"/>
    <w:rsid w:val="1691735C"/>
    <w:rsid w:val="169D77CA"/>
    <w:rsid w:val="16A1429F"/>
    <w:rsid w:val="16AD50F0"/>
    <w:rsid w:val="16AD6618"/>
    <w:rsid w:val="16B02281"/>
    <w:rsid w:val="16B25BAD"/>
    <w:rsid w:val="16B50F72"/>
    <w:rsid w:val="16BD726E"/>
    <w:rsid w:val="16CE6B31"/>
    <w:rsid w:val="16D02638"/>
    <w:rsid w:val="16D11F8C"/>
    <w:rsid w:val="16DA1BE3"/>
    <w:rsid w:val="16DD6149"/>
    <w:rsid w:val="16E500AC"/>
    <w:rsid w:val="16EB4C6D"/>
    <w:rsid w:val="16FB067D"/>
    <w:rsid w:val="16FC519C"/>
    <w:rsid w:val="16FD5DB7"/>
    <w:rsid w:val="17094B19"/>
    <w:rsid w:val="170F450E"/>
    <w:rsid w:val="17222668"/>
    <w:rsid w:val="1724046B"/>
    <w:rsid w:val="172E3AC0"/>
    <w:rsid w:val="17324445"/>
    <w:rsid w:val="173C2830"/>
    <w:rsid w:val="17470B37"/>
    <w:rsid w:val="174F038F"/>
    <w:rsid w:val="17562C2B"/>
    <w:rsid w:val="175804CB"/>
    <w:rsid w:val="17586B86"/>
    <w:rsid w:val="17594305"/>
    <w:rsid w:val="175B71C9"/>
    <w:rsid w:val="175C7A69"/>
    <w:rsid w:val="175E3D1D"/>
    <w:rsid w:val="176909D8"/>
    <w:rsid w:val="17784C10"/>
    <w:rsid w:val="17874D2B"/>
    <w:rsid w:val="179438DF"/>
    <w:rsid w:val="17952BFF"/>
    <w:rsid w:val="1798711B"/>
    <w:rsid w:val="17990137"/>
    <w:rsid w:val="17A70F69"/>
    <w:rsid w:val="17B05758"/>
    <w:rsid w:val="17B21CCF"/>
    <w:rsid w:val="17B72675"/>
    <w:rsid w:val="17BC4220"/>
    <w:rsid w:val="17CF1D2D"/>
    <w:rsid w:val="17CF3A72"/>
    <w:rsid w:val="17CF7DC5"/>
    <w:rsid w:val="17DD72E7"/>
    <w:rsid w:val="17ED541A"/>
    <w:rsid w:val="17F47F13"/>
    <w:rsid w:val="18071CC3"/>
    <w:rsid w:val="18072BE7"/>
    <w:rsid w:val="18093954"/>
    <w:rsid w:val="180F222F"/>
    <w:rsid w:val="181764F9"/>
    <w:rsid w:val="181B1130"/>
    <w:rsid w:val="1823130C"/>
    <w:rsid w:val="18235059"/>
    <w:rsid w:val="182D4FAB"/>
    <w:rsid w:val="183B0763"/>
    <w:rsid w:val="183D0CAF"/>
    <w:rsid w:val="18531FDC"/>
    <w:rsid w:val="185543B0"/>
    <w:rsid w:val="185A783A"/>
    <w:rsid w:val="185E64A3"/>
    <w:rsid w:val="18625545"/>
    <w:rsid w:val="187D4361"/>
    <w:rsid w:val="187D77F2"/>
    <w:rsid w:val="18816C5D"/>
    <w:rsid w:val="188B3FC1"/>
    <w:rsid w:val="188B6D75"/>
    <w:rsid w:val="18902895"/>
    <w:rsid w:val="18A108DE"/>
    <w:rsid w:val="18B12944"/>
    <w:rsid w:val="18DD5DCA"/>
    <w:rsid w:val="18DD63C8"/>
    <w:rsid w:val="18E253FD"/>
    <w:rsid w:val="18E2635A"/>
    <w:rsid w:val="18E517AC"/>
    <w:rsid w:val="18E71E53"/>
    <w:rsid w:val="18EA0DB3"/>
    <w:rsid w:val="18F37118"/>
    <w:rsid w:val="190F08FE"/>
    <w:rsid w:val="191D2A2C"/>
    <w:rsid w:val="191F0168"/>
    <w:rsid w:val="19267D54"/>
    <w:rsid w:val="192F596B"/>
    <w:rsid w:val="19302DFB"/>
    <w:rsid w:val="1933193B"/>
    <w:rsid w:val="193E7B8A"/>
    <w:rsid w:val="196566A4"/>
    <w:rsid w:val="196D6443"/>
    <w:rsid w:val="19774A64"/>
    <w:rsid w:val="197B36E4"/>
    <w:rsid w:val="197F6EE2"/>
    <w:rsid w:val="19875173"/>
    <w:rsid w:val="19885DCC"/>
    <w:rsid w:val="19A46764"/>
    <w:rsid w:val="19B805E3"/>
    <w:rsid w:val="19B900FF"/>
    <w:rsid w:val="19C62FDB"/>
    <w:rsid w:val="19C914BD"/>
    <w:rsid w:val="19CF1DCE"/>
    <w:rsid w:val="19D54527"/>
    <w:rsid w:val="19E10850"/>
    <w:rsid w:val="19E41777"/>
    <w:rsid w:val="19EB5E34"/>
    <w:rsid w:val="19F81945"/>
    <w:rsid w:val="1A023006"/>
    <w:rsid w:val="1A025B9B"/>
    <w:rsid w:val="1A1730CD"/>
    <w:rsid w:val="1A182397"/>
    <w:rsid w:val="1A215CF3"/>
    <w:rsid w:val="1A224809"/>
    <w:rsid w:val="1A2854AF"/>
    <w:rsid w:val="1A2B71B1"/>
    <w:rsid w:val="1A2D6993"/>
    <w:rsid w:val="1A3A5C41"/>
    <w:rsid w:val="1A3D51F9"/>
    <w:rsid w:val="1A3E2556"/>
    <w:rsid w:val="1A4346B3"/>
    <w:rsid w:val="1A435F8E"/>
    <w:rsid w:val="1A447541"/>
    <w:rsid w:val="1A45295A"/>
    <w:rsid w:val="1A4B1362"/>
    <w:rsid w:val="1A4B5F12"/>
    <w:rsid w:val="1A4F0744"/>
    <w:rsid w:val="1A5E1E15"/>
    <w:rsid w:val="1A671996"/>
    <w:rsid w:val="1A6C4100"/>
    <w:rsid w:val="1A6D66F1"/>
    <w:rsid w:val="1A7073B5"/>
    <w:rsid w:val="1A714B3E"/>
    <w:rsid w:val="1A7A11B6"/>
    <w:rsid w:val="1A832A18"/>
    <w:rsid w:val="1A857185"/>
    <w:rsid w:val="1A863075"/>
    <w:rsid w:val="1A8F0C49"/>
    <w:rsid w:val="1A967595"/>
    <w:rsid w:val="1A993495"/>
    <w:rsid w:val="1AA267C4"/>
    <w:rsid w:val="1AB855BF"/>
    <w:rsid w:val="1AB93AC6"/>
    <w:rsid w:val="1ABF74C0"/>
    <w:rsid w:val="1AC54ECD"/>
    <w:rsid w:val="1AC64EF8"/>
    <w:rsid w:val="1AC858A2"/>
    <w:rsid w:val="1ACD0951"/>
    <w:rsid w:val="1ACD1F63"/>
    <w:rsid w:val="1AD67E6B"/>
    <w:rsid w:val="1AE22BE8"/>
    <w:rsid w:val="1AE830E7"/>
    <w:rsid w:val="1B102CCD"/>
    <w:rsid w:val="1B181C05"/>
    <w:rsid w:val="1B2C5255"/>
    <w:rsid w:val="1B2D4B9F"/>
    <w:rsid w:val="1B2F4A5F"/>
    <w:rsid w:val="1B2F7D98"/>
    <w:rsid w:val="1B3C0606"/>
    <w:rsid w:val="1B461093"/>
    <w:rsid w:val="1B4B0F7A"/>
    <w:rsid w:val="1B4F3515"/>
    <w:rsid w:val="1B597E69"/>
    <w:rsid w:val="1B5F0035"/>
    <w:rsid w:val="1B6327A1"/>
    <w:rsid w:val="1B677317"/>
    <w:rsid w:val="1B6D1E01"/>
    <w:rsid w:val="1B80478E"/>
    <w:rsid w:val="1B8B78A0"/>
    <w:rsid w:val="1B8E53EC"/>
    <w:rsid w:val="1B932B78"/>
    <w:rsid w:val="1B96794C"/>
    <w:rsid w:val="1B9F076D"/>
    <w:rsid w:val="1BA12905"/>
    <w:rsid w:val="1BA5582C"/>
    <w:rsid w:val="1BA57532"/>
    <w:rsid w:val="1BB00740"/>
    <w:rsid w:val="1BB81C58"/>
    <w:rsid w:val="1BBE5866"/>
    <w:rsid w:val="1BCC01BB"/>
    <w:rsid w:val="1BCE4EDC"/>
    <w:rsid w:val="1BDD6B99"/>
    <w:rsid w:val="1BEE537C"/>
    <w:rsid w:val="1BEF70A1"/>
    <w:rsid w:val="1BF13262"/>
    <w:rsid w:val="1BF51C3E"/>
    <w:rsid w:val="1BF76E79"/>
    <w:rsid w:val="1BFB10C5"/>
    <w:rsid w:val="1BFF3161"/>
    <w:rsid w:val="1C285B59"/>
    <w:rsid w:val="1C2F0460"/>
    <w:rsid w:val="1C4F7891"/>
    <w:rsid w:val="1C502F46"/>
    <w:rsid w:val="1C686812"/>
    <w:rsid w:val="1C713A74"/>
    <w:rsid w:val="1C8508D1"/>
    <w:rsid w:val="1C86775C"/>
    <w:rsid w:val="1C9174D6"/>
    <w:rsid w:val="1C95569E"/>
    <w:rsid w:val="1C9A48DA"/>
    <w:rsid w:val="1CB619AD"/>
    <w:rsid w:val="1CC4381D"/>
    <w:rsid w:val="1CC46277"/>
    <w:rsid w:val="1CC741D3"/>
    <w:rsid w:val="1CC969F5"/>
    <w:rsid w:val="1CD1054A"/>
    <w:rsid w:val="1CD81A65"/>
    <w:rsid w:val="1CD944B9"/>
    <w:rsid w:val="1CDC2D4D"/>
    <w:rsid w:val="1CE34AF0"/>
    <w:rsid w:val="1CE74106"/>
    <w:rsid w:val="1CEB6A55"/>
    <w:rsid w:val="1CED3115"/>
    <w:rsid w:val="1CEE7E78"/>
    <w:rsid w:val="1CF717B6"/>
    <w:rsid w:val="1D0358BF"/>
    <w:rsid w:val="1D124F0B"/>
    <w:rsid w:val="1D13794A"/>
    <w:rsid w:val="1D2A3D3F"/>
    <w:rsid w:val="1D2B36AD"/>
    <w:rsid w:val="1D442C84"/>
    <w:rsid w:val="1D4E3544"/>
    <w:rsid w:val="1D53148D"/>
    <w:rsid w:val="1D573548"/>
    <w:rsid w:val="1D654BFB"/>
    <w:rsid w:val="1D6B2240"/>
    <w:rsid w:val="1D703E52"/>
    <w:rsid w:val="1D7B7BD0"/>
    <w:rsid w:val="1D837A22"/>
    <w:rsid w:val="1D842317"/>
    <w:rsid w:val="1D84321C"/>
    <w:rsid w:val="1D8D0108"/>
    <w:rsid w:val="1D8D0E37"/>
    <w:rsid w:val="1D927C9C"/>
    <w:rsid w:val="1D96092C"/>
    <w:rsid w:val="1D9E54AF"/>
    <w:rsid w:val="1DA906F0"/>
    <w:rsid w:val="1DB11EDE"/>
    <w:rsid w:val="1DB74401"/>
    <w:rsid w:val="1DBD5182"/>
    <w:rsid w:val="1DC01474"/>
    <w:rsid w:val="1DC018F0"/>
    <w:rsid w:val="1DC131FA"/>
    <w:rsid w:val="1DC33A80"/>
    <w:rsid w:val="1DC55DE7"/>
    <w:rsid w:val="1DCE6655"/>
    <w:rsid w:val="1DCE765A"/>
    <w:rsid w:val="1DCF531E"/>
    <w:rsid w:val="1DD75BF0"/>
    <w:rsid w:val="1DDD4370"/>
    <w:rsid w:val="1DE80E2F"/>
    <w:rsid w:val="1DEF1243"/>
    <w:rsid w:val="1DF6240C"/>
    <w:rsid w:val="1E0158EF"/>
    <w:rsid w:val="1E0434B2"/>
    <w:rsid w:val="1E043BD3"/>
    <w:rsid w:val="1E0D700B"/>
    <w:rsid w:val="1E0F5616"/>
    <w:rsid w:val="1E1144D4"/>
    <w:rsid w:val="1E1C0783"/>
    <w:rsid w:val="1E1D6F60"/>
    <w:rsid w:val="1E215D80"/>
    <w:rsid w:val="1E270281"/>
    <w:rsid w:val="1E2D6C85"/>
    <w:rsid w:val="1E316581"/>
    <w:rsid w:val="1E425C1F"/>
    <w:rsid w:val="1E4810C8"/>
    <w:rsid w:val="1E522B3C"/>
    <w:rsid w:val="1E534A46"/>
    <w:rsid w:val="1E543626"/>
    <w:rsid w:val="1E6555D7"/>
    <w:rsid w:val="1E6E14CF"/>
    <w:rsid w:val="1E8443DB"/>
    <w:rsid w:val="1E8F31E6"/>
    <w:rsid w:val="1E90564C"/>
    <w:rsid w:val="1E9405E9"/>
    <w:rsid w:val="1E9A13B6"/>
    <w:rsid w:val="1EBD251C"/>
    <w:rsid w:val="1ED04F87"/>
    <w:rsid w:val="1ED116D8"/>
    <w:rsid w:val="1ED9133F"/>
    <w:rsid w:val="1EE50D29"/>
    <w:rsid w:val="1EE57C0F"/>
    <w:rsid w:val="1EFC3F0E"/>
    <w:rsid w:val="1EFE0491"/>
    <w:rsid w:val="1F176A73"/>
    <w:rsid w:val="1F195CC8"/>
    <w:rsid w:val="1F234974"/>
    <w:rsid w:val="1F265722"/>
    <w:rsid w:val="1F2C3A08"/>
    <w:rsid w:val="1F2E6C46"/>
    <w:rsid w:val="1F307B3C"/>
    <w:rsid w:val="1F3707A0"/>
    <w:rsid w:val="1F373DBD"/>
    <w:rsid w:val="1F3A5A7B"/>
    <w:rsid w:val="1F3D45D5"/>
    <w:rsid w:val="1F4A1EF4"/>
    <w:rsid w:val="1F4A5DDE"/>
    <w:rsid w:val="1F4C7A2F"/>
    <w:rsid w:val="1F515492"/>
    <w:rsid w:val="1F5C0936"/>
    <w:rsid w:val="1F694629"/>
    <w:rsid w:val="1F726BD0"/>
    <w:rsid w:val="1F733705"/>
    <w:rsid w:val="1F7809F6"/>
    <w:rsid w:val="1F8D7E76"/>
    <w:rsid w:val="1FA00A5C"/>
    <w:rsid w:val="1FB634BF"/>
    <w:rsid w:val="1FB700FA"/>
    <w:rsid w:val="1FB727CE"/>
    <w:rsid w:val="1FB779D5"/>
    <w:rsid w:val="1FB936C9"/>
    <w:rsid w:val="1FB942DC"/>
    <w:rsid w:val="1FC603E8"/>
    <w:rsid w:val="1FC61437"/>
    <w:rsid w:val="1FCA25C7"/>
    <w:rsid w:val="1FD16043"/>
    <w:rsid w:val="1FD5233C"/>
    <w:rsid w:val="1FDC4659"/>
    <w:rsid w:val="1FE069E5"/>
    <w:rsid w:val="1FE07045"/>
    <w:rsid w:val="1FE6263F"/>
    <w:rsid w:val="1FE93F66"/>
    <w:rsid w:val="1FF827CE"/>
    <w:rsid w:val="1FF90EC0"/>
    <w:rsid w:val="1FFD3649"/>
    <w:rsid w:val="1FFE0A40"/>
    <w:rsid w:val="200B6A47"/>
    <w:rsid w:val="20163BB1"/>
    <w:rsid w:val="201D0C9B"/>
    <w:rsid w:val="201D1B77"/>
    <w:rsid w:val="202636E1"/>
    <w:rsid w:val="203830CD"/>
    <w:rsid w:val="20425495"/>
    <w:rsid w:val="20431364"/>
    <w:rsid w:val="204B7921"/>
    <w:rsid w:val="204D08C4"/>
    <w:rsid w:val="20520164"/>
    <w:rsid w:val="20586190"/>
    <w:rsid w:val="205D6FCB"/>
    <w:rsid w:val="20651A2E"/>
    <w:rsid w:val="206B3D40"/>
    <w:rsid w:val="20754636"/>
    <w:rsid w:val="20887522"/>
    <w:rsid w:val="208C0C6F"/>
    <w:rsid w:val="208F464E"/>
    <w:rsid w:val="20900D86"/>
    <w:rsid w:val="2092490B"/>
    <w:rsid w:val="209367EA"/>
    <w:rsid w:val="20AA693F"/>
    <w:rsid w:val="20AF09B1"/>
    <w:rsid w:val="20B177A9"/>
    <w:rsid w:val="20B86920"/>
    <w:rsid w:val="20BA0249"/>
    <w:rsid w:val="20C0638C"/>
    <w:rsid w:val="20CD2E0F"/>
    <w:rsid w:val="20D21AFD"/>
    <w:rsid w:val="20D45F23"/>
    <w:rsid w:val="20E72CD4"/>
    <w:rsid w:val="20EB24D4"/>
    <w:rsid w:val="20F867C3"/>
    <w:rsid w:val="20FA69DC"/>
    <w:rsid w:val="210023D7"/>
    <w:rsid w:val="2107009A"/>
    <w:rsid w:val="210A3E59"/>
    <w:rsid w:val="211A49FD"/>
    <w:rsid w:val="212E64A8"/>
    <w:rsid w:val="21361396"/>
    <w:rsid w:val="213D5345"/>
    <w:rsid w:val="21457DF2"/>
    <w:rsid w:val="21635039"/>
    <w:rsid w:val="216422D0"/>
    <w:rsid w:val="21653DDB"/>
    <w:rsid w:val="21713217"/>
    <w:rsid w:val="218427C7"/>
    <w:rsid w:val="21876578"/>
    <w:rsid w:val="218E7EBA"/>
    <w:rsid w:val="2194671B"/>
    <w:rsid w:val="2195238A"/>
    <w:rsid w:val="21AE297D"/>
    <w:rsid w:val="21B11FE1"/>
    <w:rsid w:val="21B30399"/>
    <w:rsid w:val="21B33B88"/>
    <w:rsid w:val="21B763E1"/>
    <w:rsid w:val="21BB123C"/>
    <w:rsid w:val="21BB1E3C"/>
    <w:rsid w:val="21C11982"/>
    <w:rsid w:val="21C51308"/>
    <w:rsid w:val="21C571BC"/>
    <w:rsid w:val="21F0050A"/>
    <w:rsid w:val="21F9268C"/>
    <w:rsid w:val="21FC047B"/>
    <w:rsid w:val="22047BF7"/>
    <w:rsid w:val="220B01EE"/>
    <w:rsid w:val="220F53DE"/>
    <w:rsid w:val="2224060C"/>
    <w:rsid w:val="22327E4C"/>
    <w:rsid w:val="22437691"/>
    <w:rsid w:val="224532A2"/>
    <w:rsid w:val="22473879"/>
    <w:rsid w:val="225149E6"/>
    <w:rsid w:val="225C325F"/>
    <w:rsid w:val="226A5F54"/>
    <w:rsid w:val="22723BDA"/>
    <w:rsid w:val="227265E6"/>
    <w:rsid w:val="227B059E"/>
    <w:rsid w:val="227F5B3A"/>
    <w:rsid w:val="228F1ADB"/>
    <w:rsid w:val="22905E96"/>
    <w:rsid w:val="22A34D3C"/>
    <w:rsid w:val="22A405AB"/>
    <w:rsid w:val="22A66B54"/>
    <w:rsid w:val="22AD2FE1"/>
    <w:rsid w:val="22C26488"/>
    <w:rsid w:val="22C956C1"/>
    <w:rsid w:val="22C95C46"/>
    <w:rsid w:val="22D830D8"/>
    <w:rsid w:val="22DC1CD4"/>
    <w:rsid w:val="22E16DD3"/>
    <w:rsid w:val="22EE1DC6"/>
    <w:rsid w:val="22F60FFC"/>
    <w:rsid w:val="22FC42E9"/>
    <w:rsid w:val="230A598A"/>
    <w:rsid w:val="23131780"/>
    <w:rsid w:val="2315242B"/>
    <w:rsid w:val="231568C7"/>
    <w:rsid w:val="231A190A"/>
    <w:rsid w:val="231B4356"/>
    <w:rsid w:val="231C7032"/>
    <w:rsid w:val="231F7C05"/>
    <w:rsid w:val="232E2554"/>
    <w:rsid w:val="232F4C1B"/>
    <w:rsid w:val="23343222"/>
    <w:rsid w:val="234228C4"/>
    <w:rsid w:val="234A1847"/>
    <w:rsid w:val="234F71EB"/>
    <w:rsid w:val="235D6A8E"/>
    <w:rsid w:val="23636A60"/>
    <w:rsid w:val="236C021A"/>
    <w:rsid w:val="23844C02"/>
    <w:rsid w:val="23933A8C"/>
    <w:rsid w:val="239B46B0"/>
    <w:rsid w:val="239D6FE4"/>
    <w:rsid w:val="23A7454C"/>
    <w:rsid w:val="23B50869"/>
    <w:rsid w:val="23B72B78"/>
    <w:rsid w:val="23B81B7D"/>
    <w:rsid w:val="23BE69B5"/>
    <w:rsid w:val="23C6542B"/>
    <w:rsid w:val="23D215CC"/>
    <w:rsid w:val="23F62583"/>
    <w:rsid w:val="23FE1598"/>
    <w:rsid w:val="24032973"/>
    <w:rsid w:val="240E063C"/>
    <w:rsid w:val="2411702D"/>
    <w:rsid w:val="24182BB5"/>
    <w:rsid w:val="24253839"/>
    <w:rsid w:val="24256B7B"/>
    <w:rsid w:val="243508AF"/>
    <w:rsid w:val="24354161"/>
    <w:rsid w:val="24396DC2"/>
    <w:rsid w:val="243B4A49"/>
    <w:rsid w:val="243D1681"/>
    <w:rsid w:val="24510FE1"/>
    <w:rsid w:val="24515325"/>
    <w:rsid w:val="245268E5"/>
    <w:rsid w:val="24626F2F"/>
    <w:rsid w:val="246A47D1"/>
    <w:rsid w:val="246D3320"/>
    <w:rsid w:val="248A6B99"/>
    <w:rsid w:val="248B781F"/>
    <w:rsid w:val="248C755F"/>
    <w:rsid w:val="248D5D46"/>
    <w:rsid w:val="248E31E8"/>
    <w:rsid w:val="24917044"/>
    <w:rsid w:val="249D61C5"/>
    <w:rsid w:val="24AA5511"/>
    <w:rsid w:val="24AC555E"/>
    <w:rsid w:val="24AF1764"/>
    <w:rsid w:val="24B14DC5"/>
    <w:rsid w:val="24B434C0"/>
    <w:rsid w:val="24B47D78"/>
    <w:rsid w:val="24B833B0"/>
    <w:rsid w:val="24BB06E2"/>
    <w:rsid w:val="24E3555B"/>
    <w:rsid w:val="24EE5085"/>
    <w:rsid w:val="24F152AF"/>
    <w:rsid w:val="24F83C39"/>
    <w:rsid w:val="24FA62FA"/>
    <w:rsid w:val="25091191"/>
    <w:rsid w:val="25093D24"/>
    <w:rsid w:val="250C53E7"/>
    <w:rsid w:val="25103748"/>
    <w:rsid w:val="251569CC"/>
    <w:rsid w:val="25196ABE"/>
    <w:rsid w:val="252026E0"/>
    <w:rsid w:val="25265C5F"/>
    <w:rsid w:val="252C4F30"/>
    <w:rsid w:val="2533151B"/>
    <w:rsid w:val="253908EB"/>
    <w:rsid w:val="254839EC"/>
    <w:rsid w:val="254D0840"/>
    <w:rsid w:val="25500596"/>
    <w:rsid w:val="25500835"/>
    <w:rsid w:val="255347B2"/>
    <w:rsid w:val="255E395F"/>
    <w:rsid w:val="25606241"/>
    <w:rsid w:val="256809BB"/>
    <w:rsid w:val="256C4080"/>
    <w:rsid w:val="25740681"/>
    <w:rsid w:val="2588153B"/>
    <w:rsid w:val="2597244A"/>
    <w:rsid w:val="25A65A6E"/>
    <w:rsid w:val="25AB0943"/>
    <w:rsid w:val="25AD0697"/>
    <w:rsid w:val="25C32400"/>
    <w:rsid w:val="25C60C38"/>
    <w:rsid w:val="25C72889"/>
    <w:rsid w:val="25CE4CB4"/>
    <w:rsid w:val="25CE64B0"/>
    <w:rsid w:val="25DB5DAE"/>
    <w:rsid w:val="25DF0A14"/>
    <w:rsid w:val="25E662DE"/>
    <w:rsid w:val="25EF0F4F"/>
    <w:rsid w:val="25F12038"/>
    <w:rsid w:val="25F520EB"/>
    <w:rsid w:val="26011AB2"/>
    <w:rsid w:val="26106EF0"/>
    <w:rsid w:val="2614478B"/>
    <w:rsid w:val="261E668E"/>
    <w:rsid w:val="261F203E"/>
    <w:rsid w:val="26206036"/>
    <w:rsid w:val="262245EA"/>
    <w:rsid w:val="26293B19"/>
    <w:rsid w:val="262D43DD"/>
    <w:rsid w:val="263D1872"/>
    <w:rsid w:val="263D374B"/>
    <w:rsid w:val="26423733"/>
    <w:rsid w:val="26512F46"/>
    <w:rsid w:val="2656198A"/>
    <w:rsid w:val="26663ECA"/>
    <w:rsid w:val="266748FB"/>
    <w:rsid w:val="26782E4E"/>
    <w:rsid w:val="268110BA"/>
    <w:rsid w:val="26870B8D"/>
    <w:rsid w:val="2692162E"/>
    <w:rsid w:val="269A44C7"/>
    <w:rsid w:val="269C60CB"/>
    <w:rsid w:val="26A0073F"/>
    <w:rsid w:val="26B6080D"/>
    <w:rsid w:val="26B61D44"/>
    <w:rsid w:val="26BA1CEB"/>
    <w:rsid w:val="26BD521E"/>
    <w:rsid w:val="26C32922"/>
    <w:rsid w:val="26C7192A"/>
    <w:rsid w:val="26D54A70"/>
    <w:rsid w:val="26DC1BC4"/>
    <w:rsid w:val="26DC3CDD"/>
    <w:rsid w:val="26DE7C26"/>
    <w:rsid w:val="26E154D5"/>
    <w:rsid w:val="26E44FB3"/>
    <w:rsid w:val="26E912DB"/>
    <w:rsid w:val="26EC4867"/>
    <w:rsid w:val="26F065E9"/>
    <w:rsid w:val="26FC32F9"/>
    <w:rsid w:val="27040C6A"/>
    <w:rsid w:val="270851DA"/>
    <w:rsid w:val="270D2051"/>
    <w:rsid w:val="271A58F6"/>
    <w:rsid w:val="271D60A7"/>
    <w:rsid w:val="271F454A"/>
    <w:rsid w:val="272106B5"/>
    <w:rsid w:val="272413FE"/>
    <w:rsid w:val="27255E4E"/>
    <w:rsid w:val="27302C29"/>
    <w:rsid w:val="274564D8"/>
    <w:rsid w:val="274D39A9"/>
    <w:rsid w:val="274F50E8"/>
    <w:rsid w:val="275631DD"/>
    <w:rsid w:val="275A30F2"/>
    <w:rsid w:val="2760298E"/>
    <w:rsid w:val="27676FF4"/>
    <w:rsid w:val="276F0202"/>
    <w:rsid w:val="2772267B"/>
    <w:rsid w:val="27764A75"/>
    <w:rsid w:val="27770D7B"/>
    <w:rsid w:val="277E2BBA"/>
    <w:rsid w:val="27841884"/>
    <w:rsid w:val="279459E9"/>
    <w:rsid w:val="279862AE"/>
    <w:rsid w:val="27A56B48"/>
    <w:rsid w:val="27AF12F6"/>
    <w:rsid w:val="27B11C93"/>
    <w:rsid w:val="27C3219A"/>
    <w:rsid w:val="27C75A53"/>
    <w:rsid w:val="27D66840"/>
    <w:rsid w:val="27E1406D"/>
    <w:rsid w:val="27E21DCE"/>
    <w:rsid w:val="27E51220"/>
    <w:rsid w:val="27E75554"/>
    <w:rsid w:val="27FC661C"/>
    <w:rsid w:val="28022A66"/>
    <w:rsid w:val="281C3B6B"/>
    <w:rsid w:val="28301B12"/>
    <w:rsid w:val="2836784E"/>
    <w:rsid w:val="283A7D04"/>
    <w:rsid w:val="283F7B22"/>
    <w:rsid w:val="2846161E"/>
    <w:rsid w:val="284C65ED"/>
    <w:rsid w:val="285A6470"/>
    <w:rsid w:val="28612531"/>
    <w:rsid w:val="286A4050"/>
    <w:rsid w:val="28722BFC"/>
    <w:rsid w:val="288827C4"/>
    <w:rsid w:val="28886E6C"/>
    <w:rsid w:val="289056D6"/>
    <w:rsid w:val="28973CDD"/>
    <w:rsid w:val="28991A7E"/>
    <w:rsid w:val="28A42666"/>
    <w:rsid w:val="28A469C9"/>
    <w:rsid w:val="28AE41B5"/>
    <w:rsid w:val="28BA5AF1"/>
    <w:rsid w:val="28C465BC"/>
    <w:rsid w:val="28CA085E"/>
    <w:rsid w:val="28CB51E9"/>
    <w:rsid w:val="28CD3F1A"/>
    <w:rsid w:val="28D6249B"/>
    <w:rsid w:val="28F51381"/>
    <w:rsid w:val="28F97418"/>
    <w:rsid w:val="28FB16BF"/>
    <w:rsid w:val="28FC37B3"/>
    <w:rsid w:val="290A58C9"/>
    <w:rsid w:val="290D45AD"/>
    <w:rsid w:val="29110E79"/>
    <w:rsid w:val="291500E7"/>
    <w:rsid w:val="29245792"/>
    <w:rsid w:val="29305A5B"/>
    <w:rsid w:val="29340FC2"/>
    <w:rsid w:val="294A3D99"/>
    <w:rsid w:val="29506A93"/>
    <w:rsid w:val="29521989"/>
    <w:rsid w:val="29587A8B"/>
    <w:rsid w:val="295A2072"/>
    <w:rsid w:val="295A7C58"/>
    <w:rsid w:val="29693C6F"/>
    <w:rsid w:val="296C353D"/>
    <w:rsid w:val="296C379B"/>
    <w:rsid w:val="298611DC"/>
    <w:rsid w:val="2989209E"/>
    <w:rsid w:val="29936082"/>
    <w:rsid w:val="29C723A2"/>
    <w:rsid w:val="29DC5B96"/>
    <w:rsid w:val="29E35912"/>
    <w:rsid w:val="29E61BB1"/>
    <w:rsid w:val="29F35BD7"/>
    <w:rsid w:val="29FC6663"/>
    <w:rsid w:val="2A092AE2"/>
    <w:rsid w:val="2A097235"/>
    <w:rsid w:val="2A0E6E4E"/>
    <w:rsid w:val="2A171F37"/>
    <w:rsid w:val="2A1E07AB"/>
    <w:rsid w:val="2A253C4A"/>
    <w:rsid w:val="2A2966F1"/>
    <w:rsid w:val="2A2F6B2F"/>
    <w:rsid w:val="2A3356BE"/>
    <w:rsid w:val="2A384A80"/>
    <w:rsid w:val="2A3D439B"/>
    <w:rsid w:val="2A4238BB"/>
    <w:rsid w:val="2A451349"/>
    <w:rsid w:val="2A515056"/>
    <w:rsid w:val="2A5D1048"/>
    <w:rsid w:val="2A5F01B1"/>
    <w:rsid w:val="2A6239DA"/>
    <w:rsid w:val="2A687CE4"/>
    <w:rsid w:val="2A793EFC"/>
    <w:rsid w:val="2A955836"/>
    <w:rsid w:val="2A963273"/>
    <w:rsid w:val="2A9F364B"/>
    <w:rsid w:val="2A9F3D49"/>
    <w:rsid w:val="2AA21573"/>
    <w:rsid w:val="2AAA4515"/>
    <w:rsid w:val="2AAC54DB"/>
    <w:rsid w:val="2AC22BC3"/>
    <w:rsid w:val="2AC25C25"/>
    <w:rsid w:val="2AC905E5"/>
    <w:rsid w:val="2ACB7E72"/>
    <w:rsid w:val="2AD01DA5"/>
    <w:rsid w:val="2AE145C3"/>
    <w:rsid w:val="2AEA0421"/>
    <w:rsid w:val="2AEA6B95"/>
    <w:rsid w:val="2AEE237C"/>
    <w:rsid w:val="2AF272C6"/>
    <w:rsid w:val="2AF45F47"/>
    <w:rsid w:val="2AF466D8"/>
    <w:rsid w:val="2AF9663F"/>
    <w:rsid w:val="2B0343B3"/>
    <w:rsid w:val="2B16231C"/>
    <w:rsid w:val="2B1B5143"/>
    <w:rsid w:val="2B3665E1"/>
    <w:rsid w:val="2B4212F7"/>
    <w:rsid w:val="2B442A7F"/>
    <w:rsid w:val="2B640B11"/>
    <w:rsid w:val="2B6968E3"/>
    <w:rsid w:val="2B6A70C6"/>
    <w:rsid w:val="2B6E40DB"/>
    <w:rsid w:val="2B783825"/>
    <w:rsid w:val="2B7C53FC"/>
    <w:rsid w:val="2B8E4B75"/>
    <w:rsid w:val="2B8F6FBF"/>
    <w:rsid w:val="2B926375"/>
    <w:rsid w:val="2B94716A"/>
    <w:rsid w:val="2B9A0DDD"/>
    <w:rsid w:val="2BBB6500"/>
    <w:rsid w:val="2BBC1B1F"/>
    <w:rsid w:val="2BC711A9"/>
    <w:rsid w:val="2BD0711D"/>
    <w:rsid w:val="2BD465F4"/>
    <w:rsid w:val="2BD92237"/>
    <w:rsid w:val="2BE30C5D"/>
    <w:rsid w:val="2BE339AC"/>
    <w:rsid w:val="2BF85707"/>
    <w:rsid w:val="2BFC28B0"/>
    <w:rsid w:val="2C1771DE"/>
    <w:rsid w:val="2C182E4B"/>
    <w:rsid w:val="2C1E2AC0"/>
    <w:rsid w:val="2C251F8E"/>
    <w:rsid w:val="2C2D6F62"/>
    <w:rsid w:val="2C310C01"/>
    <w:rsid w:val="2C317510"/>
    <w:rsid w:val="2C377FC7"/>
    <w:rsid w:val="2C397CDB"/>
    <w:rsid w:val="2C3A44F5"/>
    <w:rsid w:val="2C3B3DE0"/>
    <w:rsid w:val="2C402F42"/>
    <w:rsid w:val="2C4463A6"/>
    <w:rsid w:val="2C451AD0"/>
    <w:rsid w:val="2C483529"/>
    <w:rsid w:val="2C485295"/>
    <w:rsid w:val="2C4A340E"/>
    <w:rsid w:val="2C5670D4"/>
    <w:rsid w:val="2C7E0776"/>
    <w:rsid w:val="2C907843"/>
    <w:rsid w:val="2C916C45"/>
    <w:rsid w:val="2C967A3F"/>
    <w:rsid w:val="2CA770C5"/>
    <w:rsid w:val="2CB1101D"/>
    <w:rsid w:val="2CB213EF"/>
    <w:rsid w:val="2CCA394B"/>
    <w:rsid w:val="2CD53E82"/>
    <w:rsid w:val="2CEC1B94"/>
    <w:rsid w:val="2D07064F"/>
    <w:rsid w:val="2D1B199F"/>
    <w:rsid w:val="2D234ACD"/>
    <w:rsid w:val="2D2A6AFE"/>
    <w:rsid w:val="2D30205B"/>
    <w:rsid w:val="2D30318E"/>
    <w:rsid w:val="2D327623"/>
    <w:rsid w:val="2D4445BA"/>
    <w:rsid w:val="2D445FF4"/>
    <w:rsid w:val="2D6132DF"/>
    <w:rsid w:val="2D613799"/>
    <w:rsid w:val="2D677695"/>
    <w:rsid w:val="2D6E49A5"/>
    <w:rsid w:val="2D6F3896"/>
    <w:rsid w:val="2D7B7D91"/>
    <w:rsid w:val="2D833EA6"/>
    <w:rsid w:val="2D8475ED"/>
    <w:rsid w:val="2D8A6AF5"/>
    <w:rsid w:val="2D8B3AB3"/>
    <w:rsid w:val="2D99426A"/>
    <w:rsid w:val="2D9F2DD8"/>
    <w:rsid w:val="2D9F5273"/>
    <w:rsid w:val="2DA11CA2"/>
    <w:rsid w:val="2DA138CD"/>
    <w:rsid w:val="2DA37DCF"/>
    <w:rsid w:val="2DA40AB3"/>
    <w:rsid w:val="2DA947A3"/>
    <w:rsid w:val="2DAF06E6"/>
    <w:rsid w:val="2DB13CA4"/>
    <w:rsid w:val="2DC94E96"/>
    <w:rsid w:val="2DD00D3A"/>
    <w:rsid w:val="2DEB69C9"/>
    <w:rsid w:val="2DEF7841"/>
    <w:rsid w:val="2DF347E0"/>
    <w:rsid w:val="2DF9782D"/>
    <w:rsid w:val="2DFA374D"/>
    <w:rsid w:val="2E0006F0"/>
    <w:rsid w:val="2E012F21"/>
    <w:rsid w:val="2E051478"/>
    <w:rsid w:val="2E0865B0"/>
    <w:rsid w:val="2E2C39D1"/>
    <w:rsid w:val="2E3078F1"/>
    <w:rsid w:val="2E362F7F"/>
    <w:rsid w:val="2E371216"/>
    <w:rsid w:val="2E391122"/>
    <w:rsid w:val="2E3D19EA"/>
    <w:rsid w:val="2E4B0AEF"/>
    <w:rsid w:val="2E505138"/>
    <w:rsid w:val="2E5B7BDD"/>
    <w:rsid w:val="2E5D0460"/>
    <w:rsid w:val="2E615953"/>
    <w:rsid w:val="2E70108F"/>
    <w:rsid w:val="2E7A4529"/>
    <w:rsid w:val="2E7B4726"/>
    <w:rsid w:val="2E7C042B"/>
    <w:rsid w:val="2E7D20D8"/>
    <w:rsid w:val="2E7F248E"/>
    <w:rsid w:val="2E832BDB"/>
    <w:rsid w:val="2E890FA7"/>
    <w:rsid w:val="2E8A4AA8"/>
    <w:rsid w:val="2E9C2A1A"/>
    <w:rsid w:val="2EB052F0"/>
    <w:rsid w:val="2EB25A33"/>
    <w:rsid w:val="2EB405D2"/>
    <w:rsid w:val="2EBD393A"/>
    <w:rsid w:val="2EC34398"/>
    <w:rsid w:val="2EC93A7E"/>
    <w:rsid w:val="2ED11BCD"/>
    <w:rsid w:val="2ED7538B"/>
    <w:rsid w:val="2ED83F84"/>
    <w:rsid w:val="2EDE3CE6"/>
    <w:rsid w:val="2EE06EF7"/>
    <w:rsid w:val="2EEB611B"/>
    <w:rsid w:val="2EEE705A"/>
    <w:rsid w:val="2EFE43BF"/>
    <w:rsid w:val="2F000629"/>
    <w:rsid w:val="2F065C3C"/>
    <w:rsid w:val="2F077EA1"/>
    <w:rsid w:val="2F1821D0"/>
    <w:rsid w:val="2F1B7E11"/>
    <w:rsid w:val="2F2976E4"/>
    <w:rsid w:val="2F467E34"/>
    <w:rsid w:val="2F475135"/>
    <w:rsid w:val="2F4A1BDC"/>
    <w:rsid w:val="2F4F63F7"/>
    <w:rsid w:val="2F5730BC"/>
    <w:rsid w:val="2F5C7B84"/>
    <w:rsid w:val="2F633F2F"/>
    <w:rsid w:val="2F683D71"/>
    <w:rsid w:val="2F73009F"/>
    <w:rsid w:val="2F7B0153"/>
    <w:rsid w:val="2F7B3E29"/>
    <w:rsid w:val="2F7E4084"/>
    <w:rsid w:val="2F8B4ED3"/>
    <w:rsid w:val="2F930611"/>
    <w:rsid w:val="2F9B2E64"/>
    <w:rsid w:val="2FBB15EF"/>
    <w:rsid w:val="2FCE485A"/>
    <w:rsid w:val="2FCE5FAD"/>
    <w:rsid w:val="2FCF04B6"/>
    <w:rsid w:val="2FD00394"/>
    <w:rsid w:val="2FD9026D"/>
    <w:rsid w:val="2FD93EDC"/>
    <w:rsid w:val="2FE42DFF"/>
    <w:rsid w:val="2FE92311"/>
    <w:rsid w:val="2FEA7133"/>
    <w:rsid w:val="2FF412CB"/>
    <w:rsid w:val="2FF90722"/>
    <w:rsid w:val="2FFF5CC5"/>
    <w:rsid w:val="30076401"/>
    <w:rsid w:val="300C520B"/>
    <w:rsid w:val="30285FA3"/>
    <w:rsid w:val="30297B17"/>
    <w:rsid w:val="30382DAC"/>
    <w:rsid w:val="303B045F"/>
    <w:rsid w:val="303B6518"/>
    <w:rsid w:val="303E0B67"/>
    <w:rsid w:val="30480DDC"/>
    <w:rsid w:val="30493D38"/>
    <w:rsid w:val="30496DB1"/>
    <w:rsid w:val="304F29B9"/>
    <w:rsid w:val="30685509"/>
    <w:rsid w:val="306D2054"/>
    <w:rsid w:val="3070338E"/>
    <w:rsid w:val="3073023C"/>
    <w:rsid w:val="307370AC"/>
    <w:rsid w:val="307967B9"/>
    <w:rsid w:val="30881766"/>
    <w:rsid w:val="308E5D35"/>
    <w:rsid w:val="309133AB"/>
    <w:rsid w:val="3092020F"/>
    <w:rsid w:val="30935403"/>
    <w:rsid w:val="309B77FC"/>
    <w:rsid w:val="30A0011F"/>
    <w:rsid w:val="30A67FD0"/>
    <w:rsid w:val="30AB1112"/>
    <w:rsid w:val="30AD2082"/>
    <w:rsid w:val="30B26F48"/>
    <w:rsid w:val="30B740F1"/>
    <w:rsid w:val="30BE449D"/>
    <w:rsid w:val="30BE51BD"/>
    <w:rsid w:val="30BE6E80"/>
    <w:rsid w:val="30C23FBC"/>
    <w:rsid w:val="30C30CA1"/>
    <w:rsid w:val="30C44FFA"/>
    <w:rsid w:val="30D1077D"/>
    <w:rsid w:val="30DC1E90"/>
    <w:rsid w:val="30E1629A"/>
    <w:rsid w:val="30E614B3"/>
    <w:rsid w:val="30E866B1"/>
    <w:rsid w:val="30EC1BB6"/>
    <w:rsid w:val="30F77176"/>
    <w:rsid w:val="30FC7DBE"/>
    <w:rsid w:val="30FE6F4C"/>
    <w:rsid w:val="30FF2174"/>
    <w:rsid w:val="31086245"/>
    <w:rsid w:val="31144EA9"/>
    <w:rsid w:val="311877D9"/>
    <w:rsid w:val="311C37ED"/>
    <w:rsid w:val="31294392"/>
    <w:rsid w:val="3143081A"/>
    <w:rsid w:val="31497FC3"/>
    <w:rsid w:val="314F7A5E"/>
    <w:rsid w:val="316125D2"/>
    <w:rsid w:val="31627837"/>
    <w:rsid w:val="3170633F"/>
    <w:rsid w:val="3175475C"/>
    <w:rsid w:val="31786A37"/>
    <w:rsid w:val="318851EF"/>
    <w:rsid w:val="318922EF"/>
    <w:rsid w:val="318D160B"/>
    <w:rsid w:val="318E4AF1"/>
    <w:rsid w:val="31922D5A"/>
    <w:rsid w:val="31963CAE"/>
    <w:rsid w:val="31970B87"/>
    <w:rsid w:val="3197297A"/>
    <w:rsid w:val="319E14D5"/>
    <w:rsid w:val="31A425A1"/>
    <w:rsid w:val="31A901CE"/>
    <w:rsid w:val="31AA21A0"/>
    <w:rsid w:val="31AE4BE3"/>
    <w:rsid w:val="31C4445C"/>
    <w:rsid w:val="31C50A5D"/>
    <w:rsid w:val="31DE057B"/>
    <w:rsid w:val="31F725E5"/>
    <w:rsid w:val="31FC08BE"/>
    <w:rsid w:val="3201794A"/>
    <w:rsid w:val="32040C49"/>
    <w:rsid w:val="320E467B"/>
    <w:rsid w:val="320F6668"/>
    <w:rsid w:val="321612DC"/>
    <w:rsid w:val="322000A1"/>
    <w:rsid w:val="32256D19"/>
    <w:rsid w:val="323F460D"/>
    <w:rsid w:val="32460BC3"/>
    <w:rsid w:val="324B0001"/>
    <w:rsid w:val="32536802"/>
    <w:rsid w:val="325D27BE"/>
    <w:rsid w:val="326027C2"/>
    <w:rsid w:val="32606961"/>
    <w:rsid w:val="32620B19"/>
    <w:rsid w:val="328A2DDD"/>
    <w:rsid w:val="32A05A24"/>
    <w:rsid w:val="32A772E5"/>
    <w:rsid w:val="32AB7B48"/>
    <w:rsid w:val="32AF7484"/>
    <w:rsid w:val="32B6336C"/>
    <w:rsid w:val="32C04AAF"/>
    <w:rsid w:val="32CD76CA"/>
    <w:rsid w:val="32CE102A"/>
    <w:rsid w:val="32CE74AD"/>
    <w:rsid w:val="32D14BE1"/>
    <w:rsid w:val="32D97C2E"/>
    <w:rsid w:val="32E67870"/>
    <w:rsid w:val="32ED3346"/>
    <w:rsid w:val="32F658C8"/>
    <w:rsid w:val="32FB46DC"/>
    <w:rsid w:val="32FB5A26"/>
    <w:rsid w:val="330234D2"/>
    <w:rsid w:val="33173242"/>
    <w:rsid w:val="33184070"/>
    <w:rsid w:val="33230B9A"/>
    <w:rsid w:val="3326391F"/>
    <w:rsid w:val="33321C6F"/>
    <w:rsid w:val="33370068"/>
    <w:rsid w:val="333C1B52"/>
    <w:rsid w:val="334265B5"/>
    <w:rsid w:val="33455563"/>
    <w:rsid w:val="33507563"/>
    <w:rsid w:val="3351151C"/>
    <w:rsid w:val="335A5E45"/>
    <w:rsid w:val="336045DC"/>
    <w:rsid w:val="336152EE"/>
    <w:rsid w:val="33774EA0"/>
    <w:rsid w:val="33783C05"/>
    <w:rsid w:val="337C388B"/>
    <w:rsid w:val="33813EB8"/>
    <w:rsid w:val="33825CE4"/>
    <w:rsid w:val="33901DD5"/>
    <w:rsid w:val="33921BE9"/>
    <w:rsid w:val="339A1511"/>
    <w:rsid w:val="339C4257"/>
    <w:rsid w:val="339D6D43"/>
    <w:rsid w:val="33BE3DC5"/>
    <w:rsid w:val="33C07BD6"/>
    <w:rsid w:val="33C97372"/>
    <w:rsid w:val="33CC24B3"/>
    <w:rsid w:val="33D60308"/>
    <w:rsid w:val="33DA33AE"/>
    <w:rsid w:val="33DA7660"/>
    <w:rsid w:val="33E47C72"/>
    <w:rsid w:val="33F12BBB"/>
    <w:rsid w:val="33F6450B"/>
    <w:rsid w:val="34011E95"/>
    <w:rsid w:val="34050D08"/>
    <w:rsid w:val="340A4D92"/>
    <w:rsid w:val="3411193A"/>
    <w:rsid w:val="343713CB"/>
    <w:rsid w:val="34377749"/>
    <w:rsid w:val="34440ED8"/>
    <w:rsid w:val="34443AA1"/>
    <w:rsid w:val="34563A83"/>
    <w:rsid w:val="34567DC8"/>
    <w:rsid w:val="34583091"/>
    <w:rsid w:val="345F3CFA"/>
    <w:rsid w:val="3463350D"/>
    <w:rsid w:val="3464693F"/>
    <w:rsid w:val="346C2ECE"/>
    <w:rsid w:val="346D5BC0"/>
    <w:rsid w:val="346E33E4"/>
    <w:rsid w:val="34700E48"/>
    <w:rsid w:val="34764BDC"/>
    <w:rsid w:val="347B1250"/>
    <w:rsid w:val="34842C55"/>
    <w:rsid w:val="3486675B"/>
    <w:rsid w:val="34932D0C"/>
    <w:rsid w:val="3493308B"/>
    <w:rsid w:val="34956314"/>
    <w:rsid w:val="34986566"/>
    <w:rsid w:val="349C298A"/>
    <w:rsid w:val="34A121D5"/>
    <w:rsid w:val="34BB670C"/>
    <w:rsid w:val="34D1267A"/>
    <w:rsid w:val="34D637FB"/>
    <w:rsid w:val="34E47446"/>
    <w:rsid w:val="34EC16C6"/>
    <w:rsid w:val="34EF14C6"/>
    <w:rsid w:val="34F920AF"/>
    <w:rsid w:val="34FC58C9"/>
    <w:rsid w:val="35043A76"/>
    <w:rsid w:val="350E3DA1"/>
    <w:rsid w:val="351172B5"/>
    <w:rsid w:val="3517312C"/>
    <w:rsid w:val="351B693B"/>
    <w:rsid w:val="35294DD0"/>
    <w:rsid w:val="352A4570"/>
    <w:rsid w:val="352E5637"/>
    <w:rsid w:val="353155A9"/>
    <w:rsid w:val="35345063"/>
    <w:rsid w:val="353B0729"/>
    <w:rsid w:val="353C5920"/>
    <w:rsid w:val="353F70C5"/>
    <w:rsid w:val="35413E63"/>
    <w:rsid w:val="354700B8"/>
    <w:rsid w:val="35540A0F"/>
    <w:rsid w:val="35552D6C"/>
    <w:rsid w:val="35565263"/>
    <w:rsid w:val="355D5610"/>
    <w:rsid w:val="357B653D"/>
    <w:rsid w:val="357F2084"/>
    <w:rsid w:val="3587187C"/>
    <w:rsid w:val="359203F0"/>
    <w:rsid w:val="359973D2"/>
    <w:rsid w:val="359B7EF5"/>
    <w:rsid w:val="35A243A4"/>
    <w:rsid w:val="35B71359"/>
    <w:rsid w:val="35B90BBA"/>
    <w:rsid w:val="35BC4336"/>
    <w:rsid w:val="35C36A53"/>
    <w:rsid w:val="35CD16EA"/>
    <w:rsid w:val="35D67791"/>
    <w:rsid w:val="35DE0678"/>
    <w:rsid w:val="35DE1D13"/>
    <w:rsid w:val="35EE3308"/>
    <w:rsid w:val="35F327F3"/>
    <w:rsid w:val="35F46795"/>
    <w:rsid w:val="35FE3499"/>
    <w:rsid w:val="36124F49"/>
    <w:rsid w:val="36153AB3"/>
    <w:rsid w:val="361B559C"/>
    <w:rsid w:val="362250A1"/>
    <w:rsid w:val="362E6768"/>
    <w:rsid w:val="36364631"/>
    <w:rsid w:val="36392F97"/>
    <w:rsid w:val="36404A71"/>
    <w:rsid w:val="3648317F"/>
    <w:rsid w:val="364E4F05"/>
    <w:rsid w:val="364F72B2"/>
    <w:rsid w:val="365A21A3"/>
    <w:rsid w:val="365A6BA5"/>
    <w:rsid w:val="365B2810"/>
    <w:rsid w:val="36636E94"/>
    <w:rsid w:val="3674631B"/>
    <w:rsid w:val="367D3322"/>
    <w:rsid w:val="368959F8"/>
    <w:rsid w:val="368E6D77"/>
    <w:rsid w:val="369F7589"/>
    <w:rsid w:val="36B12D00"/>
    <w:rsid w:val="36B82C70"/>
    <w:rsid w:val="36BB7CD1"/>
    <w:rsid w:val="36C72E4F"/>
    <w:rsid w:val="36CB1558"/>
    <w:rsid w:val="36E53148"/>
    <w:rsid w:val="36E82476"/>
    <w:rsid w:val="36ED6AEE"/>
    <w:rsid w:val="36EE50B2"/>
    <w:rsid w:val="36F77830"/>
    <w:rsid w:val="370513AD"/>
    <w:rsid w:val="37086EEE"/>
    <w:rsid w:val="370B3267"/>
    <w:rsid w:val="371663FC"/>
    <w:rsid w:val="371F1958"/>
    <w:rsid w:val="37237537"/>
    <w:rsid w:val="372A5967"/>
    <w:rsid w:val="37304393"/>
    <w:rsid w:val="373B51FC"/>
    <w:rsid w:val="373B6F74"/>
    <w:rsid w:val="37432131"/>
    <w:rsid w:val="3765378E"/>
    <w:rsid w:val="3765381A"/>
    <w:rsid w:val="37654A4E"/>
    <w:rsid w:val="376852BA"/>
    <w:rsid w:val="376A2147"/>
    <w:rsid w:val="376C4717"/>
    <w:rsid w:val="37795617"/>
    <w:rsid w:val="377F77B8"/>
    <w:rsid w:val="378C1049"/>
    <w:rsid w:val="378E7386"/>
    <w:rsid w:val="37941E50"/>
    <w:rsid w:val="3797525B"/>
    <w:rsid w:val="379C59C5"/>
    <w:rsid w:val="379E5E15"/>
    <w:rsid w:val="37A018E5"/>
    <w:rsid w:val="37A15043"/>
    <w:rsid w:val="37AD1ACF"/>
    <w:rsid w:val="37AD7231"/>
    <w:rsid w:val="37AD7F0E"/>
    <w:rsid w:val="37B00514"/>
    <w:rsid w:val="37B40EE8"/>
    <w:rsid w:val="37BC7DC8"/>
    <w:rsid w:val="37C844E2"/>
    <w:rsid w:val="37C87E9E"/>
    <w:rsid w:val="37D4065F"/>
    <w:rsid w:val="37D557EF"/>
    <w:rsid w:val="37DF3778"/>
    <w:rsid w:val="37DF678A"/>
    <w:rsid w:val="37EB6A00"/>
    <w:rsid w:val="37F24240"/>
    <w:rsid w:val="37F32031"/>
    <w:rsid w:val="37F56DAC"/>
    <w:rsid w:val="37F9274A"/>
    <w:rsid w:val="380A4890"/>
    <w:rsid w:val="38245017"/>
    <w:rsid w:val="3827464F"/>
    <w:rsid w:val="384D65EE"/>
    <w:rsid w:val="38531D4A"/>
    <w:rsid w:val="385655B5"/>
    <w:rsid w:val="385A175C"/>
    <w:rsid w:val="3860520E"/>
    <w:rsid w:val="386B3560"/>
    <w:rsid w:val="387322C9"/>
    <w:rsid w:val="38893EC2"/>
    <w:rsid w:val="388A5851"/>
    <w:rsid w:val="388D1BD5"/>
    <w:rsid w:val="38913BE1"/>
    <w:rsid w:val="38972B84"/>
    <w:rsid w:val="38973A48"/>
    <w:rsid w:val="38A03A3D"/>
    <w:rsid w:val="38A6379E"/>
    <w:rsid w:val="38A928D3"/>
    <w:rsid w:val="38B027BE"/>
    <w:rsid w:val="38BE1C2C"/>
    <w:rsid w:val="38D14215"/>
    <w:rsid w:val="38D53F9A"/>
    <w:rsid w:val="390718CA"/>
    <w:rsid w:val="39073C73"/>
    <w:rsid w:val="390B6505"/>
    <w:rsid w:val="39166B30"/>
    <w:rsid w:val="39166F18"/>
    <w:rsid w:val="391A2A56"/>
    <w:rsid w:val="391F6359"/>
    <w:rsid w:val="39230871"/>
    <w:rsid w:val="39280A0C"/>
    <w:rsid w:val="39284A40"/>
    <w:rsid w:val="39315BF4"/>
    <w:rsid w:val="3935252F"/>
    <w:rsid w:val="3945176D"/>
    <w:rsid w:val="39466EB8"/>
    <w:rsid w:val="394B04C4"/>
    <w:rsid w:val="394F7E0D"/>
    <w:rsid w:val="395864A4"/>
    <w:rsid w:val="395C02F5"/>
    <w:rsid w:val="39616F1E"/>
    <w:rsid w:val="396269CE"/>
    <w:rsid w:val="3965037B"/>
    <w:rsid w:val="396563B4"/>
    <w:rsid w:val="396B5362"/>
    <w:rsid w:val="39737B1C"/>
    <w:rsid w:val="3978479F"/>
    <w:rsid w:val="397A120B"/>
    <w:rsid w:val="397A245B"/>
    <w:rsid w:val="397B4956"/>
    <w:rsid w:val="39814E61"/>
    <w:rsid w:val="39847C5B"/>
    <w:rsid w:val="39900855"/>
    <w:rsid w:val="399944DD"/>
    <w:rsid w:val="39A80D50"/>
    <w:rsid w:val="39AD7DFC"/>
    <w:rsid w:val="39B52BC4"/>
    <w:rsid w:val="39C5675B"/>
    <w:rsid w:val="39C76C02"/>
    <w:rsid w:val="39C802FB"/>
    <w:rsid w:val="39D606BE"/>
    <w:rsid w:val="39D86DD0"/>
    <w:rsid w:val="39E05C04"/>
    <w:rsid w:val="39EF608A"/>
    <w:rsid w:val="39F23EAD"/>
    <w:rsid w:val="39F27B99"/>
    <w:rsid w:val="3A1307A7"/>
    <w:rsid w:val="3A17552C"/>
    <w:rsid w:val="3A212A4D"/>
    <w:rsid w:val="3A2F25CA"/>
    <w:rsid w:val="3A302362"/>
    <w:rsid w:val="3A390F9E"/>
    <w:rsid w:val="3A531803"/>
    <w:rsid w:val="3A5340D4"/>
    <w:rsid w:val="3A547075"/>
    <w:rsid w:val="3A5A7AB6"/>
    <w:rsid w:val="3A5D52C4"/>
    <w:rsid w:val="3A6117A6"/>
    <w:rsid w:val="3A630C0A"/>
    <w:rsid w:val="3A655F09"/>
    <w:rsid w:val="3A6B61D4"/>
    <w:rsid w:val="3A70368F"/>
    <w:rsid w:val="3A735C1B"/>
    <w:rsid w:val="3A7B1994"/>
    <w:rsid w:val="3A9E0FA5"/>
    <w:rsid w:val="3AA12B20"/>
    <w:rsid w:val="3AA51A62"/>
    <w:rsid w:val="3AA91B25"/>
    <w:rsid w:val="3AB07721"/>
    <w:rsid w:val="3ABE5E15"/>
    <w:rsid w:val="3AC041EC"/>
    <w:rsid w:val="3ADC5BB0"/>
    <w:rsid w:val="3AE66A08"/>
    <w:rsid w:val="3AE8049F"/>
    <w:rsid w:val="3AED4C65"/>
    <w:rsid w:val="3AF1335A"/>
    <w:rsid w:val="3AFF2315"/>
    <w:rsid w:val="3B001A3E"/>
    <w:rsid w:val="3B0657B7"/>
    <w:rsid w:val="3B0751E3"/>
    <w:rsid w:val="3B1642B5"/>
    <w:rsid w:val="3B164D1D"/>
    <w:rsid w:val="3B1A734C"/>
    <w:rsid w:val="3B275803"/>
    <w:rsid w:val="3B2D7583"/>
    <w:rsid w:val="3B3804F3"/>
    <w:rsid w:val="3B3A5EEC"/>
    <w:rsid w:val="3B3D643C"/>
    <w:rsid w:val="3B4164C8"/>
    <w:rsid w:val="3B490E2E"/>
    <w:rsid w:val="3B5D27FB"/>
    <w:rsid w:val="3B681A13"/>
    <w:rsid w:val="3B685B2E"/>
    <w:rsid w:val="3B6F67B6"/>
    <w:rsid w:val="3B7258AB"/>
    <w:rsid w:val="3B77778B"/>
    <w:rsid w:val="3B7834CB"/>
    <w:rsid w:val="3B786114"/>
    <w:rsid w:val="3B7869FF"/>
    <w:rsid w:val="3B856483"/>
    <w:rsid w:val="3B8729B8"/>
    <w:rsid w:val="3B877055"/>
    <w:rsid w:val="3B933C52"/>
    <w:rsid w:val="3B996225"/>
    <w:rsid w:val="3BAB2F6D"/>
    <w:rsid w:val="3BAF52A1"/>
    <w:rsid w:val="3BB23535"/>
    <w:rsid w:val="3BBA0E92"/>
    <w:rsid w:val="3BC27B29"/>
    <w:rsid w:val="3BC47213"/>
    <w:rsid w:val="3BCD0350"/>
    <w:rsid w:val="3BD843B4"/>
    <w:rsid w:val="3BDB0D00"/>
    <w:rsid w:val="3BEC285C"/>
    <w:rsid w:val="3BED1B91"/>
    <w:rsid w:val="3BEE3775"/>
    <w:rsid w:val="3BF37D08"/>
    <w:rsid w:val="3BF44962"/>
    <w:rsid w:val="3BFD3650"/>
    <w:rsid w:val="3C00117D"/>
    <w:rsid w:val="3C004EE4"/>
    <w:rsid w:val="3C036261"/>
    <w:rsid w:val="3C0C65A8"/>
    <w:rsid w:val="3C0D7FA1"/>
    <w:rsid w:val="3C0E2002"/>
    <w:rsid w:val="3C1F326E"/>
    <w:rsid w:val="3C213D0A"/>
    <w:rsid w:val="3C4B2210"/>
    <w:rsid w:val="3C4C1ED4"/>
    <w:rsid w:val="3C4E74E9"/>
    <w:rsid w:val="3C4F79CD"/>
    <w:rsid w:val="3C50193C"/>
    <w:rsid w:val="3C5458DC"/>
    <w:rsid w:val="3C5B2CF3"/>
    <w:rsid w:val="3C657678"/>
    <w:rsid w:val="3C71210A"/>
    <w:rsid w:val="3C7A7213"/>
    <w:rsid w:val="3C87082B"/>
    <w:rsid w:val="3C8D7634"/>
    <w:rsid w:val="3C956430"/>
    <w:rsid w:val="3CA83BFC"/>
    <w:rsid w:val="3CB066EF"/>
    <w:rsid w:val="3CB3694D"/>
    <w:rsid w:val="3CB3743E"/>
    <w:rsid w:val="3CB4670E"/>
    <w:rsid w:val="3CB902B7"/>
    <w:rsid w:val="3CD44E83"/>
    <w:rsid w:val="3CD57400"/>
    <w:rsid w:val="3CDC0730"/>
    <w:rsid w:val="3CDE5D57"/>
    <w:rsid w:val="3CDE7646"/>
    <w:rsid w:val="3CE042C7"/>
    <w:rsid w:val="3CE54D6D"/>
    <w:rsid w:val="3CF04A82"/>
    <w:rsid w:val="3CF63F40"/>
    <w:rsid w:val="3D0F25DF"/>
    <w:rsid w:val="3D1147EA"/>
    <w:rsid w:val="3D147802"/>
    <w:rsid w:val="3D156E49"/>
    <w:rsid w:val="3D16521C"/>
    <w:rsid w:val="3D1A0772"/>
    <w:rsid w:val="3D2612D3"/>
    <w:rsid w:val="3D2A2494"/>
    <w:rsid w:val="3D2D177B"/>
    <w:rsid w:val="3D394A1A"/>
    <w:rsid w:val="3D3A7AEF"/>
    <w:rsid w:val="3D423F4D"/>
    <w:rsid w:val="3D521D6C"/>
    <w:rsid w:val="3D53344B"/>
    <w:rsid w:val="3D580ACD"/>
    <w:rsid w:val="3D5F180F"/>
    <w:rsid w:val="3D74760B"/>
    <w:rsid w:val="3D776C5D"/>
    <w:rsid w:val="3D784784"/>
    <w:rsid w:val="3D7B7ED9"/>
    <w:rsid w:val="3D856E93"/>
    <w:rsid w:val="3D856F0B"/>
    <w:rsid w:val="3D936607"/>
    <w:rsid w:val="3D960C57"/>
    <w:rsid w:val="3D9A1715"/>
    <w:rsid w:val="3DAD1455"/>
    <w:rsid w:val="3DAE37B9"/>
    <w:rsid w:val="3DCC6C82"/>
    <w:rsid w:val="3DCE6662"/>
    <w:rsid w:val="3DE60B04"/>
    <w:rsid w:val="3DF371B6"/>
    <w:rsid w:val="3DFC41D6"/>
    <w:rsid w:val="3E0D509F"/>
    <w:rsid w:val="3E0F20C0"/>
    <w:rsid w:val="3E1756F8"/>
    <w:rsid w:val="3E195800"/>
    <w:rsid w:val="3E1B5CDB"/>
    <w:rsid w:val="3E201FA0"/>
    <w:rsid w:val="3E244E9F"/>
    <w:rsid w:val="3E253506"/>
    <w:rsid w:val="3E281328"/>
    <w:rsid w:val="3E2A2A23"/>
    <w:rsid w:val="3E2B6CC8"/>
    <w:rsid w:val="3E3434C5"/>
    <w:rsid w:val="3E3A13DE"/>
    <w:rsid w:val="3E44771F"/>
    <w:rsid w:val="3E4E3053"/>
    <w:rsid w:val="3E4F2FB8"/>
    <w:rsid w:val="3E5B5394"/>
    <w:rsid w:val="3E642466"/>
    <w:rsid w:val="3E70258B"/>
    <w:rsid w:val="3E704F10"/>
    <w:rsid w:val="3E7717BC"/>
    <w:rsid w:val="3E7A5E1B"/>
    <w:rsid w:val="3E8A49EA"/>
    <w:rsid w:val="3E9F0352"/>
    <w:rsid w:val="3EAA13E1"/>
    <w:rsid w:val="3EB13696"/>
    <w:rsid w:val="3EB25ED1"/>
    <w:rsid w:val="3EBF6679"/>
    <w:rsid w:val="3EC733D4"/>
    <w:rsid w:val="3ECB7902"/>
    <w:rsid w:val="3ECD42C5"/>
    <w:rsid w:val="3ED93C86"/>
    <w:rsid w:val="3EE1462B"/>
    <w:rsid w:val="3EE34E75"/>
    <w:rsid w:val="3EE40073"/>
    <w:rsid w:val="3EE8125B"/>
    <w:rsid w:val="3EEA19DC"/>
    <w:rsid w:val="3EED5E1A"/>
    <w:rsid w:val="3EF264DD"/>
    <w:rsid w:val="3EF850CB"/>
    <w:rsid w:val="3EFB5B3F"/>
    <w:rsid w:val="3EFD1BC3"/>
    <w:rsid w:val="3F051D4B"/>
    <w:rsid w:val="3F206AAB"/>
    <w:rsid w:val="3F2D2895"/>
    <w:rsid w:val="3F2E6D96"/>
    <w:rsid w:val="3F303E1B"/>
    <w:rsid w:val="3F3A79AD"/>
    <w:rsid w:val="3F3E1064"/>
    <w:rsid w:val="3F430068"/>
    <w:rsid w:val="3F4E079D"/>
    <w:rsid w:val="3F4F2B44"/>
    <w:rsid w:val="3F5A7ACA"/>
    <w:rsid w:val="3F5B7183"/>
    <w:rsid w:val="3F621EB9"/>
    <w:rsid w:val="3F640AE8"/>
    <w:rsid w:val="3F755351"/>
    <w:rsid w:val="3F820B89"/>
    <w:rsid w:val="3F830171"/>
    <w:rsid w:val="3F8C0A31"/>
    <w:rsid w:val="3F8C5296"/>
    <w:rsid w:val="3F994319"/>
    <w:rsid w:val="3F9C78C0"/>
    <w:rsid w:val="3F9E28D1"/>
    <w:rsid w:val="3F9E718E"/>
    <w:rsid w:val="3FA571C2"/>
    <w:rsid w:val="3FA95A54"/>
    <w:rsid w:val="3FAD6DB7"/>
    <w:rsid w:val="3FB470CB"/>
    <w:rsid w:val="3FB71B87"/>
    <w:rsid w:val="3FC227A9"/>
    <w:rsid w:val="3FC6171E"/>
    <w:rsid w:val="3FD362EA"/>
    <w:rsid w:val="3FD518B9"/>
    <w:rsid w:val="3FDF1C02"/>
    <w:rsid w:val="3FE57A0E"/>
    <w:rsid w:val="3FE77FCC"/>
    <w:rsid w:val="3FEB6F74"/>
    <w:rsid w:val="3FEC0EAC"/>
    <w:rsid w:val="3FED3988"/>
    <w:rsid w:val="3FEF0B0A"/>
    <w:rsid w:val="3FF2704A"/>
    <w:rsid w:val="3FF64A1F"/>
    <w:rsid w:val="400950BF"/>
    <w:rsid w:val="40175CCB"/>
    <w:rsid w:val="402E06FB"/>
    <w:rsid w:val="40315CA9"/>
    <w:rsid w:val="40346D2A"/>
    <w:rsid w:val="403B4E5E"/>
    <w:rsid w:val="404A069C"/>
    <w:rsid w:val="404C50C3"/>
    <w:rsid w:val="405157CF"/>
    <w:rsid w:val="40605517"/>
    <w:rsid w:val="407749E4"/>
    <w:rsid w:val="4082095E"/>
    <w:rsid w:val="4091302B"/>
    <w:rsid w:val="40986F66"/>
    <w:rsid w:val="409904A3"/>
    <w:rsid w:val="409D6379"/>
    <w:rsid w:val="40A9205A"/>
    <w:rsid w:val="40AC2690"/>
    <w:rsid w:val="40AC5123"/>
    <w:rsid w:val="40AD4C41"/>
    <w:rsid w:val="40D41092"/>
    <w:rsid w:val="40D53FB9"/>
    <w:rsid w:val="40DA65F1"/>
    <w:rsid w:val="40DE4884"/>
    <w:rsid w:val="40E05CDE"/>
    <w:rsid w:val="40E43336"/>
    <w:rsid w:val="40F25388"/>
    <w:rsid w:val="40F44C46"/>
    <w:rsid w:val="40F90DEC"/>
    <w:rsid w:val="40F9559E"/>
    <w:rsid w:val="40FB7195"/>
    <w:rsid w:val="41000BDE"/>
    <w:rsid w:val="410360CE"/>
    <w:rsid w:val="410B43E1"/>
    <w:rsid w:val="410B5578"/>
    <w:rsid w:val="412A331F"/>
    <w:rsid w:val="412F4E4E"/>
    <w:rsid w:val="41344558"/>
    <w:rsid w:val="41346290"/>
    <w:rsid w:val="41392C92"/>
    <w:rsid w:val="414230B9"/>
    <w:rsid w:val="41510D78"/>
    <w:rsid w:val="415C7620"/>
    <w:rsid w:val="416C4E75"/>
    <w:rsid w:val="416E456F"/>
    <w:rsid w:val="418046CA"/>
    <w:rsid w:val="4184612C"/>
    <w:rsid w:val="4186523D"/>
    <w:rsid w:val="41884AF2"/>
    <w:rsid w:val="41941563"/>
    <w:rsid w:val="41976916"/>
    <w:rsid w:val="419A1D11"/>
    <w:rsid w:val="419D16EC"/>
    <w:rsid w:val="41A2767E"/>
    <w:rsid w:val="41A52BB3"/>
    <w:rsid w:val="41AC216D"/>
    <w:rsid w:val="41B124C0"/>
    <w:rsid w:val="41BC415B"/>
    <w:rsid w:val="41C13F1B"/>
    <w:rsid w:val="41C65D8A"/>
    <w:rsid w:val="41C8009A"/>
    <w:rsid w:val="41D07867"/>
    <w:rsid w:val="41E22A4A"/>
    <w:rsid w:val="41ED17C2"/>
    <w:rsid w:val="41FB66F9"/>
    <w:rsid w:val="41FC457F"/>
    <w:rsid w:val="41FD35C7"/>
    <w:rsid w:val="42127DF6"/>
    <w:rsid w:val="421B792F"/>
    <w:rsid w:val="42256678"/>
    <w:rsid w:val="422E57E9"/>
    <w:rsid w:val="424A5D35"/>
    <w:rsid w:val="42557114"/>
    <w:rsid w:val="425C2743"/>
    <w:rsid w:val="425C416B"/>
    <w:rsid w:val="42614D6A"/>
    <w:rsid w:val="4263664B"/>
    <w:rsid w:val="42671AB9"/>
    <w:rsid w:val="426C420E"/>
    <w:rsid w:val="426E40EA"/>
    <w:rsid w:val="427D21C4"/>
    <w:rsid w:val="429B77E6"/>
    <w:rsid w:val="42A4599A"/>
    <w:rsid w:val="42A57D0B"/>
    <w:rsid w:val="42AA659C"/>
    <w:rsid w:val="42AE324E"/>
    <w:rsid w:val="42B03855"/>
    <w:rsid w:val="42C11346"/>
    <w:rsid w:val="42C904CE"/>
    <w:rsid w:val="42D67ABB"/>
    <w:rsid w:val="42DA6024"/>
    <w:rsid w:val="42E47317"/>
    <w:rsid w:val="42E630FB"/>
    <w:rsid w:val="42E84E35"/>
    <w:rsid w:val="42EA13A5"/>
    <w:rsid w:val="42EA704D"/>
    <w:rsid w:val="42EF360E"/>
    <w:rsid w:val="430314CF"/>
    <w:rsid w:val="430B6B9A"/>
    <w:rsid w:val="431953B3"/>
    <w:rsid w:val="432637EA"/>
    <w:rsid w:val="43351952"/>
    <w:rsid w:val="43370C04"/>
    <w:rsid w:val="43375BA7"/>
    <w:rsid w:val="434427EA"/>
    <w:rsid w:val="43453A19"/>
    <w:rsid w:val="435214C1"/>
    <w:rsid w:val="4353378A"/>
    <w:rsid w:val="4354244D"/>
    <w:rsid w:val="43542C80"/>
    <w:rsid w:val="435625E8"/>
    <w:rsid w:val="435C58E0"/>
    <w:rsid w:val="436034E2"/>
    <w:rsid w:val="43644244"/>
    <w:rsid w:val="436C54F6"/>
    <w:rsid w:val="436D0648"/>
    <w:rsid w:val="437B4857"/>
    <w:rsid w:val="438356B7"/>
    <w:rsid w:val="438B301F"/>
    <w:rsid w:val="438B3E03"/>
    <w:rsid w:val="438D6722"/>
    <w:rsid w:val="4390494E"/>
    <w:rsid w:val="439B4019"/>
    <w:rsid w:val="439D6612"/>
    <w:rsid w:val="43A55085"/>
    <w:rsid w:val="43A6033F"/>
    <w:rsid w:val="43A61F7A"/>
    <w:rsid w:val="43AD69BC"/>
    <w:rsid w:val="43AE2764"/>
    <w:rsid w:val="43B03C70"/>
    <w:rsid w:val="43BE3634"/>
    <w:rsid w:val="43D15564"/>
    <w:rsid w:val="43D550D7"/>
    <w:rsid w:val="43EB7568"/>
    <w:rsid w:val="43EE53A2"/>
    <w:rsid w:val="44094F80"/>
    <w:rsid w:val="44171202"/>
    <w:rsid w:val="441F530D"/>
    <w:rsid w:val="441F7F90"/>
    <w:rsid w:val="44244FD6"/>
    <w:rsid w:val="443833B4"/>
    <w:rsid w:val="44405ACC"/>
    <w:rsid w:val="44591249"/>
    <w:rsid w:val="445B40BE"/>
    <w:rsid w:val="445E6BD0"/>
    <w:rsid w:val="44663394"/>
    <w:rsid w:val="44663423"/>
    <w:rsid w:val="446B6EEC"/>
    <w:rsid w:val="4471576B"/>
    <w:rsid w:val="447278F5"/>
    <w:rsid w:val="447D4393"/>
    <w:rsid w:val="448624BA"/>
    <w:rsid w:val="44887818"/>
    <w:rsid w:val="448B40C8"/>
    <w:rsid w:val="44944949"/>
    <w:rsid w:val="44A55B57"/>
    <w:rsid w:val="44A71CAD"/>
    <w:rsid w:val="44AA1C93"/>
    <w:rsid w:val="44AC68CB"/>
    <w:rsid w:val="44AF5097"/>
    <w:rsid w:val="44B6211A"/>
    <w:rsid w:val="44C0653F"/>
    <w:rsid w:val="44DE0CEC"/>
    <w:rsid w:val="44DF6CB9"/>
    <w:rsid w:val="44E52EA9"/>
    <w:rsid w:val="44E85BAA"/>
    <w:rsid w:val="44EC715D"/>
    <w:rsid w:val="44F6143F"/>
    <w:rsid w:val="45020AAE"/>
    <w:rsid w:val="4504671C"/>
    <w:rsid w:val="450478FC"/>
    <w:rsid w:val="45074568"/>
    <w:rsid w:val="4507498C"/>
    <w:rsid w:val="451E1233"/>
    <w:rsid w:val="45200146"/>
    <w:rsid w:val="452B5773"/>
    <w:rsid w:val="45420C2E"/>
    <w:rsid w:val="454650E0"/>
    <w:rsid w:val="45492A59"/>
    <w:rsid w:val="455036F0"/>
    <w:rsid w:val="456226AD"/>
    <w:rsid w:val="45672E0B"/>
    <w:rsid w:val="456E1255"/>
    <w:rsid w:val="456E7236"/>
    <w:rsid w:val="45731020"/>
    <w:rsid w:val="457556F4"/>
    <w:rsid w:val="45885E9B"/>
    <w:rsid w:val="45964C27"/>
    <w:rsid w:val="459904DE"/>
    <w:rsid w:val="459B2BDE"/>
    <w:rsid w:val="459C0F60"/>
    <w:rsid w:val="459E73F8"/>
    <w:rsid w:val="45B93417"/>
    <w:rsid w:val="45BC69F6"/>
    <w:rsid w:val="45C028E0"/>
    <w:rsid w:val="45C21917"/>
    <w:rsid w:val="45CD456D"/>
    <w:rsid w:val="45CD761B"/>
    <w:rsid w:val="45D671E5"/>
    <w:rsid w:val="45D731D0"/>
    <w:rsid w:val="45D861B2"/>
    <w:rsid w:val="45E11409"/>
    <w:rsid w:val="45E531AC"/>
    <w:rsid w:val="45EB5FCA"/>
    <w:rsid w:val="45F60023"/>
    <w:rsid w:val="45F709DF"/>
    <w:rsid w:val="45FD000D"/>
    <w:rsid w:val="46007015"/>
    <w:rsid w:val="460217D2"/>
    <w:rsid w:val="46022069"/>
    <w:rsid w:val="46156224"/>
    <w:rsid w:val="46267333"/>
    <w:rsid w:val="4633722E"/>
    <w:rsid w:val="46350A86"/>
    <w:rsid w:val="463538F5"/>
    <w:rsid w:val="463A065B"/>
    <w:rsid w:val="46416FB5"/>
    <w:rsid w:val="46446CB8"/>
    <w:rsid w:val="464A57F4"/>
    <w:rsid w:val="465C100F"/>
    <w:rsid w:val="46657B28"/>
    <w:rsid w:val="46662AA6"/>
    <w:rsid w:val="46696F3E"/>
    <w:rsid w:val="466F6B12"/>
    <w:rsid w:val="46717EDC"/>
    <w:rsid w:val="46746583"/>
    <w:rsid w:val="46760F28"/>
    <w:rsid w:val="46763BDC"/>
    <w:rsid w:val="46790E8C"/>
    <w:rsid w:val="46874314"/>
    <w:rsid w:val="468B5454"/>
    <w:rsid w:val="4690007C"/>
    <w:rsid w:val="46AB06C9"/>
    <w:rsid w:val="46BC0A68"/>
    <w:rsid w:val="46BD54C1"/>
    <w:rsid w:val="46C6205B"/>
    <w:rsid w:val="46CE2594"/>
    <w:rsid w:val="46D61893"/>
    <w:rsid w:val="46D6477A"/>
    <w:rsid w:val="46D8102D"/>
    <w:rsid w:val="46E0456F"/>
    <w:rsid w:val="46EF0780"/>
    <w:rsid w:val="46F34B83"/>
    <w:rsid w:val="46F54C2F"/>
    <w:rsid w:val="46F57FF7"/>
    <w:rsid w:val="46FE100F"/>
    <w:rsid w:val="47071F85"/>
    <w:rsid w:val="470C6E14"/>
    <w:rsid w:val="470D5E07"/>
    <w:rsid w:val="47164BA6"/>
    <w:rsid w:val="471D50FE"/>
    <w:rsid w:val="472A5466"/>
    <w:rsid w:val="473268A5"/>
    <w:rsid w:val="473661A0"/>
    <w:rsid w:val="47391138"/>
    <w:rsid w:val="474F3082"/>
    <w:rsid w:val="47583B74"/>
    <w:rsid w:val="475C251C"/>
    <w:rsid w:val="47600C98"/>
    <w:rsid w:val="47614E85"/>
    <w:rsid w:val="47687035"/>
    <w:rsid w:val="476D5526"/>
    <w:rsid w:val="47713BE5"/>
    <w:rsid w:val="477D1D6F"/>
    <w:rsid w:val="47846B03"/>
    <w:rsid w:val="478F4B82"/>
    <w:rsid w:val="4799525C"/>
    <w:rsid w:val="47A26764"/>
    <w:rsid w:val="47A460E4"/>
    <w:rsid w:val="47B0732A"/>
    <w:rsid w:val="47B6740B"/>
    <w:rsid w:val="47BA50BF"/>
    <w:rsid w:val="47C14C1D"/>
    <w:rsid w:val="47C25538"/>
    <w:rsid w:val="47D3466B"/>
    <w:rsid w:val="47DB5641"/>
    <w:rsid w:val="47DD7D7D"/>
    <w:rsid w:val="47ED6881"/>
    <w:rsid w:val="47F867A9"/>
    <w:rsid w:val="480C105A"/>
    <w:rsid w:val="481B5AAF"/>
    <w:rsid w:val="48274147"/>
    <w:rsid w:val="48315480"/>
    <w:rsid w:val="48350DAE"/>
    <w:rsid w:val="48374E45"/>
    <w:rsid w:val="4848163E"/>
    <w:rsid w:val="48494DD4"/>
    <w:rsid w:val="484B0E17"/>
    <w:rsid w:val="485054B5"/>
    <w:rsid w:val="485A0EE6"/>
    <w:rsid w:val="485E7F05"/>
    <w:rsid w:val="4864420F"/>
    <w:rsid w:val="486473EC"/>
    <w:rsid w:val="4869092D"/>
    <w:rsid w:val="486A5DE8"/>
    <w:rsid w:val="486D1D04"/>
    <w:rsid w:val="48762228"/>
    <w:rsid w:val="48790C30"/>
    <w:rsid w:val="487A0710"/>
    <w:rsid w:val="48983E14"/>
    <w:rsid w:val="48A20E00"/>
    <w:rsid w:val="48A24E9B"/>
    <w:rsid w:val="48AA64A3"/>
    <w:rsid w:val="48B17F06"/>
    <w:rsid w:val="48B57923"/>
    <w:rsid w:val="48BD26F5"/>
    <w:rsid w:val="48BD6A52"/>
    <w:rsid w:val="48D74070"/>
    <w:rsid w:val="48D80BC8"/>
    <w:rsid w:val="48D86D81"/>
    <w:rsid w:val="4907163E"/>
    <w:rsid w:val="49140661"/>
    <w:rsid w:val="491434F3"/>
    <w:rsid w:val="49254777"/>
    <w:rsid w:val="49361C47"/>
    <w:rsid w:val="494549A1"/>
    <w:rsid w:val="49462AD4"/>
    <w:rsid w:val="494C3E10"/>
    <w:rsid w:val="49682C0D"/>
    <w:rsid w:val="496A1EA8"/>
    <w:rsid w:val="496E59F2"/>
    <w:rsid w:val="497D1202"/>
    <w:rsid w:val="498F7665"/>
    <w:rsid w:val="49930A50"/>
    <w:rsid w:val="49A03FC6"/>
    <w:rsid w:val="49AA5C9D"/>
    <w:rsid w:val="49B9473E"/>
    <w:rsid w:val="49BE0556"/>
    <w:rsid w:val="49BE5225"/>
    <w:rsid w:val="49CA345B"/>
    <w:rsid w:val="49D445BC"/>
    <w:rsid w:val="49D73A67"/>
    <w:rsid w:val="49D90311"/>
    <w:rsid w:val="49DD0B47"/>
    <w:rsid w:val="49DE1728"/>
    <w:rsid w:val="49DE435C"/>
    <w:rsid w:val="49E80F17"/>
    <w:rsid w:val="49EB47E4"/>
    <w:rsid w:val="49EB6D6F"/>
    <w:rsid w:val="49F46593"/>
    <w:rsid w:val="49F6401E"/>
    <w:rsid w:val="49FB7BFD"/>
    <w:rsid w:val="4A01420B"/>
    <w:rsid w:val="4A073897"/>
    <w:rsid w:val="4A0C06B4"/>
    <w:rsid w:val="4A106D76"/>
    <w:rsid w:val="4A1C56BB"/>
    <w:rsid w:val="4A1E0132"/>
    <w:rsid w:val="4A3C0F14"/>
    <w:rsid w:val="4A526A96"/>
    <w:rsid w:val="4A591F7E"/>
    <w:rsid w:val="4A5A46B2"/>
    <w:rsid w:val="4A5F6A1F"/>
    <w:rsid w:val="4A614D77"/>
    <w:rsid w:val="4A62016F"/>
    <w:rsid w:val="4A6C04F4"/>
    <w:rsid w:val="4A7A6C1E"/>
    <w:rsid w:val="4A853A38"/>
    <w:rsid w:val="4A8B25C5"/>
    <w:rsid w:val="4A8F1F31"/>
    <w:rsid w:val="4A97036C"/>
    <w:rsid w:val="4AA14C35"/>
    <w:rsid w:val="4AA84770"/>
    <w:rsid w:val="4AAC250C"/>
    <w:rsid w:val="4AAF695B"/>
    <w:rsid w:val="4AB018F6"/>
    <w:rsid w:val="4AB138B9"/>
    <w:rsid w:val="4ABA716C"/>
    <w:rsid w:val="4ABF7B3F"/>
    <w:rsid w:val="4ACE7621"/>
    <w:rsid w:val="4AD04899"/>
    <w:rsid w:val="4AD06F1D"/>
    <w:rsid w:val="4AD26565"/>
    <w:rsid w:val="4ADC57CC"/>
    <w:rsid w:val="4AE53FEB"/>
    <w:rsid w:val="4AE97AF9"/>
    <w:rsid w:val="4B0A5FFA"/>
    <w:rsid w:val="4B0F402D"/>
    <w:rsid w:val="4B110941"/>
    <w:rsid w:val="4B111C11"/>
    <w:rsid w:val="4B151810"/>
    <w:rsid w:val="4B152D3D"/>
    <w:rsid w:val="4B173E06"/>
    <w:rsid w:val="4B186658"/>
    <w:rsid w:val="4B293029"/>
    <w:rsid w:val="4B3B0FA5"/>
    <w:rsid w:val="4B4A4525"/>
    <w:rsid w:val="4B514DA6"/>
    <w:rsid w:val="4B521A4D"/>
    <w:rsid w:val="4B5D3F83"/>
    <w:rsid w:val="4B62105D"/>
    <w:rsid w:val="4B642FA9"/>
    <w:rsid w:val="4B6C070F"/>
    <w:rsid w:val="4B807347"/>
    <w:rsid w:val="4B87084D"/>
    <w:rsid w:val="4B8C1752"/>
    <w:rsid w:val="4B8E3E39"/>
    <w:rsid w:val="4B941275"/>
    <w:rsid w:val="4B9B116A"/>
    <w:rsid w:val="4BA82894"/>
    <w:rsid w:val="4BAD5C2F"/>
    <w:rsid w:val="4BBB3555"/>
    <w:rsid w:val="4BC30FBF"/>
    <w:rsid w:val="4BC77375"/>
    <w:rsid w:val="4BCE4281"/>
    <w:rsid w:val="4BD767EC"/>
    <w:rsid w:val="4BE428BC"/>
    <w:rsid w:val="4BF80EA7"/>
    <w:rsid w:val="4BFE4145"/>
    <w:rsid w:val="4C010C2A"/>
    <w:rsid w:val="4C083176"/>
    <w:rsid w:val="4C0B15E8"/>
    <w:rsid w:val="4C0D7E7C"/>
    <w:rsid w:val="4C0E1ADC"/>
    <w:rsid w:val="4C1106B1"/>
    <w:rsid w:val="4C1846A8"/>
    <w:rsid w:val="4C1B2D0C"/>
    <w:rsid w:val="4C1B64AF"/>
    <w:rsid w:val="4C1F0832"/>
    <w:rsid w:val="4C234973"/>
    <w:rsid w:val="4C2B2FE3"/>
    <w:rsid w:val="4C3971B0"/>
    <w:rsid w:val="4C3B0E4F"/>
    <w:rsid w:val="4C4275C6"/>
    <w:rsid w:val="4C4E25B8"/>
    <w:rsid w:val="4C604D5B"/>
    <w:rsid w:val="4C624D7D"/>
    <w:rsid w:val="4C7F67E4"/>
    <w:rsid w:val="4C80624C"/>
    <w:rsid w:val="4C8A610F"/>
    <w:rsid w:val="4C8A7A9C"/>
    <w:rsid w:val="4C937E27"/>
    <w:rsid w:val="4C942B02"/>
    <w:rsid w:val="4C945E98"/>
    <w:rsid w:val="4C9D554F"/>
    <w:rsid w:val="4C9E08DB"/>
    <w:rsid w:val="4CAA7EE1"/>
    <w:rsid w:val="4CB938E5"/>
    <w:rsid w:val="4CCE0632"/>
    <w:rsid w:val="4D110571"/>
    <w:rsid w:val="4D1C2B51"/>
    <w:rsid w:val="4D2445EC"/>
    <w:rsid w:val="4D26293F"/>
    <w:rsid w:val="4D2A30F2"/>
    <w:rsid w:val="4D2E09D4"/>
    <w:rsid w:val="4D355FAB"/>
    <w:rsid w:val="4D390DA0"/>
    <w:rsid w:val="4D3A39EC"/>
    <w:rsid w:val="4D3E3C26"/>
    <w:rsid w:val="4D41109D"/>
    <w:rsid w:val="4D437041"/>
    <w:rsid w:val="4D4C563B"/>
    <w:rsid w:val="4D4D104F"/>
    <w:rsid w:val="4D6008CB"/>
    <w:rsid w:val="4D60599A"/>
    <w:rsid w:val="4D6B78DF"/>
    <w:rsid w:val="4D8555FF"/>
    <w:rsid w:val="4D8974A4"/>
    <w:rsid w:val="4D8A0CBB"/>
    <w:rsid w:val="4D8A5364"/>
    <w:rsid w:val="4D8A76E9"/>
    <w:rsid w:val="4D8E5AA2"/>
    <w:rsid w:val="4D8E5B01"/>
    <w:rsid w:val="4D972C29"/>
    <w:rsid w:val="4DB007F5"/>
    <w:rsid w:val="4DB629FC"/>
    <w:rsid w:val="4DD940E1"/>
    <w:rsid w:val="4DD97D9D"/>
    <w:rsid w:val="4DDA3CB6"/>
    <w:rsid w:val="4DF65F5E"/>
    <w:rsid w:val="4DFB1578"/>
    <w:rsid w:val="4E030C6D"/>
    <w:rsid w:val="4E0A352C"/>
    <w:rsid w:val="4E0A62FF"/>
    <w:rsid w:val="4E24492D"/>
    <w:rsid w:val="4E2727A7"/>
    <w:rsid w:val="4E377840"/>
    <w:rsid w:val="4E377983"/>
    <w:rsid w:val="4E3917EC"/>
    <w:rsid w:val="4E3A6FFC"/>
    <w:rsid w:val="4E5025D5"/>
    <w:rsid w:val="4E515E34"/>
    <w:rsid w:val="4E650952"/>
    <w:rsid w:val="4E6D066E"/>
    <w:rsid w:val="4E774574"/>
    <w:rsid w:val="4E7926D2"/>
    <w:rsid w:val="4E8C69A3"/>
    <w:rsid w:val="4E9235D7"/>
    <w:rsid w:val="4EA66CD9"/>
    <w:rsid w:val="4EB81D45"/>
    <w:rsid w:val="4EC827C7"/>
    <w:rsid w:val="4ED20E13"/>
    <w:rsid w:val="4ED60CCC"/>
    <w:rsid w:val="4ED77972"/>
    <w:rsid w:val="4EE438DF"/>
    <w:rsid w:val="4EE77ECB"/>
    <w:rsid w:val="4EE92C2B"/>
    <w:rsid w:val="4EEB6DE3"/>
    <w:rsid w:val="4EEF59AF"/>
    <w:rsid w:val="4EF437A1"/>
    <w:rsid w:val="4EFC155B"/>
    <w:rsid w:val="4EFF0E6A"/>
    <w:rsid w:val="4F01059E"/>
    <w:rsid w:val="4F0235A4"/>
    <w:rsid w:val="4F074742"/>
    <w:rsid w:val="4F103439"/>
    <w:rsid w:val="4F1C6E6A"/>
    <w:rsid w:val="4F36489E"/>
    <w:rsid w:val="4F3667E3"/>
    <w:rsid w:val="4F366C90"/>
    <w:rsid w:val="4F376934"/>
    <w:rsid w:val="4F3F65E1"/>
    <w:rsid w:val="4F572240"/>
    <w:rsid w:val="4F592757"/>
    <w:rsid w:val="4F5C2233"/>
    <w:rsid w:val="4F6878B9"/>
    <w:rsid w:val="4F6E59DA"/>
    <w:rsid w:val="4F737D91"/>
    <w:rsid w:val="4F767B0C"/>
    <w:rsid w:val="4F7D17E5"/>
    <w:rsid w:val="4F8345F1"/>
    <w:rsid w:val="4F86174D"/>
    <w:rsid w:val="4F9D53B7"/>
    <w:rsid w:val="4FAA2622"/>
    <w:rsid w:val="4FAE0B70"/>
    <w:rsid w:val="4FB512DF"/>
    <w:rsid w:val="4FBE594F"/>
    <w:rsid w:val="4FC1593E"/>
    <w:rsid w:val="4FC71622"/>
    <w:rsid w:val="4FD251D6"/>
    <w:rsid w:val="4FD33EB5"/>
    <w:rsid w:val="4FDD7F1D"/>
    <w:rsid w:val="4FED15BD"/>
    <w:rsid w:val="4FEE04D2"/>
    <w:rsid w:val="4FF835FC"/>
    <w:rsid w:val="500306BE"/>
    <w:rsid w:val="500374D3"/>
    <w:rsid w:val="500D6E0D"/>
    <w:rsid w:val="501534EE"/>
    <w:rsid w:val="501D401A"/>
    <w:rsid w:val="50220913"/>
    <w:rsid w:val="50307C79"/>
    <w:rsid w:val="503B1850"/>
    <w:rsid w:val="50427F66"/>
    <w:rsid w:val="5046347E"/>
    <w:rsid w:val="50553D2B"/>
    <w:rsid w:val="50660BC7"/>
    <w:rsid w:val="506977BA"/>
    <w:rsid w:val="507B5584"/>
    <w:rsid w:val="5088197A"/>
    <w:rsid w:val="50921436"/>
    <w:rsid w:val="509F0EC8"/>
    <w:rsid w:val="50AB4931"/>
    <w:rsid w:val="50B41BD5"/>
    <w:rsid w:val="50C1003F"/>
    <w:rsid w:val="50C857DB"/>
    <w:rsid w:val="50CE114A"/>
    <w:rsid w:val="50CE1AEE"/>
    <w:rsid w:val="50D36759"/>
    <w:rsid w:val="50DB5528"/>
    <w:rsid w:val="50DD47F3"/>
    <w:rsid w:val="50E116A7"/>
    <w:rsid w:val="50E24B94"/>
    <w:rsid w:val="50E2511B"/>
    <w:rsid w:val="50E4354A"/>
    <w:rsid w:val="50EE7FE0"/>
    <w:rsid w:val="50F14189"/>
    <w:rsid w:val="51000A95"/>
    <w:rsid w:val="510C3E6F"/>
    <w:rsid w:val="510E4ED3"/>
    <w:rsid w:val="510E5ECF"/>
    <w:rsid w:val="511206AF"/>
    <w:rsid w:val="511E1140"/>
    <w:rsid w:val="51206569"/>
    <w:rsid w:val="51242632"/>
    <w:rsid w:val="512D502B"/>
    <w:rsid w:val="51306043"/>
    <w:rsid w:val="51307D5F"/>
    <w:rsid w:val="513109E4"/>
    <w:rsid w:val="51335488"/>
    <w:rsid w:val="514109BD"/>
    <w:rsid w:val="51421B2D"/>
    <w:rsid w:val="514369A3"/>
    <w:rsid w:val="514527DE"/>
    <w:rsid w:val="515A1561"/>
    <w:rsid w:val="515D1A21"/>
    <w:rsid w:val="516532C5"/>
    <w:rsid w:val="51695008"/>
    <w:rsid w:val="516A12FC"/>
    <w:rsid w:val="516D21E3"/>
    <w:rsid w:val="51743711"/>
    <w:rsid w:val="517B4D5F"/>
    <w:rsid w:val="517F6230"/>
    <w:rsid w:val="51893141"/>
    <w:rsid w:val="518B645B"/>
    <w:rsid w:val="519148CE"/>
    <w:rsid w:val="5197578F"/>
    <w:rsid w:val="519E33B6"/>
    <w:rsid w:val="51A6139B"/>
    <w:rsid w:val="51B670A8"/>
    <w:rsid w:val="51BA5719"/>
    <w:rsid w:val="51CC0BC1"/>
    <w:rsid w:val="51DA17BC"/>
    <w:rsid w:val="51EA3C58"/>
    <w:rsid w:val="51F66B05"/>
    <w:rsid w:val="51FB6CCC"/>
    <w:rsid w:val="520C47DE"/>
    <w:rsid w:val="52130139"/>
    <w:rsid w:val="521E2C24"/>
    <w:rsid w:val="5224695B"/>
    <w:rsid w:val="5226066F"/>
    <w:rsid w:val="52327389"/>
    <w:rsid w:val="52364B95"/>
    <w:rsid w:val="523B39BD"/>
    <w:rsid w:val="523D05EE"/>
    <w:rsid w:val="52592CF5"/>
    <w:rsid w:val="526A4AF0"/>
    <w:rsid w:val="526B0484"/>
    <w:rsid w:val="52794C5E"/>
    <w:rsid w:val="527C2C25"/>
    <w:rsid w:val="52825281"/>
    <w:rsid w:val="52867729"/>
    <w:rsid w:val="529F0B1C"/>
    <w:rsid w:val="52AB78B1"/>
    <w:rsid w:val="52B37FD0"/>
    <w:rsid w:val="52CC1AA7"/>
    <w:rsid w:val="52D45BF9"/>
    <w:rsid w:val="52E70566"/>
    <w:rsid w:val="52E9793A"/>
    <w:rsid w:val="52F31FCF"/>
    <w:rsid w:val="52F66503"/>
    <w:rsid w:val="52F71548"/>
    <w:rsid w:val="52FB1408"/>
    <w:rsid w:val="52FB2C2C"/>
    <w:rsid w:val="52FC51A9"/>
    <w:rsid w:val="5306605F"/>
    <w:rsid w:val="53082545"/>
    <w:rsid w:val="53125CBA"/>
    <w:rsid w:val="531601CC"/>
    <w:rsid w:val="53186CD6"/>
    <w:rsid w:val="53193481"/>
    <w:rsid w:val="532403D2"/>
    <w:rsid w:val="53240B5D"/>
    <w:rsid w:val="53295F03"/>
    <w:rsid w:val="53332B7F"/>
    <w:rsid w:val="534061FD"/>
    <w:rsid w:val="53480E95"/>
    <w:rsid w:val="534E4924"/>
    <w:rsid w:val="53724DBC"/>
    <w:rsid w:val="53824335"/>
    <w:rsid w:val="53966933"/>
    <w:rsid w:val="539E2181"/>
    <w:rsid w:val="53A47945"/>
    <w:rsid w:val="53A55E26"/>
    <w:rsid w:val="53A8507F"/>
    <w:rsid w:val="53AE6C6D"/>
    <w:rsid w:val="53BC0D25"/>
    <w:rsid w:val="53CC346A"/>
    <w:rsid w:val="53CE529F"/>
    <w:rsid w:val="53D347F5"/>
    <w:rsid w:val="53D3631A"/>
    <w:rsid w:val="53D43F42"/>
    <w:rsid w:val="53DC1CC7"/>
    <w:rsid w:val="53DD78C1"/>
    <w:rsid w:val="53E75C7D"/>
    <w:rsid w:val="53E779DA"/>
    <w:rsid w:val="53ED400A"/>
    <w:rsid w:val="53F55308"/>
    <w:rsid w:val="53F642E0"/>
    <w:rsid w:val="53F72DBB"/>
    <w:rsid w:val="53FC0762"/>
    <w:rsid w:val="53FC7E0C"/>
    <w:rsid w:val="541A5990"/>
    <w:rsid w:val="542625AD"/>
    <w:rsid w:val="54280583"/>
    <w:rsid w:val="542B65A1"/>
    <w:rsid w:val="542E077E"/>
    <w:rsid w:val="54314129"/>
    <w:rsid w:val="54474299"/>
    <w:rsid w:val="544B0A9D"/>
    <w:rsid w:val="5450121D"/>
    <w:rsid w:val="54512BDD"/>
    <w:rsid w:val="54556921"/>
    <w:rsid w:val="545C260A"/>
    <w:rsid w:val="54632D91"/>
    <w:rsid w:val="546D03B4"/>
    <w:rsid w:val="546F7771"/>
    <w:rsid w:val="547541F8"/>
    <w:rsid w:val="5478447C"/>
    <w:rsid w:val="547D5863"/>
    <w:rsid w:val="54896922"/>
    <w:rsid w:val="54985689"/>
    <w:rsid w:val="54987233"/>
    <w:rsid w:val="54A737CA"/>
    <w:rsid w:val="54AD267E"/>
    <w:rsid w:val="54AF4E8F"/>
    <w:rsid w:val="54B72618"/>
    <w:rsid w:val="54BA16EF"/>
    <w:rsid w:val="54C54C3B"/>
    <w:rsid w:val="54C852F9"/>
    <w:rsid w:val="54C97A6E"/>
    <w:rsid w:val="54CD5365"/>
    <w:rsid w:val="54CE02C1"/>
    <w:rsid w:val="54CE6FA7"/>
    <w:rsid w:val="54D82C01"/>
    <w:rsid w:val="54D93278"/>
    <w:rsid w:val="54EE35A6"/>
    <w:rsid w:val="54F44349"/>
    <w:rsid w:val="54F47C45"/>
    <w:rsid w:val="54F65CB9"/>
    <w:rsid w:val="54FC3A0B"/>
    <w:rsid w:val="55055A56"/>
    <w:rsid w:val="550B003B"/>
    <w:rsid w:val="550D0633"/>
    <w:rsid w:val="55154AC1"/>
    <w:rsid w:val="55172EC9"/>
    <w:rsid w:val="551E1726"/>
    <w:rsid w:val="552060F5"/>
    <w:rsid w:val="552775C3"/>
    <w:rsid w:val="55290370"/>
    <w:rsid w:val="55450A4C"/>
    <w:rsid w:val="554B12C5"/>
    <w:rsid w:val="55604917"/>
    <w:rsid w:val="55627F26"/>
    <w:rsid w:val="55672018"/>
    <w:rsid w:val="556B4044"/>
    <w:rsid w:val="5574137A"/>
    <w:rsid w:val="5577046A"/>
    <w:rsid w:val="557D3A9D"/>
    <w:rsid w:val="55810FA3"/>
    <w:rsid w:val="558A6CB5"/>
    <w:rsid w:val="558E44E8"/>
    <w:rsid w:val="55963B67"/>
    <w:rsid w:val="55984A33"/>
    <w:rsid w:val="559A328F"/>
    <w:rsid w:val="559C6255"/>
    <w:rsid w:val="55A16650"/>
    <w:rsid w:val="55A34B11"/>
    <w:rsid w:val="55AE1611"/>
    <w:rsid w:val="55B6089D"/>
    <w:rsid w:val="55B61BD7"/>
    <w:rsid w:val="55B85C5A"/>
    <w:rsid w:val="55C33BAD"/>
    <w:rsid w:val="55C433C3"/>
    <w:rsid w:val="55C507B9"/>
    <w:rsid w:val="55EF0625"/>
    <w:rsid w:val="55F351F9"/>
    <w:rsid w:val="55FF6F00"/>
    <w:rsid w:val="55FF6F11"/>
    <w:rsid w:val="56051C3E"/>
    <w:rsid w:val="56053EE8"/>
    <w:rsid w:val="560F0600"/>
    <w:rsid w:val="560F0FCD"/>
    <w:rsid w:val="5610010E"/>
    <w:rsid w:val="56142BCD"/>
    <w:rsid w:val="561A095B"/>
    <w:rsid w:val="562131B1"/>
    <w:rsid w:val="56227BF5"/>
    <w:rsid w:val="56262013"/>
    <w:rsid w:val="564162BC"/>
    <w:rsid w:val="56454DE5"/>
    <w:rsid w:val="5648603A"/>
    <w:rsid w:val="564B327F"/>
    <w:rsid w:val="565209B3"/>
    <w:rsid w:val="565401A0"/>
    <w:rsid w:val="565A2B8F"/>
    <w:rsid w:val="566031E3"/>
    <w:rsid w:val="56613EF7"/>
    <w:rsid w:val="56677017"/>
    <w:rsid w:val="56713A60"/>
    <w:rsid w:val="567938CB"/>
    <w:rsid w:val="567D4291"/>
    <w:rsid w:val="567E6F26"/>
    <w:rsid w:val="568468DB"/>
    <w:rsid w:val="56861F6F"/>
    <w:rsid w:val="56886A3D"/>
    <w:rsid w:val="568B3894"/>
    <w:rsid w:val="56956004"/>
    <w:rsid w:val="569A361E"/>
    <w:rsid w:val="569A3FD0"/>
    <w:rsid w:val="569E7445"/>
    <w:rsid w:val="56A8432A"/>
    <w:rsid w:val="56B7220D"/>
    <w:rsid w:val="56BC305A"/>
    <w:rsid w:val="56C2068F"/>
    <w:rsid w:val="56C34976"/>
    <w:rsid w:val="56C45E94"/>
    <w:rsid w:val="56DA3DEA"/>
    <w:rsid w:val="56DB4527"/>
    <w:rsid w:val="56E17D79"/>
    <w:rsid w:val="56E2548C"/>
    <w:rsid w:val="56E833BB"/>
    <w:rsid w:val="56EC39A2"/>
    <w:rsid w:val="56ED6621"/>
    <w:rsid w:val="56EF5D78"/>
    <w:rsid w:val="56F57149"/>
    <w:rsid w:val="56F9051E"/>
    <w:rsid w:val="56F94DD6"/>
    <w:rsid w:val="5700408A"/>
    <w:rsid w:val="57275D75"/>
    <w:rsid w:val="57276C06"/>
    <w:rsid w:val="572A1E7F"/>
    <w:rsid w:val="572F1D41"/>
    <w:rsid w:val="57367834"/>
    <w:rsid w:val="57374719"/>
    <w:rsid w:val="573C2568"/>
    <w:rsid w:val="574914A2"/>
    <w:rsid w:val="57555255"/>
    <w:rsid w:val="57577B49"/>
    <w:rsid w:val="57597633"/>
    <w:rsid w:val="575E33CB"/>
    <w:rsid w:val="575E4745"/>
    <w:rsid w:val="575F4EAD"/>
    <w:rsid w:val="57625F3D"/>
    <w:rsid w:val="57772C64"/>
    <w:rsid w:val="57810748"/>
    <w:rsid w:val="57852E5A"/>
    <w:rsid w:val="578E1E46"/>
    <w:rsid w:val="579C4F17"/>
    <w:rsid w:val="57A05E00"/>
    <w:rsid w:val="57A34D38"/>
    <w:rsid w:val="57AA3A37"/>
    <w:rsid w:val="57AD3AEB"/>
    <w:rsid w:val="57B94ECA"/>
    <w:rsid w:val="57C06799"/>
    <w:rsid w:val="57C969AA"/>
    <w:rsid w:val="57CC0671"/>
    <w:rsid w:val="57CD7726"/>
    <w:rsid w:val="57D20F94"/>
    <w:rsid w:val="57DF1E97"/>
    <w:rsid w:val="57EB0A8C"/>
    <w:rsid w:val="57F1238A"/>
    <w:rsid w:val="57FC1A23"/>
    <w:rsid w:val="57FC2E18"/>
    <w:rsid w:val="58086E13"/>
    <w:rsid w:val="580C0D02"/>
    <w:rsid w:val="581C2A8A"/>
    <w:rsid w:val="581E4D1C"/>
    <w:rsid w:val="58231C1D"/>
    <w:rsid w:val="582849B5"/>
    <w:rsid w:val="582925ED"/>
    <w:rsid w:val="582D0A99"/>
    <w:rsid w:val="583108DA"/>
    <w:rsid w:val="5832455C"/>
    <w:rsid w:val="583E08E7"/>
    <w:rsid w:val="583E1F14"/>
    <w:rsid w:val="58421EC4"/>
    <w:rsid w:val="58454D32"/>
    <w:rsid w:val="5849780E"/>
    <w:rsid w:val="585F48F5"/>
    <w:rsid w:val="585F5B7E"/>
    <w:rsid w:val="586A6D8F"/>
    <w:rsid w:val="587537A5"/>
    <w:rsid w:val="587979D5"/>
    <w:rsid w:val="587F303F"/>
    <w:rsid w:val="587F6054"/>
    <w:rsid w:val="588159DC"/>
    <w:rsid w:val="58820422"/>
    <w:rsid w:val="58995263"/>
    <w:rsid w:val="58A303E3"/>
    <w:rsid w:val="58B47B5C"/>
    <w:rsid w:val="58BB7F65"/>
    <w:rsid w:val="58D4252B"/>
    <w:rsid w:val="58DF165A"/>
    <w:rsid w:val="58E82416"/>
    <w:rsid w:val="58E9142B"/>
    <w:rsid w:val="58E96DBF"/>
    <w:rsid w:val="58EE39FE"/>
    <w:rsid w:val="58F73412"/>
    <w:rsid w:val="59014F96"/>
    <w:rsid w:val="59092E05"/>
    <w:rsid w:val="590A3D6A"/>
    <w:rsid w:val="590D1FA4"/>
    <w:rsid w:val="59197F26"/>
    <w:rsid w:val="59213253"/>
    <w:rsid w:val="59222D0C"/>
    <w:rsid w:val="59264B1F"/>
    <w:rsid w:val="592B610C"/>
    <w:rsid w:val="592B61B8"/>
    <w:rsid w:val="592C613A"/>
    <w:rsid w:val="592F2053"/>
    <w:rsid w:val="5935711D"/>
    <w:rsid w:val="59394B90"/>
    <w:rsid w:val="593F5992"/>
    <w:rsid w:val="5942558B"/>
    <w:rsid w:val="59604285"/>
    <w:rsid w:val="596250E3"/>
    <w:rsid w:val="596D7B5B"/>
    <w:rsid w:val="5971545C"/>
    <w:rsid w:val="59792696"/>
    <w:rsid w:val="597F3DE9"/>
    <w:rsid w:val="59825DF2"/>
    <w:rsid w:val="59866BE0"/>
    <w:rsid w:val="598C47B4"/>
    <w:rsid w:val="5991264A"/>
    <w:rsid w:val="59A355D7"/>
    <w:rsid w:val="59A63848"/>
    <w:rsid w:val="59B161B1"/>
    <w:rsid w:val="59B438F1"/>
    <w:rsid w:val="59C62CA3"/>
    <w:rsid w:val="59CD6A3A"/>
    <w:rsid w:val="59D80D50"/>
    <w:rsid w:val="59E05902"/>
    <w:rsid w:val="59E4247C"/>
    <w:rsid w:val="59E82CE3"/>
    <w:rsid w:val="59ED6D8D"/>
    <w:rsid w:val="59F06616"/>
    <w:rsid w:val="59F93610"/>
    <w:rsid w:val="59FE213C"/>
    <w:rsid w:val="5A055CD4"/>
    <w:rsid w:val="5A0B7293"/>
    <w:rsid w:val="5A0D7908"/>
    <w:rsid w:val="5A110072"/>
    <w:rsid w:val="5A163547"/>
    <w:rsid w:val="5A1772DF"/>
    <w:rsid w:val="5A1F062C"/>
    <w:rsid w:val="5A1F34E9"/>
    <w:rsid w:val="5A221685"/>
    <w:rsid w:val="5A226BC4"/>
    <w:rsid w:val="5A2550BF"/>
    <w:rsid w:val="5A29320B"/>
    <w:rsid w:val="5A3141F9"/>
    <w:rsid w:val="5A3403B6"/>
    <w:rsid w:val="5A35287D"/>
    <w:rsid w:val="5A3A1E68"/>
    <w:rsid w:val="5A497F1A"/>
    <w:rsid w:val="5A4F63F2"/>
    <w:rsid w:val="5A500E72"/>
    <w:rsid w:val="5A561273"/>
    <w:rsid w:val="5A593988"/>
    <w:rsid w:val="5A5F300E"/>
    <w:rsid w:val="5A6B4F94"/>
    <w:rsid w:val="5A854236"/>
    <w:rsid w:val="5A8B1311"/>
    <w:rsid w:val="5A906180"/>
    <w:rsid w:val="5A985E34"/>
    <w:rsid w:val="5AA9327E"/>
    <w:rsid w:val="5AAE7AA1"/>
    <w:rsid w:val="5AB43296"/>
    <w:rsid w:val="5ABD78E4"/>
    <w:rsid w:val="5AC022FF"/>
    <w:rsid w:val="5ACD6A5F"/>
    <w:rsid w:val="5ACE2AD7"/>
    <w:rsid w:val="5AD112EF"/>
    <w:rsid w:val="5AEA0C9A"/>
    <w:rsid w:val="5AEA21FF"/>
    <w:rsid w:val="5AEF64B7"/>
    <w:rsid w:val="5AF577F7"/>
    <w:rsid w:val="5AF65C98"/>
    <w:rsid w:val="5B023CA9"/>
    <w:rsid w:val="5B0C4023"/>
    <w:rsid w:val="5B125593"/>
    <w:rsid w:val="5B2B421B"/>
    <w:rsid w:val="5B303FB3"/>
    <w:rsid w:val="5B3079A3"/>
    <w:rsid w:val="5B37575F"/>
    <w:rsid w:val="5B434F40"/>
    <w:rsid w:val="5B481900"/>
    <w:rsid w:val="5B4F78DC"/>
    <w:rsid w:val="5B504C30"/>
    <w:rsid w:val="5B5200D5"/>
    <w:rsid w:val="5B5A420F"/>
    <w:rsid w:val="5B651E6B"/>
    <w:rsid w:val="5B6E1282"/>
    <w:rsid w:val="5B771DDC"/>
    <w:rsid w:val="5B7A6C95"/>
    <w:rsid w:val="5B82516C"/>
    <w:rsid w:val="5B8A11EE"/>
    <w:rsid w:val="5B8B2DC9"/>
    <w:rsid w:val="5B900F31"/>
    <w:rsid w:val="5B926C0E"/>
    <w:rsid w:val="5BA203F2"/>
    <w:rsid w:val="5BA3070B"/>
    <w:rsid w:val="5BA320A1"/>
    <w:rsid w:val="5BA53ADE"/>
    <w:rsid w:val="5BAD1AF5"/>
    <w:rsid w:val="5BAD6D01"/>
    <w:rsid w:val="5BB94C0F"/>
    <w:rsid w:val="5BBE4A68"/>
    <w:rsid w:val="5BC27222"/>
    <w:rsid w:val="5BC60B4B"/>
    <w:rsid w:val="5BE022AA"/>
    <w:rsid w:val="5BE16DBD"/>
    <w:rsid w:val="5BE57DD8"/>
    <w:rsid w:val="5BF13E6D"/>
    <w:rsid w:val="5C0B237C"/>
    <w:rsid w:val="5C1E597A"/>
    <w:rsid w:val="5C215D54"/>
    <w:rsid w:val="5C2D3122"/>
    <w:rsid w:val="5C306E33"/>
    <w:rsid w:val="5C341679"/>
    <w:rsid w:val="5C384AF6"/>
    <w:rsid w:val="5C45334E"/>
    <w:rsid w:val="5C4C048C"/>
    <w:rsid w:val="5C4F141A"/>
    <w:rsid w:val="5C564E19"/>
    <w:rsid w:val="5C5D253E"/>
    <w:rsid w:val="5C7E36B9"/>
    <w:rsid w:val="5C845A45"/>
    <w:rsid w:val="5C8E4224"/>
    <w:rsid w:val="5C973DBD"/>
    <w:rsid w:val="5CAD0F11"/>
    <w:rsid w:val="5CAE4465"/>
    <w:rsid w:val="5CB22834"/>
    <w:rsid w:val="5CB67A15"/>
    <w:rsid w:val="5CC4488F"/>
    <w:rsid w:val="5CCA61CF"/>
    <w:rsid w:val="5CD1536E"/>
    <w:rsid w:val="5CD6612B"/>
    <w:rsid w:val="5CE87ECA"/>
    <w:rsid w:val="5CEA134C"/>
    <w:rsid w:val="5CEA164F"/>
    <w:rsid w:val="5CF157EE"/>
    <w:rsid w:val="5CF2100C"/>
    <w:rsid w:val="5CF87BCA"/>
    <w:rsid w:val="5CFA12AF"/>
    <w:rsid w:val="5D047F43"/>
    <w:rsid w:val="5D05788C"/>
    <w:rsid w:val="5D0A24B0"/>
    <w:rsid w:val="5D1E2CBD"/>
    <w:rsid w:val="5D212388"/>
    <w:rsid w:val="5D227CF2"/>
    <w:rsid w:val="5D286228"/>
    <w:rsid w:val="5D2B51B4"/>
    <w:rsid w:val="5D2C75ED"/>
    <w:rsid w:val="5D343A4F"/>
    <w:rsid w:val="5D3C0272"/>
    <w:rsid w:val="5D4A535D"/>
    <w:rsid w:val="5D5132DB"/>
    <w:rsid w:val="5D535887"/>
    <w:rsid w:val="5D675F83"/>
    <w:rsid w:val="5D697770"/>
    <w:rsid w:val="5D7A7EF3"/>
    <w:rsid w:val="5D8922CB"/>
    <w:rsid w:val="5D947EB8"/>
    <w:rsid w:val="5D9A43BE"/>
    <w:rsid w:val="5D9E6A0C"/>
    <w:rsid w:val="5DAE2C8B"/>
    <w:rsid w:val="5DB11F49"/>
    <w:rsid w:val="5DBF330D"/>
    <w:rsid w:val="5DBF6E50"/>
    <w:rsid w:val="5DC62493"/>
    <w:rsid w:val="5DC9617E"/>
    <w:rsid w:val="5DCE63A5"/>
    <w:rsid w:val="5DD01B0A"/>
    <w:rsid w:val="5DD353C1"/>
    <w:rsid w:val="5DD72D1F"/>
    <w:rsid w:val="5DD820D1"/>
    <w:rsid w:val="5E0C35EE"/>
    <w:rsid w:val="5E0D54EC"/>
    <w:rsid w:val="5E122C0C"/>
    <w:rsid w:val="5E1C1F39"/>
    <w:rsid w:val="5E2528B8"/>
    <w:rsid w:val="5E2D0BE3"/>
    <w:rsid w:val="5E337487"/>
    <w:rsid w:val="5E353AEA"/>
    <w:rsid w:val="5E356D40"/>
    <w:rsid w:val="5E443409"/>
    <w:rsid w:val="5E471CCA"/>
    <w:rsid w:val="5E4B0B83"/>
    <w:rsid w:val="5E5816B7"/>
    <w:rsid w:val="5E591CDE"/>
    <w:rsid w:val="5E5B3941"/>
    <w:rsid w:val="5E5B697B"/>
    <w:rsid w:val="5E610672"/>
    <w:rsid w:val="5E65641E"/>
    <w:rsid w:val="5E6B5AA3"/>
    <w:rsid w:val="5E8209A7"/>
    <w:rsid w:val="5E89314B"/>
    <w:rsid w:val="5E8C31BA"/>
    <w:rsid w:val="5E8D5F5E"/>
    <w:rsid w:val="5E981184"/>
    <w:rsid w:val="5E9877A9"/>
    <w:rsid w:val="5E993352"/>
    <w:rsid w:val="5E9B1C7A"/>
    <w:rsid w:val="5EBC29DF"/>
    <w:rsid w:val="5EBC415D"/>
    <w:rsid w:val="5EBE3681"/>
    <w:rsid w:val="5EC15893"/>
    <w:rsid w:val="5EC73BA5"/>
    <w:rsid w:val="5ECE6249"/>
    <w:rsid w:val="5ED02F63"/>
    <w:rsid w:val="5EF0374A"/>
    <w:rsid w:val="5EFB6388"/>
    <w:rsid w:val="5EFE0EB0"/>
    <w:rsid w:val="5F0A0AF4"/>
    <w:rsid w:val="5F131F83"/>
    <w:rsid w:val="5F140EF4"/>
    <w:rsid w:val="5F154AE0"/>
    <w:rsid w:val="5F186470"/>
    <w:rsid w:val="5F1871CA"/>
    <w:rsid w:val="5F1925B6"/>
    <w:rsid w:val="5F1A3126"/>
    <w:rsid w:val="5F1C6938"/>
    <w:rsid w:val="5F247C15"/>
    <w:rsid w:val="5F28188C"/>
    <w:rsid w:val="5F28625E"/>
    <w:rsid w:val="5F2934D6"/>
    <w:rsid w:val="5F2A73B3"/>
    <w:rsid w:val="5F3C52B0"/>
    <w:rsid w:val="5F413497"/>
    <w:rsid w:val="5F4B6BB8"/>
    <w:rsid w:val="5F5217A9"/>
    <w:rsid w:val="5F7A3A51"/>
    <w:rsid w:val="5F7F7DDD"/>
    <w:rsid w:val="5F824B9B"/>
    <w:rsid w:val="5F8D14BA"/>
    <w:rsid w:val="5F8F6431"/>
    <w:rsid w:val="5F9016E8"/>
    <w:rsid w:val="5F913860"/>
    <w:rsid w:val="5FA5524C"/>
    <w:rsid w:val="5FA83C34"/>
    <w:rsid w:val="5FB91D93"/>
    <w:rsid w:val="5FBB6C92"/>
    <w:rsid w:val="5FD9062B"/>
    <w:rsid w:val="5FD918D8"/>
    <w:rsid w:val="5FE96681"/>
    <w:rsid w:val="60040DDB"/>
    <w:rsid w:val="60151296"/>
    <w:rsid w:val="601F3D1D"/>
    <w:rsid w:val="602815A1"/>
    <w:rsid w:val="60284C9B"/>
    <w:rsid w:val="602970B3"/>
    <w:rsid w:val="603261E0"/>
    <w:rsid w:val="604245F0"/>
    <w:rsid w:val="6045387F"/>
    <w:rsid w:val="6059490C"/>
    <w:rsid w:val="605F3063"/>
    <w:rsid w:val="60674FCC"/>
    <w:rsid w:val="606F6DFA"/>
    <w:rsid w:val="60770685"/>
    <w:rsid w:val="60795DC7"/>
    <w:rsid w:val="6087623D"/>
    <w:rsid w:val="60917BEA"/>
    <w:rsid w:val="609D1328"/>
    <w:rsid w:val="60A90E70"/>
    <w:rsid w:val="60B4136C"/>
    <w:rsid w:val="60B65867"/>
    <w:rsid w:val="60BB4351"/>
    <w:rsid w:val="60CA0C6D"/>
    <w:rsid w:val="60CB1A69"/>
    <w:rsid w:val="60D73871"/>
    <w:rsid w:val="60E135EA"/>
    <w:rsid w:val="60E173EA"/>
    <w:rsid w:val="60EA0319"/>
    <w:rsid w:val="60EB0D1C"/>
    <w:rsid w:val="60ED2180"/>
    <w:rsid w:val="60EF6025"/>
    <w:rsid w:val="60F46C8C"/>
    <w:rsid w:val="61012121"/>
    <w:rsid w:val="610637A0"/>
    <w:rsid w:val="611321FB"/>
    <w:rsid w:val="61141E3D"/>
    <w:rsid w:val="61182AD3"/>
    <w:rsid w:val="612D0BDC"/>
    <w:rsid w:val="612F118C"/>
    <w:rsid w:val="613C222D"/>
    <w:rsid w:val="61417520"/>
    <w:rsid w:val="61507B24"/>
    <w:rsid w:val="61527BE3"/>
    <w:rsid w:val="615B7C8A"/>
    <w:rsid w:val="616068AC"/>
    <w:rsid w:val="6171385E"/>
    <w:rsid w:val="6178175A"/>
    <w:rsid w:val="6184207F"/>
    <w:rsid w:val="618B1599"/>
    <w:rsid w:val="618B49FB"/>
    <w:rsid w:val="618B74DB"/>
    <w:rsid w:val="61911EEE"/>
    <w:rsid w:val="61954408"/>
    <w:rsid w:val="619731E1"/>
    <w:rsid w:val="619952B9"/>
    <w:rsid w:val="61A7007A"/>
    <w:rsid w:val="61A8347B"/>
    <w:rsid w:val="61A84291"/>
    <w:rsid w:val="61C06256"/>
    <w:rsid w:val="61CE21EB"/>
    <w:rsid w:val="61CE7AFE"/>
    <w:rsid w:val="61D0735D"/>
    <w:rsid w:val="61E111A9"/>
    <w:rsid w:val="61ED4C07"/>
    <w:rsid w:val="61EF4C48"/>
    <w:rsid w:val="61F458AC"/>
    <w:rsid w:val="61F94BC1"/>
    <w:rsid w:val="61FB6C0D"/>
    <w:rsid w:val="620705BB"/>
    <w:rsid w:val="62170C12"/>
    <w:rsid w:val="621F6753"/>
    <w:rsid w:val="622F5DAF"/>
    <w:rsid w:val="62325EB6"/>
    <w:rsid w:val="623656BB"/>
    <w:rsid w:val="623A7F8A"/>
    <w:rsid w:val="623F33DE"/>
    <w:rsid w:val="625C01CC"/>
    <w:rsid w:val="625E6A80"/>
    <w:rsid w:val="626576A1"/>
    <w:rsid w:val="626646AA"/>
    <w:rsid w:val="6267640C"/>
    <w:rsid w:val="6272128D"/>
    <w:rsid w:val="62735519"/>
    <w:rsid w:val="627E5ABF"/>
    <w:rsid w:val="628171EC"/>
    <w:rsid w:val="62865BF2"/>
    <w:rsid w:val="628C06A5"/>
    <w:rsid w:val="628F6FC3"/>
    <w:rsid w:val="629210F1"/>
    <w:rsid w:val="62922431"/>
    <w:rsid w:val="629352C5"/>
    <w:rsid w:val="62936445"/>
    <w:rsid w:val="629421E7"/>
    <w:rsid w:val="629E394A"/>
    <w:rsid w:val="62A522D8"/>
    <w:rsid w:val="62A57A14"/>
    <w:rsid w:val="62AC11F8"/>
    <w:rsid w:val="62AF7825"/>
    <w:rsid w:val="62B448E4"/>
    <w:rsid w:val="62B76A3E"/>
    <w:rsid w:val="62C10B5A"/>
    <w:rsid w:val="62C61B01"/>
    <w:rsid w:val="62CD7568"/>
    <w:rsid w:val="62D301D5"/>
    <w:rsid w:val="62D42536"/>
    <w:rsid w:val="62DD1806"/>
    <w:rsid w:val="62DE2BB9"/>
    <w:rsid w:val="62E07993"/>
    <w:rsid w:val="62E636C6"/>
    <w:rsid w:val="62E8117B"/>
    <w:rsid w:val="62F205BE"/>
    <w:rsid w:val="62F37A6A"/>
    <w:rsid w:val="62F6542C"/>
    <w:rsid w:val="6303065E"/>
    <w:rsid w:val="63085002"/>
    <w:rsid w:val="6312563A"/>
    <w:rsid w:val="631428CC"/>
    <w:rsid w:val="631E4C32"/>
    <w:rsid w:val="631F1BEE"/>
    <w:rsid w:val="632A5221"/>
    <w:rsid w:val="632F0531"/>
    <w:rsid w:val="63335D2B"/>
    <w:rsid w:val="63370DF8"/>
    <w:rsid w:val="63377C09"/>
    <w:rsid w:val="63457504"/>
    <w:rsid w:val="63473D4E"/>
    <w:rsid w:val="636264B3"/>
    <w:rsid w:val="6364251A"/>
    <w:rsid w:val="63681948"/>
    <w:rsid w:val="636E6E9E"/>
    <w:rsid w:val="637349FB"/>
    <w:rsid w:val="63780045"/>
    <w:rsid w:val="637C4728"/>
    <w:rsid w:val="637C6F43"/>
    <w:rsid w:val="637E085C"/>
    <w:rsid w:val="63936C75"/>
    <w:rsid w:val="63A31C68"/>
    <w:rsid w:val="63B72D67"/>
    <w:rsid w:val="63C10745"/>
    <w:rsid w:val="63C74E1C"/>
    <w:rsid w:val="63DA31CD"/>
    <w:rsid w:val="63E26458"/>
    <w:rsid w:val="63E354F7"/>
    <w:rsid w:val="63E4225F"/>
    <w:rsid w:val="64006DE8"/>
    <w:rsid w:val="64011AAD"/>
    <w:rsid w:val="64040324"/>
    <w:rsid w:val="640460D7"/>
    <w:rsid w:val="64124273"/>
    <w:rsid w:val="641701D9"/>
    <w:rsid w:val="641853A4"/>
    <w:rsid w:val="64323832"/>
    <w:rsid w:val="643437C9"/>
    <w:rsid w:val="644B3D5F"/>
    <w:rsid w:val="645C0B24"/>
    <w:rsid w:val="6461054B"/>
    <w:rsid w:val="64721A68"/>
    <w:rsid w:val="648106EC"/>
    <w:rsid w:val="6494719C"/>
    <w:rsid w:val="6496069B"/>
    <w:rsid w:val="649B3B86"/>
    <w:rsid w:val="649D1101"/>
    <w:rsid w:val="64AE7D49"/>
    <w:rsid w:val="64B700D1"/>
    <w:rsid w:val="64B8603F"/>
    <w:rsid w:val="64BA562F"/>
    <w:rsid w:val="64BC2BDC"/>
    <w:rsid w:val="64CE1BE3"/>
    <w:rsid w:val="64D75F25"/>
    <w:rsid w:val="64DF3FCB"/>
    <w:rsid w:val="64E162DD"/>
    <w:rsid w:val="64E463A9"/>
    <w:rsid w:val="64F042FB"/>
    <w:rsid w:val="64F46BB7"/>
    <w:rsid w:val="64FE0E49"/>
    <w:rsid w:val="65000AD7"/>
    <w:rsid w:val="65065A34"/>
    <w:rsid w:val="65090A50"/>
    <w:rsid w:val="65093D94"/>
    <w:rsid w:val="65096D4F"/>
    <w:rsid w:val="650B7788"/>
    <w:rsid w:val="65127411"/>
    <w:rsid w:val="65151696"/>
    <w:rsid w:val="651B5405"/>
    <w:rsid w:val="65283B8A"/>
    <w:rsid w:val="65354B44"/>
    <w:rsid w:val="6538249D"/>
    <w:rsid w:val="653E6CEB"/>
    <w:rsid w:val="65666B28"/>
    <w:rsid w:val="65674E1C"/>
    <w:rsid w:val="656951D8"/>
    <w:rsid w:val="656B3594"/>
    <w:rsid w:val="65751D1C"/>
    <w:rsid w:val="657B33FF"/>
    <w:rsid w:val="657D2786"/>
    <w:rsid w:val="658338E9"/>
    <w:rsid w:val="6587570C"/>
    <w:rsid w:val="659473CD"/>
    <w:rsid w:val="65AC2A00"/>
    <w:rsid w:val="65B42ED7"/>
    <w:rsid w:val="65B77DA6"/>
    <w:rsid w:val="65E94B70"/>
    <w:rsid w:val="65F20AFC"/>
    <w:rsid w:val="65F545D6"/>
    <w:rsid w:val="65FB0D63"/>
    <w:rsid w:val="6600012D"/>
    <w:rsid w:val="660D79B7"/>
    <w:rsid w:val="661458ED"/>
    <w:rsid w:val="662E61BF"/>
    <w:rsid w:val="66392A39"/>
    <w:rsid w:val="66402B26"/>
    <w:rsid w:val="66474D90"/>
    <w:rsid w:val="664914E7"/>
    <w:rsid w:val="665A272A"/>
    <w:rsid w:val="66693906"/>
    <w:rsid w:val="66711342"/>
    <w:rsid w:val="66784089"/>
    <w:rsid w:val="667A0728"/>
    <w:rsid w:val="667B337D"/>
    <w:rsid w:val="667E1002"/>
    <w:rsid w:val="66823084"/>
    <w:rsid w:val="669B4EC3"/>
    <w:rsid w:val="66C02970"/>
    <w:rsid w:val="66C11D07"/>
    <w:rsid w:val="66D96A2F"/>
    <w:rsid w:val="66E56805"/>
    <w:rsid w:val="66F81FDA"/>
    <w:rsid w:val="66FB7788"/>
    <w:rsid w:val="671233C8"/>
    <w:rsid w:val="672823BE"/>
    <w:rsid w:val="67362D62"/>
    <w:rsid w:val="673665A5"/>
    <w:rsid w:val="67470779"/>
    <w:rsid w:val="6748087C"/>
    <w:rsid w:val="674C546C"/>
    <w:rsid w:val="67585146"/>
    <w:rsid w:val="675A44DA"/>
    <w:rsid w:val="675E3BBB"/>
    <w:rsid w:val="67603AB9"/>
    <w:rsid w:val="67656629"/>
    <w:rsid w:val="67667426"/>
    <w:rsid w:val="676F7986"/>
    <w:rsid w:val="67735981"/>
    <w:rsid w:val="677C0BB9"/>
    <w:rsid w:val="678B5EC6"/>
    <w:rsid w:val="6790216C"/>
    <w:rsid w:val="67931D32"/>
    <w:rsid w:val="679B0F1E"/>
    <w:rsid w:val="67A2192D"/>
    <w:rsid w:val="67AB7BA5"/>
    <w:rsid w:val="67CC57E9"/>
    <w:rsid w:val="67CE5253"/>
    <w:rsid w:val="67D50379"/>
    <w:rsid w:val="67DC5456"/>
    <w:rsid w:val="67F172BF"/>
    <w:rsid w:val="67F603E8"/>
    <w:rsid w:val="67FB1C1D"/>
    <w:rsid w:val="67FD6874"/>
    <w:rsid w:val="68034986"/>
    <w:rsid w:val="68034B61"/>
    <w:rsid w:val="680D5791"/>
    <w:rsid w:val="681254E5"/>
    <w:rsid w:val="681372C3"/>
    <w:rsid w:val="681467CD"/>
    <w:rsid w:val="6817477F"/>
    <w:rsid w:val="68181EFA"/>
    <w:rsid w:val="68192AB1"/>
    <w:rsid w:val="681E6DDC"/>
    <w:rsid w:val="681F1DF5"/>
    <w:rsid w:val="68301CBD"/>
    <w:rsid w:val="68304772"/>
    <w:rsid w:val="68324AED"/>
    <w:rsid w:val="68376CFF"/>
    <w:rsid w:val="68380D39"/>
    <w:rsid w:val="68402402"/>
    <w:rsid w:val="684C0713"/>
    <w:rsid w:val="68516302"/>
    <w:rsid w:val="68541110"/>
    <w:rsid w:val="68582B6F"/>
    <w:rsid w:val="685A1CC0"/>
    <w:rsid w:val="686222CB"/>
    <w:rsid w:val="6862517E"/>
    <w:rsid w:val="686568E2"/>
    <w:rsid w:val="68677211"/>
    <w:rsid w:val="687B2990"/>
    <w:rsid w:val="687B7752"/>
    <w:rsid w:val="68857BA6"/>
    <w:rsid w:val="688A3AA3"/>
    <w:rsid w:val="688C7836"/>
    <w:rsid w:val="689B3E30"/>
    <w:rsid w:val="68A30FDE"/>
    <w:rsid w:val="68A812B8"/>
    <w:rsid w:val="68B916C6"/>
    <w:rsid w:val="68BE2427"/>
    <w:rsid w:val="68E45DBF"/>
    <w:rsid w:val="68E9502C"/>
    <w:rsid w:val="68F33C34"/>
    <w:rsid w:val="68F80469"/>
    <w:rsid w:val="68FC5662"/>
    <w:rsid w:val="691704B7"/>
    <w:rsid w:val="69185982"/>
    <w:rsid w:val="691B5189"/>
    <w:rsid w:val="69251C99"/>
    <w:rsid w:val="69255116"/>
    <w:rsid w:val="69333294"/>
    <w:rsid w:val="69435301"/>
    <w:rsid w:val="694907A9"/>
    <w:rsid w:val="6949228B"/>
    <w:rsid w:val="694A5614"/>
    <w:rsid w:val="69545A06"/>
    <w:rsid w:val="695E1CAE"/>
    <w:rsid w:val="69646FAB"/>
    <w:rsid w:val="696849DB"/>
    <w:rsid w:val="696B5C6D"/>
    <w:rsid w:val="696D497E"/>
    <w:rsid w:val="69711C4F"/>
    <w:rsid w:val="69724AE3"/>
    <w:rsid w:val="69744F8C"/>
    <w:rsid w:val="698276E8"/>
    <w:rsid w:val="69893C52"/>
    <w:rsid w:val="698A5B11"/>
    <w:rsid w:val="698A6EA3"/>
    <w:rsid w:val="698B2A62"/>
    <w:rsid w:val="699A364A"/>
    <w:rsid w:val="699E39F1"/>
    <w:rsid w:val="69A05DD2"/>
    <w:rsid w:val="69A64F79"/>
    <w:rsid w:val="69AA234D"/>
    <w:rsid w:val="69B02FF8"/>
    <w:rsid w:val="69B136AA"/>
    <w:rsid w:val="69BA4FB9"/>
    <w:rsid w:val="69BA56FC"/>
    <w:rsid w:val="69C43E34"/>
    <w:rsid w:val="69D85196"/>
    <w:rsid w:val="69D866C6"/>
    <w:rsid w:val="69DE24C4"/>
    <w:rsid w:val="69E27B3B"/>
    <w:rsid w:val="69E35EAB"/>
    <w:rsid w:val="69F30828"/>
    <w:rsid w:val="69F66B85"/>
    <w:rsid w:val="6A2960AA"/>
    <w:rsid w:val="6A354683"/>
    <w:rsid w:val="6A357263"/>
    <w:rsid w:val="6A3D625D"/>
    <w:rsid w:val="6A3F0A45"/>
    <w:rsid w:val="6A426C5D"/>
    <w:rsid w:val="6A515550"/>
    <w:rsid w:val="6A574432"/>
    <w:rsid w:val="6A594EE4"/>
    <w:rsid w:val="6A635F99"/>
    <w:rsid w:val="6A78291A"/>
    <w:rsid w:val="6A83643C"/>
    <w:rsid w:val="6A9B370C"/>
    <w:rsid w:val="6A9E5514"/>
    <w:rsid w:val="6A9F20AD"/>
    <w:rsid w:val="6AA04E5B"/>
    <w:rsid w:val="6ACC099A"/>
    <w:rsid w:val="6ADA5498"/>
    <w:rsid w:val="6ADB4109"/>
    <w:rsid w:val="6ADC3268"/>
    <w:rsid w:val="6ADE58AA"/>
    <w:rsid w:val="6AE3683E"/>
    <w:rsid w:val="6AE701FA"/>
    <w:rsid w:val="6AEC10A6"/>
    <w:rsid w:val="6AEC4412"/>
    <w:rsid w:val="6B007D58"/>
    <w:rsid w:val="6B013974"/>
    <w:rsid w:val="6B14477D"/>
    <w:rsid w:val="6B162825"/>
    <w:rsid w:val="6B2261E9"/>
    <w:rsid w:val="6B245127"/>
    <w:rsid w:val="6B254034"/>
    <w:rsid w:val="6B295156"/>
    <w:rsid w:val="6B2C6D53"/>
    <w:rsid w:val="6B3E048B"/>
    <w:rsid w:val="6B4347D4"/>
    <w:rsid w:val="6B485640"/>
    <w:rsid w:val="6B577C6C"/>
    <w:rsid w:val="6B652539"/>
    <w:rsid w:val="6B6B6B5B"/>
    <w:rsid w:val="6B7222C3"/>
    <w:rsid w:val="6B7A73F9"/>
    <w:rsid w:val="6B827D8B"/>
    <w:rsid w:val="6B841D29"/>
    <w:rsid w:val="6B8421D0"/>
    <w:rsid w:val="6B870C73"/>
    <w:rsid w:val="6B8C7797"/>
    <w:rsid w:val="6B937884"/>
    <w:rsid w:val="6B957E54"/>
    <w:rsid w:val="6B974E4F"/>
    <w:rsid w:val="6B984479"/>
    <w:rsid w:val="6BA71C52"/>
    <w:rsid w:val="6BB83D61"/>
    <w:rsid w:val="6BC00CEC"/>
    <w:rsid w:val="6BC077D4"/>
    <w:rsid w:val="6BC36BDA"/>
    <w:rsid w:val="6BCA45E7"/>
    <w:rsid w:val="6BE31E74"/>
    <w:rsid w:val="6BE47173"/>
    <w:rsid w:val="6BE81905"/>
    <w:rsid w:val="6BEC0BD8"/>
    <w:rsid w:val="6BEC4817"/>
    <w:rsid w:val="6BED075A"/>
    <w:rsid w:val="6BF46C10"/>
    <w:rsid w:val="6BFB04DB"/>
    <w:rsid w:val="6BFD2B79"/>
    <w:rsid w:val="6BFF6611"/>
    <w:rsid w:val="6C003164"/>
    <w:rsid w:val="6C0658AC"/>
    <w:rsid w:val="6C0D70A3"/>
    <w:rsid w:val="6C1230D6"/>
    <w:rsid w:val="6C1328ED"/>
    <w:rsid w:val="6C150AF4"/>
    <w:rsid w:val="6C166EB9"/>
    <w:rsid w:val="6C1B4AA9"/>
    <w:rsid w:val="6C2848A5"/>
    <w:rsid w:val="6C295227"/>
    <w:rsid w:val="6C3552BE"/>
    <w:rsid w:val="6C3F0109"/>
    <w:rsid w:val="6C476983"/>
    <w:rsid w:val="6C4B6794"/>
    <w:rsid w:val="6C77102D"/>
    <w:rsid w:val="6C894239"/>
    <w:rsid w:val="6C8A2E5F"/>
    <w:rsid w:val="6C9E55C2"/>
    <w:rsid w:val="6CA62EDE"/>
    <w:rsid w:val="6CB06678"/>
    <w:rsid w:val="6CC16ACB"/>
    <w:rsid w:val="6CCC21E4"/>
    <w:rsid w:val="6CD42059"/>
    <w:rsid w:val="6CD46B13"/>
    <w:rsid w:val="6CD9446C"/>
    <w:rsid w:val="6CDA5A4F"/>
    <w:rsid w:val="6CF54C9B"/>
    <w:rsid w:val="6CF758A0"/>
    <w:rsid w:val="6CFE3D85"/>
    <w:rsid w:val="6CFF538F"/>
    <w:rsid w:val="6D1775DE"/>
    <w:rsid w:val="6D1D1640"/>
    <w:rsid w:val="6D1F6A8A"/>
    <w:rsid w:val="6D2077B4"/>
    <w:rsid w:val="6D236C02"/>
    <w:rsid w:val="6D23786C"/>
    <w:rsid w:val="6D255979"/>
    <w:rsid w:val="6D286A7D"/>
    <w:rsid w:val="6D391358"/>
    <w:rsid w:val="6D3F30B9"/>
    <w:rsid w:val="6D4356DB"/>
    <w:rsid w:val="6D490768"/>
    <w:rsid w:val="6D4A1FD8"/>
    <w:rsid w:val="6D4B5F00"/>
    <w:rsid w:val="6D501612"/>
    <w:rsid w:val="6D540E67"/>
    <w:rsid w:val="6D57643C"/>
    <w:rsid w:val="6D5944AA"/>
    <w:rsid w:val="6D6A1D0D"/>
    <w:rsid w:val="6D7B7E3B"/>
    <w:rsid w:val="6D7D31A1"/>
    <w:rsid w:val="6D817A4A"/>
    <w:rsid w:val="6D840FB6"/>
    <w:rsid w:val="6D852D0D"/>
    <w:rsid w:val="6D8E5451"/>
    <w:rsid w:val="6D956DFB"/>
    <w:rsid w:val="6D9868A5"/>
    <w:rsid w:val="6DA00C1A"/>
    <w:rsid w:val="6DA81903"/>
    <w:rsid w:val="6DAD09ED"/>
    <w:rsid w:val="6DB11165"/>
    <w:rsid w:val="6DB662A4"/>
    <w:rsid w:val="6DB84432"/>
    <w:rsid w:val="6DBB6C17"/>
    <w:rsid w:val="6DBE65A8"/>
    <w:rsid w:val="6DE76FA8"/>
    <w:rsid w:val="6DEF32CD"/>
    <w:rsid w:val="6DFB443D"/>
    <w:rsid w:val="6E053958"/>
    <w:rsid w:val="6E081A21"/>
    <w:rsid w:val="6E0D1E1C"/>
    <w:rsid w:val="6E247E8A"/>
    <w:rsid w:val="6E2B23AE"/>
    <w:rsid w:val="6E32101B"/>
    <w:rsid w:val="6E343DE0"/>
    <w:rsid w:val="6E3D055C"/>
    <w:rsid w:val="6E3D6660"/>
    <w:rsid w:val="6E3E710A"/>
    <w:rsid w:val="6E454C4A"/>
    <w:rsid w:val="6E455392"/>
    <w:rsid w:val="6E4A5BB7"/>
    <w:rsid w:val="6E504800"/>
    <w:rsid w:val="6E532B45"/>
    <w:rsid w:val="6E571E16"/>
    <w:rsid w:val="6E5F1C9E"/>
    <w:rsid w:val="6E6D363F"/>
    <w:rsid w:val="6E6D7C0B"/>
    <w:rsid w:val="6E7B1D13"/>
    <w:rsid w:val="6E8019C5"/>
    <w:rsid w:val="6E863A81"/>
    <w:rsid w:val="6E983269"/>
    <w:rsid w:val="6E9E4F18"/>
    <w:rsid w:val="6EA17784"/>
    <w:rsid w:val="6EA26D21"/>
    <w:rsid w:val="6EB3374C"/>
    <w:rsid w:val="6EB36AE2"/>
    <w:rsid w:val="6EC21287"/>
    <w:rsid w:val="6EC24953"/>
    <w:rsid w:val="6EC328CF"/>
    <w:rsid w:val="6EC81391"/>
    <w:rsid w:val="6EE328F6"/>
    <w:rsid w:val="6EE61CE2"/>
    <w:rsid w:val="6EE6215E"/>
    <w:rsid w:val="6EE911F3"/>
    <w:rsid w:val="6EFA08A9"/>
    <w:rsid w:val="6F09732B"/>
    <w:rsid w:val="6F0E3133"/>
    <w:rsid w:val="6F106436"/>
    <w:rsid w:val="6F12473E"/>
    <w:rsid w:val="6F1526B4"/>
    <w:rsid w:val="6F191BD9"/>
    <w:rsid w:val="6F1A59D6"/>
    <w:rsid w:val="6F1B1BDF"/>
    <w:rsid w:val="6F1D67BF"/>
    <w:rsid w:val="6F2F7349"/>
    <w:rsid w:val="6F3532BB"/>
    <w:rsid w:val="6F374B36"/>
    <w:rsid w:val="6F3B3770"/>
    <w:rsid w:val="6F417F3D"/>
    <w:rsid w:val="6F4605CD"/>
    <w:rsid w:val="6F535804"/>
    <w:rsid w:val="6F550B38"/>
    <w:rsid w:val="6F5D2807"/>
    <w:rsid w:val="6F5E7467"/>
    <w:rsid w:val="6F78196E"/>
    <w:rsid w:val="6F830B81"/>
    <w:rsid w:val="6F8F01D8"/>
    <w:rsid w:val="6F946CB7"/>
    <w:rsid w:val="6F9C2ADE"/>
    <w:rsid w:val="6F9E387E"/>
    <w:rsid w:val="6FA25AA8"/>
    <w:rsid w:val="6FA650D2"/>
    <w:rsid w:val="6FA84F2B"/>
    <w:rsid w:val="6FAA39B4"/>
    <w:rsid w:val="6FAD2499"/>
    <w:rsid w:val="6FB063AD"/>
    <w:rsid w:val="6FB13329"/>
    <w:rsid w:val="6FB26BB0"/>
    <w:rsid w:val="6FC25B1A"/>
    <w:rsid w:val="6FC341E2"/>
    <w:rsid w:val="6FCE3571"/>
    <w:rsid w:val="6FCF2AAD"/>
    <w:rsid w:val="6FD02355"/>
    <w:rsid w:val="6FD97056"/>
    <w:rsid w:val="6FDF6198"/>
    <w:rsid w:val="6FDF6D87"/>
    <w:rsid w:val="6FEB0A7A"/>
    <w:rsid w:val="6FF74D6C"/>
    <w:rsid w:val="6FFB215F"/>
    <w:rsid w:val="6FFD7838"/>
    <w:rsid w:val="702769DA"/>
    <w:rsid w:val="702E09B1"/>
    <w:rsid w:val="7030600D"/>
    <w:rsid w:val="7038161B"/>
    <w:rsid w:val="70420B1E"/>
    <w:rsid w:val="70437EE5"/>
    <w:rsid w:val="705133F7"/>
    <w:rsid w:val="7058734E"/>
    <w:rsid w:val="705C1FA8"/>
    <w:rsid w:val="705F2BD4"/>
    <w:rsid w:val="706767EF"/>
    <w:rsid w:val="70772310"/>
    <w:rsid w:val="70842088"/>
    <w:rsid w:val="70855767"/>
    <w:rsid w:val="708E432A"/>
    <w:rsid w:val="7092298B"/>
    <w:rsid w:val="70A43FB0"/>
    <w:rsid w:val="70A4568B"/>
    <w:rsid w:val="70A979CD"/>
    <w:rsid w:val="70AF509C"/>
    <w:rsid w:val="70B5755A"/>
    <w:rsid w:val="70C5264E"/>
    <w:rsid w:val="70C917E7"/>
    <w:rsid w:val="70CD72A7"/>
    <w:rsid w:val="70D311FE"/>
    <w:rsid w:val="70DB53B9"/>
    <w:rsid w:val="70DF0FD2"/>
    <w:rsid w:val="70E54C29"/>
    <w:rsid w:val="70F67EB6"/>
    <w:rsid w:val="70FD4684"/>
    <w:rsid w:val="71050342"/>
    <w:rsid w:val="710B4230"/>
    <w:rsid w:val="71122EE5"/>
    <w:rsid w:val="71135244"/>
    <w:rsid w:val="711D7617"/>
    <w:rsid w:val="71227121"/>
    <w:rsid w:val="712572EB"/>
    <w:rsid w:val="71266E9F"/>
    <w:rsid w:val="712B1D7E"/>
    <w:rsid w:val="712E08CE"/>
    <w:rsid w:val="71336498"/>
    <w:rsid w:val="714501A2"/>
    <w:rsid w:val="71475799"/>
    <w:rsid w:val="71493264"/>
    <w:rsid w:val="71495CA1"/>
    <w:rsid w:val="714F1BA0"/>
    <w:rsid w:val="71530E67"/>
    <w:rsid w:val="71560E1B"/>
    <w:rsid w:val="71597D8A"/>
    <w:rsid w:val="71610F7C"/>
    <w:rsid w:val="71655DF5"/>
    <w:rsid w:val="717601A3"/>
    <w:rsid w:val="7179099A"/>
    <w:rsid w:val="717D466E"/>
    <w:rsid w:val="7184486B"/>
    <w:rsid w:val="718641BA"/>
    <w:rsid w:val="71891BC0"/>
    <w:rsid w:val="71904B44"/>
    <w:rsid w:val="71912CC2"/>
    <w:rsid w:val="71946ED3"/>
    <w:rsid w:val="719A5696"/>
    <w:rsid w:val="71A73166"/>
    <w:rsid w:val="71AA6A4C"/>
    <w:rsid w:val="71B05070"/>
    <w:rsid w:val="71B80635"/>
    <w:rsid w:val="71B81188"/>
    <w:rsid w:val="71C11428"/>
    <w:rsid w:val="71C30EB9"/>
    <w:rsid w:val="71CB52A9"/>
    <w:rsid w:val="71D82992"/>
    <w:rsid w:val="71DE7D6E"/>
    <w:rsid w:val="71E47A12"/>
    <w:rsid w:val="71E95329"/>
    <w:rsid w:val="71F64EFB"/>
    <w:rsid w:val="72133614"/>
    <w:rsid w:val="72241BA4"/>
    <w:rsid w:val="722473BD"/>
    <w:rsid w:val="722755BD"/>
    <w:rsid w:val="72303E48"/>
    <w:rsid w:val="723319EB"/>
    <w:rsid w:val="72356ABD"/>
    <w:rsid w:val="723719C1"/>
    <w:rsid w:val="72371DAE"/>
    <w:rsid w:val="72465859"/>
    <w:rsid w:val="72502B0F"/>
    <w:rsid w:val="725053C8"/>
    <w:rsid w:val="72524413"/>
    <w:rsid w:val="72630FAA"/>
    <w:rsid w:val="72683D95"/>
    <w:rsid w:val="7274414F"/>
    <w:rsid w:val="72770BD2"/>
    <w:rsid w:val="728242BA"/>
    <w:rsid w:val="728456EF"/>
    <w:rsid w:val="728D253F"/>
    <w:rsid w:val="728D579A"/>
    <w:rsid w:val="72934CAF"/>
    <w:rsid w:val="729723BA"/>
    <w:rsid w:val="72B46C3C"/>
    <w:rsid w:val="72C178A7"/>
    <w:rsid w:val="72CE3BF8"/>
    <w:rsid w:val="72D944B0"/>
    <w:rsid w:val="72DC6BC8"/>
    <w:rsid w:val="72E04399"/>
    <w:rsid w:val="72E06DF2"/>
    <w:rsid w:val="72E66CF7"/>
    <w:rsid w:val="72F02626"/>
    <w:rsid w:val="72F61024"/>
    <w:rsid w:val="72F975E3"/>
    <w:rsid w:val="72FC526C"/>
    <w:rsid w:val="730004F2"/>
    <w:rsid w:val="73043394"/>
    <w:rsid w:val="7306038E"/>
    <w:rsid w:val="730B722B"/>
    <w:rsid w:val="730F00CF"/>
    <w:rsid w:val="731923F1"/>
    <w:rsid w:val="733802D4"/>
    <w:rsid w:val="733C44F8"/>
    <w:rsid w:val="733D36AF"/>
    <w:rsid w:val="733E7D57"/>
    <w:rsid w:val="73405D52"/>
    <w:rsid w:val="73562A70"/>
    <w:rsid w:val="73590F75"/>
    <w:rsid w:val="735A2D82"/>
    <w:rsid w:val="735B6FD9"/>
    <w:rsid w:val="735D0052"/>
    <w:rsid w:val="737131BA"/>
    <w:rsid w:val="73761032"/>
    <w:rsid w:val="737D27F8"/>
    <w:rsid w:val="738C7DE2"/>
    <w:rsid w:val="738D6E97"/>
    <w:rsid w:val="739761A9"/>
    <w:rsid w:val="739C5C59"/>
    <w:rsid w:val="73AA4BBF"/>
    <w:rsid w:val="73B6116C"/>
    <w:rsid w:val="73B64DBD"/>
    <w:rsid w:val="73BC061E"/>
    <w:rsid w:val="73C54E43"/>
    <w:rsid w:val="73D2408A"/>
    <w:rsid w:val="73E71842"/>
    <w:rsid w:val="73E953DB"/>
    <w:rsid w:val="73ED5948"/>
    <w:rsid w:val="73EF54D5"/>
    <w:rsid w:val="73F82946"/>
    <w:rsid w:val="740116CC"/>
    <w:rsid w:val="7407294D"/>
    <w:rsid w:val="741108E2"/>
    <w:rsid w:val="74185687"/>
    <w:rsid w:val="741C465E"/>
    <w:rsid w:val="741E1099"/>
    <w:rsid w:val="742516E7"/>
    <w:rsid w:val="742871F9"/>
    <w:rsid w:val="742A24F7"/>
    <w:rsid w:val="742F0454"/>
    <w:rsid w:val="74301CC5"/>
    <w:rsid w:val="743F3DE1"/>
    <w:rsid w:val="74445454"/>
    <w:rsid w:val="744A23CF"/>
    <w:rsid w:val="744D249B"/>
    <w:rsid w:val="7451523F"/>
    <w:rsid w:val="7454669F"/>
    <w:rsid w:val="745F4848"/>
    <w:rsid w:val="746125A2"/>
    <w:rsid w:val="746D5A88"/>
    <w:rsid w:val="747B4FF0"/>
    <w:rsid w:val="74833382"/>
    <w:rsid w:val="74927B61"/>
    <w:rsid w:val="74997C42"/>
    <w:rsid w:val="74A3256D"/>
    <w:rsid w:val="74A420DC"/>
    <w:rsid w:val="74A853E9"/>
    <w:rsid w:val="74AB0336"/>
    <w:rsid w:val="74B24F3E"/>
    <w:rsid w:val="74B54BB0"/>
    <w:rsid w:val="74BB5A1F"/>
    <w:rsid w:val="74C11C74"/>
    <w:rsid w:val="74EA2F8E"/>
    <w:rsid w:val="74EB626B"/>
    <w:rsid w:val="74EE2EB8"/>
    <w:rsid w:val="74F05FB7"/>
    <w:rsid w:val="74F27981"/>
    <w:rsid w:val="750C49AA"/>
    <w:rsid w:val="75103C31"/>
    <w:rsid w:val="75151F2F"/>
    <w:rsid w:val="75184C6C"/>
    <w:rsid w:val="751E34C1"/>
    <w:rsid w:val="752D06F6"/>
    <w:rsid w:val="75443B13"/>
    <w:rsid w:val="754D67BE"/>
    <w:rsid w:val="755561DC"/>
    <w:rsid w:val="755955EE"/>
    <w:rsid w:val="755A197F"/>
    <w:rsid w:val="755A593D"/>
    <w:rsid w:val="755B6EAE"/>
    <w:rsid w:val="75754923"/>
    <w:rsid w:val="757C390A"/>
    <w:rsid w:val="75816DC2"/>
    <w:rsid w:val="75850549"/>
    <w:rsid w:val="75882756"/>
    <w:rsid w:val="75A85E28"/>
    <w:rsid w:val="75A86B39"/>
    <w:rsid w:val="75B6504C"/>
    <w:rsid w:val="75BA2919"/>
    <w:rsid w:val="75CE28CD"/>
    <w:rsid w:val="75D55643"/>
    <w:rsid w:val="75DE5018"/>
    <w:rsid w:val="75E71CC2"/>
    <w:rsid w:val="75EF6D12"/>
    <w:rsid w:val="7608492F"/>
    <w:rsid w:val="76106F69"/>
    <w:rsid w:val="761274BB"/>
    <w:rsid w:val="76244BBE"/>
    <w:rsid w:val="7625288B"/>
    <w:rsid w:val="762A1AA8"/>
    <w:rsid w:val="762E611A"/>
    <w:rsid w:val="763D499A"/>
    <w:rsid w:val="764A1697"/>
    <w:rsid w:val="764B4844"/>
    <w:rsid w:val="7653181A"/>
    <w:rsid w:val="765B5892"/>
    <w:rsid w:val="765D0A77"/>
    <w:rsid w:val="766522F7"/>
    <w:rsid w:val="76790224"/>
    <w:rsid w:val="7689448A"/>
    <w:rsid w:val="768D6E36"/>
    <w:rsid w:val="76911A5B"/>
    <w:rsid w:val="7691229D"/>
    <w:rsid w:val="76913A75"/>
    <w:rsid w:val="76943B6D"/>
    <w:rsid w:val="76950F09"/>
    <w:rsid w:val="76A10469"/>
    <w:rsid w:val="76A12713"/>
    <w:rsid w:val="76A505A5"/>
    <w:rsid w:val="76AC1300"/>
    <w:rsid w:val="76B25A1F"/>
    <w:rsid w:val="76B87574"/>
    <w:rsid w:val="76C24F26"/>
    <w:rsid w:val="76F076F4"/>
    <w:rsid w:val="76FD1F98"/>
    <w:rsid w:val="77067269"/>
    <w:rsid w:val="77100F9E"/>
    <w:rsid w:val="77110F6E"/>
    <w:rsid w:val="77196B10"/>
    <w:rsid w:val="771E287F"/>
    <w:rsid w:val="772957C6"/>
    <w:rsid w:val="772C7A53"/>
    <w:rsid w:val="774E3AFA"/>
    <w:rsid w:val="77572F36"/>
    <w:rsid w:val="77630BBF"/>
    <w:rsid w:val="776773C7"/>
    <w:rsid w:val="777A411B"/>
    <w:rsid w:val="77865A01"/>
    <w:rsid w:val="779023A4"/>
    <w:rsid w:val="77960CF8"/>
    <w:rsid w:val="77AB67B6"/>
    <w:rsid w:val="77B7365E"/>
    <w:rsid w:val="77BD631E"/>
    <w:rsid w:val="77C2276C"/>
    <w:rsid w:val="77C54A01"/>
    <w:rsid w:val="77C57D50"/>
    <w:rsid w:val="77D15CEB"/>
    <w:rsid w:val="77D41184"/>
    <w:rsid w:val="77DD5EC6"/>
    <w:rsid w:val="77E647C0"/>
    <w:rsid w:val="77EC7B1E"/>
    <w:rsid w:val="77F56D76"/>
    <w:rsid w:val="77FA1DE7"/>
    <w:rsid w:val="78001AE4"/>
    <w:rsid w:val="780177BB"/>
    <w:rsid w:val="780A2E8F"/>
    <w:rsid w:val="780C7494"/>
    <w:rsid w:val="780E3A80"/>
    <w:rsid w:val="781509EF"/>
    <w:rsid w:val="7829685E"/>
    <w:rsid w:val="782A4B8F"/>
    <w:rsid w:val="782D625E"/>
    <w:rsid w:val="782E4BC8"/>
    <w:rsid w:val="78335A66"/>
    <w:rsid w:val="7838165B"/>
    <w:rsid w:val="784824A1"/>
    <w:rsid w:val="784A4472"/>
    <w:rsid w:val="784A49DA"/>
    <w:rsid w:val="784D4A1F"/>
    <w:rsid w:val="785D08A8"/>
    <w:rsid w:val="785F1012"/>
    <w:rsid w:val="78621C2F"/>
    <w:rsid w:val="786B4ECE"/>
    <w:rsid w:val="7874010B"/>
    <w:rsid w:val="78772ADE"/>
    <w:rsid w:val="787B11B1"/>
    <w:rsid w:val="787F3847"/>
    <w:rsid w:val="78807E20"/>
    <w:rsid w:val="7888050E"/>
    <w:rsid w:val="788D7F3F"/>
    <w:rsid w:val="78963BC2"/>
    <w:rsid w:val="78B96260"/>
    <w:rsid w:val="78C87834"/>
    <w:rsid w:val="78D13058"/>
    <w:rsid w:val="78D20F80"/>
    <w:rsid w:val="78D37381"/>
    <w:rsid w:val="78D83549"/>
    <w:rsid w:val="78EA1B77"/>
    <w:rsid w:val="78FB0BEB"/>
    <w:rsid w:val="79063DDF"/>
    <w:rsid w:val="7915483E"/>
    <w:rsid w:val="792C27B1"/>
    <w:rsid w:val="79396C8A"/>
    <w:rsid w:val="794355A9"/>
    <w:rsid w:val="79447099"/>
    <w:rsid w:val="79472C2D"/>
    <w:rsid w:val="79476D1B"/>
    <w:rsid w:val="7952033A"/>
    <w:rsid w:val="795403B9"/>
    <w:rsid w:val="79567698"/>
    <w:rsid w:val="795C3140"/>
    <w:rsid w:val="795E2A5A"/>
    <w:rsid w:val="796B4AA7"/>
    <w:rsid w:val="79765133"/>
    <w:rsid w:val="7978720B"/>
    <w:rsid w:val="798C469B"/>
    <w:rsid w:val="79963ADA"/>
    <w:rsid w:val="79974315"/>
    <w:rsid w:val="79975AB2"/>
    <w:rsid w:val="799A1866"/>
    <w:rsid w:val="799B7E6A"/>
    <w:rsid w:val="79A02AB2"/>
    <w:rsid w:val="79A42FE0"/>
    <w:rsid w:val="79AD45B3"/>
    <w:rsid w:val="79AD6719"/>
    <w:rsid w:val="79B53C5E"/>
    <w:rsid w:val="79C02922"/>
    <w:rsid w:val="79C06F4C"/>
    <w:rsid w:val="79C6198E"/>
    <w:rsid w:val="79E36A75"/>
    <w:rsid w:val="79E51B7D"/>
    <w:rsid w:val="79F307E0"/>
    <w:rsid w:val="79F32EF8"/>
    <w:rsid w:val="79FC371D"/>
    <w:rsid w:val="7A01611A"/>
    <w:rsid w:val="7A0177CB"/>
    <w:rsid w:val="7A1C634D"/>
    <w:rsid w:val="7A1E1E40"/>
    <w:rsid w:val="7A1E357A"/>
    <w:rsid w:val="7A1F0801"/>
    <w:rsid w:val="7A253515"/>
    <w:rsid w:val="7A390AD7"/>
    <w:rsid w:val="7A39660B"/>
    <w:rsid w:val="7A3F1E8A"/>
    <w:rsid w:val="7A50388A"/>
    <w:rsid w:val="7A5A5CD6"/>
    <w:rsid w:val="7A656783"/>
    <w:rsid w:val="7A664567"/>
    <w:rsid w:val="7A6A2DB8"/>
    <w:rsid w:val="7A6E52ED"/>
    <w:rsid w:val="7A775967"/>
    <w:rsid w:val="7A7B7D3E"/>
    <w:rsid w:val="7A894E69"/>
    <w:rsid w:val="7A8B432C"/>
    <w:rsid w:val="7A98439F"/>
    <w:rsid w:val="7ABE0B85"/>
    <w:rsid w:val="7ACC76A9"/>
    <w:rsid w:val="7ACD1DB6"/>
    <w:rsid w:val="7AD0071A"/>
    <w:rsid w:val="7AF01AAC"/>
    <w:rsid w:val="7AF773E7"/>
    <w:rsid w:val="7B086E65"/>
    <w:rsid w:val="7B0C0470"/>
    <w:rsid w:val="7B0E2AFE"/>
    <w:rsid w:val="7B123259"/>
    <w:rsid w:val="7B135B35"/>
    <w:rsid w:val="7B1F078E"/>
    <w:rsid w:val="7B2A03B7"/>
    <w:rsid w:val="7B344A08"/>
    <w:rsid w:val="7B3B799F"/>
    <w:rsid w:val="7B3F31D3"/>
    <w:rsid w:val="7B480103"/>
    <w:rsid w:val="7B4B6F7A"/>
    <w:rsid w:val="7B4D65D3"/>
    <w:rsid w:val="7B4E7837"/>
    <w:rsid w:val="7B51773F"/>
    <w:rsid w:val="7B540696"/>
    <w:rsid w:val="7B593B44"/>
    <w:rsid w:val="7B5C1A7A"/>
    <w:rsid w:val="7B5E724F"/>
    <w:rsid w:val="7B6A6B3F"/>
    <w:rsid w:val="7B6B706C"/>
    <w:rsid w:val="7B704765"/>
    <w:rsid w:val="7B72717D"/>
    <w:rsid w:val="7B762D40"/>
    <w:rsid w:val="7B773BD5"/>
    <w:rsid w:val="7B856262"/>
    <w:rsid w:val="7B9737DE"/>
    <w:rsid w:val="7BAA79FB"/>
    <w:rsid w:val="7BAF7BFA"/>
    <w:rsid w:val="7BB1070E"/>
    <w:rsid w:val="7BB15B57"/>
    <w:rsid w:val="7BB177FE"/>
    <w:rsid w:val="7BBC368D"/>
    <w:rsid w:val="7BD0656A"/>
    <w:rsid w:val="7BDB17F5"/>
    <w:rsid w:val="7BE01BF6"/>
    <w:rsid w:val="7C001AFC"/>
    <w:rsid w:val="7C311FC4"/>
    <w:rsid w:val="7C36187A"/>
    <w:rsid w:val="7C461413"/>
    <w:rsid w:val="7C47166D"/>
    <w:rsid w:val="7C4D7D09"/>
    <w:rsid w:val="7C531053"/>
    <w:rsid w:val="7C7364A6"/>
    <w:rsid w:val="7C7803A6"/>
    <w:rsid w:val="7C7D7D58"/>
    <w:rsid w:val="7C85513A"/>
    <w:rsid w:val="7C8E0DD2"/>
    <w:rsid w:val="7CA351A1"/>
    <w:rsid w:val="7CAC6927"/>
    <w:rsid w:val="7CAD7284"/>
    <w:rsid w:val="7CAE30B4"/>
    <w:rsid w:val="7CAF1412"/>
    <w:rsid w:val="7CB20106"/>
    <w:rsid w:val="7CBB7F0C"/>
    <w:rsid w:val="7CBE7505"/>
    <w:rsid w:val="7CC14405"/>
    <w:rsid w:val="7CE345CA"/>
    <w:rsid w:val="7CE40983"/>
    <w:rsid w:val="7CE70A03"/>
    <w:rsid w:val="7CEC744E"/>
    <w:rsid w:val="7CF45E09"/>
    <w:rsid w:val="7CF80B18"/>
    <w:rsid w:val="7CFA3DBE"/>
    <w:rsid w:val="7D15615D"/>
    <w:rsid w:val="7D2514CB"/>
    <w:rsid w:val="7D4050CA"/>
    <w:rsid w:val="7D411BAE"/>
    <w:rsid w:val="7D4853BE"/>
    <w:rsid w:val="7D5C7B9C"/>
    <w:rsid w:val="7D7257E0"/>
    <w:rsid w:val="7D7641F7"/>
    <w:rsid w:val="7D7D6C3D"/>
    <w:rsid w:val="7D875628"/>
    <w:rsid w:val="7D8C2FAC"/>
    <w:rsid w:val="7D8F52BC"/>
    <w:rsid w:val="7D902B68"/>
    <w:rsid w:val="7D967E87"/>
    <w:rsid w:val="7DAA7CE0"/>
    <w:rsid w:val="7DB72B58"/>
    <w:rsid w:val="7DBD26B7"/>
    <w:rsid w:val="7DC274B2"/>
    <w:rsid w:val="7DC31989"/>
    <w:rsid w:val="7DD468DB"/>
    <w:rsid w:val="7DDA555D"/>
    <w:rsid w:val="7DDD0AF5"/>
    <w:rsid w:val="7DE57BEC"/>
    <w:rsid w:val="7DED0A8B"/>
    <w:rsid w:val="7DEE05EF"/>
    <w:rsid w:val="7DF2135A"/>
    <w:rsid w:val="7DF60A31"/>
    <w:rsid w:val="7E041D15"/>
    <w:rsid w:val="7E142A83"/>
    <w:rsid w:val="7E1D3A37"/>
    <w:rsid w:val="7E263855"/>
    <w:rsid w:val="7E2664A4"/>
    <w:rsid w:val="7E28132B"/>
    <w:rsid w:val="7E363366"/>
    <w:rsid w:val="7E3A6437"/>
    <w:rsid w:val="7E3C455B"/>
    <w:rsid w:val="7E415A14"/>
    <w:rsid w:val="7E453673"/>
    <w:rsid w:val="7E4A54D2"/>
    <w:rsid w:val="7E4D5DDB"/>
    <w:rsid w:val="7E4D694E"/>
    <w:rsid w:val="7E544448"/>
    <w:rsid w:val="7E617135"/>
    <w:rsid w:val="7E7669C2"/>
    <w:rsid w:val="7E8729E1"/>
    <w:rsid w:val="7E891A7A"/>
    <w:rsid w:val="7E8B5AF4"/>
    <w:rsid w:val="7E9B0B95"/>
    <w:rsid w:val="7EA30ED5"/>
    <w:rsid w:val="7EAF1BB7"/>
    <w:rsid w:val="7EAF6758"/>
    <w:rsid w:val="7EB05C55"/>
    <w:rsid w:val="7EBD5776"/>
    <w:rsid w:val="7EC07491"/>
    <w:rsid w:val="7ECB3CA4"/>
    <w:rsid w:val="7ED37F3B"/>
    <w:rsid w:val="7ED562F1"/>
    <w:rsid w:val="7EDC4759"/>
    <w:rsid w:val="7EE634EF"/>
    <w:rsid w:val="7EE64F96"/>
    <w:rsid w:val="7EE8689B"/>
    <w:rsid w:val="7EEE15D8"/>
    <w:rsid w:val="7EFA3B1C"/>
    <w:rsid w:val="7EFD67A6"/>
    <w:rsid w:val="7F044799"/>
    <w:rsid w:val="7F187FFF"/>
    <w:rsid w:val="7F2E1A28"/>
    <w:rsid w:val="7F3636BC"/>
    <w:rsid w:val="7F525A56"/>
    <w:rsid w:val="7F540417"/>
    <w:rsid w:val="7F58252D"/>
    <w:rsid w:val="7F5D479C"/>
    <w:rsid w:val="7F655045"/>
    <w:rsid w:val="7F6E0404"/>
    <w:rsid w:val="7F7131D0"/>
    <w:rsid w:val="7F754547"/>
    <w:rsid w:val="7F883DEE"/>
    <w:rsid w:val="7F911A16"/>
    <w:rsid w:val="7F9A1B49"/>
    <w:rsid w:val="7FA627F7"/>
    <w:rsid w:val="7FA9097C"/>
    <w:rsid w:val="7FB7381D"/>
    <w:rsid w:val="7FBE7357"/>
    <w:rsid w:val="7FC829F8"/>
    <w:rsid w:val="7FDB55FD"/>
    <w:rsid w:val="7FDF0FE5"/>
    <w:rsid w:val="7FE66C8E"/>
    <w:rsid w:val="7FE93035"/>
    <w:rsid w:val="7FF145F5"/>
    <w:rsid w:val="7FF24E45"/>
    <w:rsid w:val="7FF32578"/>
    <w:rsid w:val="7FF56EC7"/>
    <w:rsid w:val="7FF9068A"/>
    <w:rsid w:val="7FFB76A2"/>
    <w:rsid w:val="7FFF5964"/>
    <w:rsid w:val="FDFF5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20" w:lineRule="auto"/>
      <w:jc w:val="both"/>
    </w:pPr>
    <w:rPr>
      <w:rFonts w:ascii="Times New Roman" w:hAnsi="Times New Roman" w:eastAsia="FangSong_GB2312" w:cs="Times New Roman"/>
      <w:kern w:val="2"/>
      <w:sz w:val="32"/>
      <w:szCs w:val="24"/>
      <w:lang w:val="en-US" w:eastAsia="zh-CN" w:bidi="ar-SA"/>
    </w:rPr>
  </w:style>
  <w:style w:type="paragraph" w:styleId="3">
    <w:name w:val="heading 1"/>
    <w:basedOn w:val="1"/>
    <w:next w:val="1"/>
    <w:qFormat/>
    <w:uiPriority w:val="0"/>
    <w:pPr>
      <w:keepNext/>
      <w:keepLines/>
      <w:spacing w:before="580" w:after="330" w:line="576" w:lineRule="auto"/>
      <w:outlineLvl w:val="0"/>
    </w:pPr>
    <w:rPr>
      <w:rFonts w:eastAsia="方正小标宋简体"/>
      <w:kern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rPr>
  </w:style>
  <w:style w:type="paragraph" w:styleId="5">
    <w:name w:val="heading 4"/>
    <w:basedOn w:val="1"/>
    <w:next w:val="1"/>
    <w:link w:val="35"/>
    <w:qFormat/>
    <w:uiPriority w:val="0"/>
    <w:pPr>
      <w:keepNext/>
      <w:keepLines/>
      <w:spacing w:before="280" w:after="290" w:line="376" w:lineRule="auto"/>
      <w:outlineLvl w:val="3"/>
    </w:pPr>
    <w:rPr>
      <w:rFonts w:ascii="Arial" w:hAnsi="Arial" w:eastAsia="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6">
    <w:name w:val="index 8"/>
    <w:basedOn w:val="1"/>
    <w:next w:val="1"/>
    <w:qFormat/>
    <w:uiPriority w:val="99"/>
    <w:pPr>
      <w:spacing w:line="560" w:lineRule="exact"/>
      <w:ind w:firstLine="640" w:firstLineChars="200"/>
    </w:pPr>
    <w:rPr>
      <w:rFonts w:ascii="仿宋" w:hAnsi="仿宋" w:eastAsia="仿宋"/>
      <w:szCs w:val="32"/>
    </w:rPr>
  </w:style>
  <w:style w:type="paragraph" w:styleId="7">
    <w:name w:val="index 5"/>
    <w:basedOn w:val="1"/>
    <w:next w:val="1"/>
    <w:qFormat/>
    <w:uiPriority w:val="0"/>
    <w:pPr>
      <w:ind w:left="1680"/>
    </w:pPr>
  </w:style>
  <w:style w:type="paragraph" w:styleId="8">
    <w:name w:val="annotation text"/>
    <w:basedOn w:val="1"/>
    <w:qFormat/>
    <w:uiPriority w:val="0"/>
    <w:pPr>
      <w:jc w:val="left"/>
    </w:pPr>
  </w:style>
  <w:style w:type="paragraph" w:styleId="9">
    <w:name w:val="Body Text"/>
    <w:basedOn w:val="1"/>
    <w:next w:val="10"/>
    <w:link w:val="43"/>
    <w:qFormat/>
    <w:uiPriority w:val="1"/>
    <w:rPr>
      <w:rFonts w:eastAsia="仿宋"/>
      <w:szCs w:val="28"/>
    </w:rPr>
  </w:style>
  <w:style w:type="paragraph" w:styleId="10">
    <w:name w:val="Body Text 2"/>
    <w:basedOn w:val="1"/>
    <w:qFormat/>
    <w:uiPriority w:val="0"/>
    <w:pPr>
      <w:adjustRightInd w:val="0"/>
      <w:snapToGrid w:val="0"/>
      <w:spacing w:line="300" w:lineRule="auto"/>
    </w:pPr>
    <w:rPr>
      <w:rFonts w:ascii="宋体" w:hAnsi="宋体"/>
      <w:sz w:val="28"/>
    </w:rPr>
  </w:style>
  <w:style w:type="paragraph" w:styleId="11">
    <w:name w:val="Body Text Indent"/>
    <w:basedOn w:val="1"/>
    <w:qFormat/>
    <w:uiPriority w:val="0"/>
    <w:pPr>
      <w:spacing w:after="120"/>
      <w:ind w:left="420" w:leftChars="200"/>
    </w:pPr>
  </w:style>
  <w:style w:type="paragraph" w:styleId="12">
    <w:name w:val="Block Text"/>
    <w:basedOn w:val="1"/>
    <w:qFormat/>
    <w:uiPriority w:val="0"/>
    <w:pPr>
      <w:spacing w:after="120" w:afterLines="0" w:afterAutospacing="0"/>
      <w:ind w:left="1440" w:leftChars="700" w:rightChars="700"/>
    </w:pPr>
  </w:style>
  <w:style w:type="paragraph" w:styleId="13">
    <w:name w:val="footer"/>
    <w:basedOn w:val="1"/>
    <w:next w:val="7"/>
    <w:unhideWhenUsed/>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unhideWhenUsed/>
    <w:qFormat/>
    <w:uiPriority w:val="39"/>
  </w:style>
  <w:style w:type="paragraph" w:styleId="16">
    <w:name w:val="toc 2"/>
    <w:basedOn w:val="1"/>
    <w:next w:val="1"/>
    <w:qFormat/>
    <w:uiPriority w:val="0"/>
    <w:pPr>
      <w:ind w:left="420" w:leftChars="200"/>
    </w:p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rPr>
  </w:style>
  <w:style w:type="paragraph" w:styleId="18">
    <w:name w:val="Normal (Web)"/>
    <w:basedOn w:val="1"/>
    <w:qFormat/>
    <w:uiPriority w:val="0"/>
    <w:pPr>
      <w:spacing w:beforeAutospacing="1" w:afterAutospacing="1"/>
      <w:jc w:val="left"/>
    </w:pPr>
    <w:rPr>
      <w:kern w:val="0"/>
      <w:sz w:val="24"/>
    </w:rPr>
  </w:style>
  <w:style w:type="paragraph" w:styleId="19">
    <w:name w:val="Title"/>
    <w:basedOn w:val="1"/>
    <w:next w:val="1"/>
    <w:qFormat/>
    <w:uiPriority w:val="0"/>
    <w:pPr>
      <w:spacing w:before="240" w:after="60"/>
      <w:jc w:val="center"/>
      <w:outlineLvl w:val="0"/>
    </w:pPr>
    <w:rPr>
      <w:rFonts w:ascii="Cambria" w:hAnsi="Cambria"/>
      <w:b/>
      <w:bCs/>
      <w:szCs w:val="32"/>
    </w:rPr>
  </w:style>
  <w:style w:type="paragraph" w:styleId="20">
    <w:name w:val="Body Text First Indent 2"/>
    <w:basedOn w:val="11"/>
    <w:qFormat/>
    <w:uiPriority w:val="0"/>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rFonts w:cs="Times New Roman"/>
      <w:b/>
    </w:rPr>
  </w:style>
  <w:style w:type="character" w:styleId="25">
    <w:name w:val="FollowedHyperlink"/>
    <w:basedOn w:val="23"/>
    <w:qFormat/>
    <w:uiPriority w:val="0"/>
    <w:rPr>
      <w:rFonts w:hint="eastAsia" w:ascii="宋体" w:hAnsi="宋体" w:eastAsia="宋体" w:cs="宋体"/>
      <w:color w:val="272727"/>
      <w:sz w:val="18"/>
      <w:szCs w:val="18"/>
      <w:u w:val="none"/>
    </w:rPr>
  </w:style>
  <w:style w:type="character" w:styleId="26">
    <w:name w:val="Emphasis"/>
    <w:basedOn w:val="23"/>
    <w:qFormat/>
    <w:uiPriority w:val="0"/>
  </w:style>
  <w:style w:type="character" w:styleId="27">
    <w:name w:val="Hyperlink"/>
    <w:basedOn w:val="23"/>
    <w:qFormat/>
    <w:uiPriority w:val="0"/>
    <w:rPr>
      <w:rFonts w:hint="eastAsia" w:ascii="宋体" w:hAnsi="宋体" w:eastAsia="宋体" w:cs="宋体"/>
      <w:color w:val="272727"/>
      <w:sz w:val="18"/>
      <w:szCs w:val="18"/>
      <w:u w:val="none"/>
    </w:rPr>
  </w:style>
  <w:style w:type="paragraph" w:customStyle="1" w:styleId="28">
    <w:name w:val="No Spacing_ad81b47b-6779-4c76-b471-79375858c8cb"/>
    <w:basedOn w:val="1"/>
    <w:qFormat/>
    <w:uiPriority w:val="99"/>
    <w:pPr>
      <w:ind w:firstLine="200" w:firstLineChars="200"/>
    </w:pPr>
  </w:style>
  <w:style w:type="paragraph" w:styleId="29">
    <w:name w:val="List Paragraph"/>
    <w:basedOn w:val="1"/>
    <w:qFormat/>
    <w:uiPriority w:val="34"/>
    <w:pPr>
      <w:ind w:firstLine="420"/>
    </w:p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3">
    <w:name w:val="font21"/>
    <w:basedOn w:val="23"/>
    <w:qFormat/>
    <w:uiPriority w:val="0"/>
    <w:rPr>
      <w:rFonts w:hint="eastAsia" w:ascii="宋体" w:hAnsi="宋体" w:eastAsia="宋体" w:cs="宋体"/>
      <w:color w:val="000000"/>
      <w:sz w:val="24"/>
      <w:szCs w:val="24"/>
      <w:u w:val="none"/>
      <w:vertAlign w:val="superscript"/>
    </w:rPr>
  </w:style>
  <w:style w:type="character" w:customStyle="1" w:styleId="34">
    <w:name w:val="font11"/>
    <w:basedOn w:val="23"/>
    <w:qFormat/>
    <w:uiPriority w:val="0"/>
    <w:rPr>
      <w:rFonts w:hint="eastAsia" w:ascii="宋体" w:hAnsi="宋体" w:eastAsia="宋体" w:cs="宋体"/>
      <w:color w:val="000000"/>
      <w:sz w:val="20"/>
      <w:szCs w:val="20"/>
      <w:u w:val="none"/>
    </w:rPr>
  </w:style>
  <w:style w:type="character" w:customStyle="1" w:styleId="35">
    <w:name w:val="标题 4 字符"/>
    <w:basedOn w:val="23"/>
    <w:link w:val="5"/>
    <w:qFormat/>
    <w:uiPriority w:val="0"/>
    <w:rPr>
      <w:rFonts w:ascii="Arial" w:hAnsi="Arial" w:eastAsia="黑体"/>
      <w:b/>
      <w:bCs/>
      <w:sz w:val="28"/>
      <w:szCs w:val="28"/>
    </w:rPr>
  </w:style>
  <w:style w:type="paragraph" w:customStyle="1" w:styleId="36">
    <w:name w:val="正文 New New New New New New New New New New New New New New New New New New New New"/>
    <w:next w:val="8"/>
    <w:qFormat/>
    <w:uiPriority w:val="0"/>
    <w:pPr>
      <w:widowControl w:val="0"/>
      <w:jc w:val="both"/>
    </w:pPr>
    <w:rPr>
      <w:rFonts w:ascii="Calibri" w:hAnsi="Calibri" w:eastAsia="宋体" w:cs="Times New Roman"/>
      <w:kern w:val="2"/>
      <w:sz w:val="21"/>
      <w:szCs w:val="24"/>
      <w:lang w:val="en-US" w:eastAsia="zh-CN" w:bidi="ar-SA"/>
    </w:rPr>
  </w:style>
  <w:style w:type="character" w:customStyle="1" w:styleId="37">
    <w:name w:val="font31"/>
    <w:basedOn w:val="23"/>
    <w:qFormat/>
    <w:uiPriority w:val="0"/>
    <w:rPr>
      <w:rFonts w:hint="eastAsia" w:ascii="宋体" w:hAnsi="宋体" w:eastAsia="宋体" w:cs="宋体"/>
      <w:color w:val="000000"/>
      <w:sz w:val="21"/>
      <w:szCs w:val="21"/>
      <w:u w:val="none"/>
    </w:rPr>
  </w:style>
  <w:style w:type="character" w:customStyle="1" w:styleId="38">
    <w:name w:val="font51"/>
    <w:basedOn w:val="23"/>
    <w:qFormat/>
    <w:uiPriority w:val="0"/>
    <w:rPr>
      <w:rFonts w:hint="eastAsia" w:ascii="宋体" w:hAnsi="宋体" w:eastAsia="宋体" w:cs="宋体"/>
      <w:color w:val="000000"/>
      <w:sz w:val="21"/>
      <w:szCs w:val="21"/>
      <w:u w:val="none"/>
    </w:rPr>
  </w:style>
  <w:style w:type="character" w:customStyle="1" w:styleId="39">
    <w:name w:val="font01"/>
    <w:basedOn w:val="23"/>
    <w:qFormat/>
    <w:uiPriority w:val="0"/>
    <w:rPr>
      <w:rFonts w:hint="eastAsia" w:ascii="宋体" w:hAnsi="宋体" w:eastAsia="宋体" w:cs="宋体"/>
      <w:color w:val="000000"/>
      <w:sz w:val="21"/>
      <w:szCs w:val="21"/>
      <w:u w:val="none"/>
    </w:rPr>
  </w:style>
  <w:style w:type="paragraph" w:customStyle="1" w:styleId="40">
    <w:name w:val="列出段落1"/>
    <w:basedOn w:val="1"/>
    <w:qFormat/>
    <w:uiPriority w:val="99"/>
    <w:pPr>
      <w:spacing w:line="220" w:lineRule="atLeast"/>
      <w:ind w:firstLine="420" w:firstLineChars="200"/>
    </w:pPr>
  </w:style>
  <w:style w:type="character" w:customStyle="1" w:styleId="41">
    <w:name w:val="hover10"/>
    <w:basedOn w:val="23"/>
    <w:qFormat/>
    <w:uiPriority w:val="0"/>
  </w:style>
  <w:style w:type="character" w:customStyle="1" w:styleId="42">
    <w:name w:val="hover8"/>
    <w:basedOn w:val="23"/>
    <w:qFormat/>
    <w:uiPriority w:val="0"/>
  </w:style>
  <w:style w:type="character" w:customStyle="1" w:styleId="43">
    <w:name w:val="正文文本 Char1"/>
    <w:link w:val="9"/>
    <w:qFormat/>
    <w:uiPriority w:val="1"/>
    <w:rPr>
      <w:rFonts w:eastAsia="仿宋"/>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My%20Documents\WeChat%20Files\wxid_jtrl9uocptir22\FileStorage\File\2021-02\&#21313;&#22235;&#20116;&#35268;&#21010;-&#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5991;&#26723;\&#26032;&#24314;&#25991;&#20214;&#22841;\&#27494;&#23703;&#24066;&#21313;&#22235;&#20116;&#35268;&#21010;\&#21313;&#22235;&#20116;&#35268;&#21010;-&#22270;&#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021\&#27494;&#20872;&#21313;&#22235;&#20116;&#35268;&#21010;2021\&#21313;&#22235;&#20116;&#35268;&#21010;-&#22270;&#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bruce%20jiang\&#33268;&#35802;&#21672;&#35810;&#24037;&#20316;&#30005;&#33041;\&#21313;&#22235;&#20116;&#35268;&#21010;&#36164;&#26009;\&#37045;&#38451;&#24066;&#8220;&#21313;&#22235;&#20116;&#8221;&#35268;&#21010;&#39033;&#30446;-&#31454;&#27901;\&#25104;&#26524;-&#23792;\&#27494;&#20872;&#24066;\&#27494;&#20872;&#24066;&#19987;&#26639;&#25351;&#26631;&#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solidFill>
                  <a:sysClr val="windowText" lastClr="000000"/>
                </a:solidFill>
                <a:latin typeface="华文新魏" panose="02010800040101010101" charset="-122"/>
                <a:ea typeface="华文新魏" panose="02010800040101010101" charset="-122"/>
              </a:rPr>
              <a:t>武冈市地区生产总值增长图</a:t>
            </a:r>
            <a:endParaRPr>
              <a:solidFill>
                <a:sysClr val="windowText" lastClr="000000"/>
              </a:solidFill>
              <a:latin typeface="华文新魏" panose="02010800040101010101" charset="-122"/>
              <a:ea typeface="华文新魏" panose="02010800040101010101" charset="-122"/>
            </a:endParaRPr>
          </a:p>
        </c:rich>
      </c:tx>
      <c:layout>
        <c:manualLayout>
          <c:xMode val="edge"/>
          <c:yMode val="edge"/>
          <c:x val="0.280484610347086"/>
          <c:y val="0.0381944444444444"/>
        </c:manualLayout>
      </c:layout>
      <c:overlay val="0"/>
      <c:spPr>
        <a:noFill/>
        <a:ln>
          <a:noFill/>
        </a:ln>
        <a:effectLst/>
      </c:spPr>
    </c:title>
    <c:autoTitleDeleted val="0"/>
    <c:plotArea>
      <c:layout/>
      <c:barChart>
        <c:barDir val="col"/>
        <c:grouping val="clustered"/>
        <c:varyColors val="0"/>
        <c:ser>
          <c:idx val="0"/>
          <c:order val="0"/>
          <c:tx>
            <c:strRef>
              <c:f>'[十四五规划-图表.xls]Sheet3'!$A$3</c:f>
              <c:strCache>
                <c:ptCount val="1"/>
                <c:pt idx="0">
                  <c:v>地区生产总值(万元)</c:v>
                </c:pt>
              </c:strCache>
            </c:strRef>
          </c:tx>
          <c:spPr>
            <a:solidFill>
              <a:schemeClr val="accent1"/>
            </a:solidFill>
            <a:ln>
              <a:noFill/>
            </a:ln>
            <a:effectLst/>
          </c:spPr>
          <c:invertIfNegative val="0"/>
          <c:dLbls>
            <c:dLbl>
              <c:idx val="5"/>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17219</a:t>
                    </a:r>
                    <a:r>
                      <a:rPr lang="en-US" altLang="zh-CN"/>
                      <a:t>25</a:t>
                    </a:r>
                    <a:endParaRPr lang="en-US" altLang="zh-CN"/>
                  </a:p>
                </c:rich>
              </c:tx>
              <c:dLblPos val="ctr"/>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'[十四五规划-图表.xls]Sheet3'!$B$2:$G$2</c:f>
              <c:strCache>
                <c:ptCount val="6"/>
                <c:pt idx="0">
                  <c:v>2015年</c:v>
                </c:pt>
                <c:pt idx="1">
                  <c:v>2016年</c:v>
                </c:pt>
                <c:pt idx="2">
                  <c:v>2017年</c:v>
                </c:pt>
                <c:pt idx="3">
                  <c:v>2018年</c:v>
                </c:pt>
                <c:pt idx="4">
                  <c:v>2019年</c:v>
                </c:pt>
                <c:pt idx="5">
                  <c:v>2020年</c:v>
                </c:pt>
              </c:strCache>
            </c:strRef>
          </c:cat>
          <c:val>
            <c:numRef>
              <c:f>'[十四五规划-图表.xls]Sheet3'!$B$3:$G$3</c:f>
              <c:numCache>
                <c:formatCode>General</c:formatCode>
                <c:ptCount val="6"/>
                <c:pt idx="0">
                  <c:v>1194200</c:v>
                </c:pt>
                <c:pt idx="1">
                  <c:v>1322395</c:v>
                </c:pt>
                <c:pt idx="2">
                  <c:v>1433403</c:v>
                </c:pt>
                <c:pt idx="3">
                  <c:v>1498401</c:v>
                </c:pt>
                <c:pt idx="4">
                  <c:v>1607257</c:v>
                </c:pt>
                <c:pt idx="5">
                  <c:v>1721900</c:v>
                </c:pt>
              </c:numCache>
            </c:numRef>
          </c:val>
        </c:ser>
        <c:dLbls>
          <c:showLegendKey val="0"/>
          <c:showVal val="0"/>
          <c:showCatName val="0"/>
          <c:showSerName val="0"/>
          <c:showPercent val="0"/>
          <c:showBubbleSize val="0"/>
        </c:dLbls>
        <c:gapWidth val="150"/>
        <c:overlap val="-27"/>
        <c:axId val="524813576"/>
        <c:axId val="709026058"/>
      </c:barChart>
      <c:lineChart>
        <c:grouping val="standard"/>
        <c:varyColors val="0"/>
        <c:ser>
          <c:idx val="1"/>
          <c:order val="1"/>
          <c:tx>
            <c:strRef>
              <c:f>'[十四五规划-图表.xls]Sheet3'!$A$4</c:f>
              <c:strCache>
                <c:ptCount val="1"/>
                <c:pt idx="0">
                  <c:v>增长率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manualLayout>
                  <c:x val="-0.0602525141478073"/>
                  <c:y val="0.0555819308025583"/>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'[十四五规划-图表.xls]Sheet3'!$B$2:$G$2</c:f>
              <c:strCache>
                <c:ptCount val="6"/>
                <c:pt idx="0">
                  <c:v>2015年</c:v>
                </c:pt>
                <c:pt idx="1">
                  <c:v>2016年</c:v>
                </c:pt>
                <c:pt idx="2">
                  <c:v>2017年</c:v>
                </c:pt>
                <c:pt idx="3">
                  <c:v>2018年</c:v>
                </c:pt>
                <c:pt idx="4">
                  <c:v>2019年</c:v>
                </c:pt>
                <c:pt idx="5">
                  <c:v>2020年</c:v>
                </c:pt>
              </c:strCache>
            </c:strRef>
          </c:cat>
          <c:val>
            <c:numRef>
              <c:f>'[十四五规划-图表.xls]Sheet3'!$B$4:$G$4</c:f>
              <c:numCache>
                <c:formatCode>0.00%</c:formatCode>
                <c:ptCount val="6"/>
                <c:pt idx="0">
                  <c:v>0.094</c:v>
                </c:pt>
                <c:pt idx="1">
                  <c:v>0.075</c:v>
                </c:pt>
                <c:pt idx="2">
                  <c:v>0.084</c:v>
                </c:pt>
                <c:pt idx="3">
                  <c:v>0.071</c:v>
                </c:pt>
                <c:pt idx="4">
                  <c:v>0.081</c:v>
                </c:pt>
                <c:pt idx="5">
                  <c:v>0.041</c:v>
                </c:pt>
              </c:numCache>
            </c:numRef>
          </c:val>
          <c:smooth val="0"/>
        </c:ser>
        <c:dLbls>
          <c:showLegendKey val="0"/>
          <c:showVal val="0"/>
          <c:showCatName val="0"/>
          <c:showSerName val="0"/>
          <c:showPercent val="0"/>
          <c:showBubbleSize val="0"/>
        </c:dLbls>
        <c:marker val="1"/>
        <c:smooth val="0"/>
        <c:axId val="572892991"/>
        <c:axId val="679648237"/>
      </c:lineChart>
      <c:catAx>
        <c:axId val="5248135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9026058"/>
        <c:crosses val="autoZero"/>
        <c:auto val="1"/>
        <c:lblAlgn val="ctr"/>
        <c:lblOffset val="100"/>
        <c:noMultiLvlLbl val="0"/>
      </c:catAx>
      <c:valAx>
        <c:axId val="70902605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4813576"/>
        <c:crosses val="autoZero"/>
        <c:crossBetween val="between"/>
        <c:majorUnit val="300000"/>
      </c:valAx>
      <c:catAx>
        <c:axId val="572892991"/>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9648237"/>
        <c:crosses val="autoZero"/>
        <c:auto val="1"/>
        <c:lblAlgn val="ctr"/>
        <c:lblOffset val="100"/>
        <c:noMultiLvlLbl val="0"/>
      </c:catAx>
      <c:valAx>
        <c:axId val="679648237"/>
        <c:scaling>
          <c:orientation val="minMax"/>
        </c:scaling>
        <c:delete val="0"/>
        <c:axPos val="r"/>
        <c:numFmt formatCode="0.00%" sourceLinked="1"/>
        <c:majorTickMark val="none"/>
        <c:minorTickMark val="none"/>
        <c:tickLblPos val="nextTo"/>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2892991"/>
        <c:crosses val="max"/>
        <c:crossBetween val="between"/>
        <c:majorUnit val="0.02"/>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b4636aa-7869-40b6-951a-5a5ba64501ee}"/>
      </c:ext>
    </c:extLst>
  </c:chart>
  <c:spPr>
    <a:solidFill>
      <a:schemeClr val="bg1"/>
    </a:solidFill>
    <a:ln w="9525" cap="flat" cmpd="sng" algn="ctr">
      <a:solidFill>
        <a:schemeClr val="tx1">
          <a:lumMod val="15000"/>
          <a:lumOff val="85000"/>
        </a:schemeClr>
      </a:solidFill>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rgbClr val="000000">
                    <a:alpha val="100000"/>
                  </a:srgbClr>
                </a:solidFill>
                <a:latin typeface="华文新魏" panose="02010800040101010101" charset="-122"/>
                <a:ea typeface="华文新魏" panose="02010800040101010101" charset="-122"/>
                <a:cs typeface="华文新魏" panose="02010800040101010101" charset="-122"/>
              </a:defRPr>
            </a:pPr>
            <a:r>
              <a:rPr>
                <a:solidFill>
                  <a:sysClr val="windowText" lastClr="000000">
                    <a:alpha val="100000"/>
                  </a:sysClr>
                </a:solidFill>
              </a:rPr>
              <a:t>武冈市全体居民可支配收入增长图</a:t>
            </a:r>
            <a:endParaRPr sz="1400" i="0" u="none" strike="noStrike" baseline="0">
              <a:solidFill>
                <a:sysClr val="windowText" lastClr="000000">
                  <a:alpha val="100000"/>
                </a:sysClr>
              </a:solidFill>
              <a:latin typeface="华文新魏" panose="02010800040101010101" charset="-122"/>
              <a:ea typeface="华文新魏" panose="02010800040101010101" charset="-122"/>
              <a:cs typeface="华文新魏" panose="02010800040101010101" charset="-122"/>
            </a:endParaRPr>
          </a:p>
        </c:rich>
      </c:tx>
      <c:layout>
        <c:manualLayout>
          <c:xMode val="edge"/>
          <c:yMode val="edge"/>
          <c:x val="0.242724201772248"/>
          <c:y val="0.0443027848356016"/>
        </c:manualLayout>
      </c:layout>
      <c:overlay val="0"/>
      <c:spPr>
        <a:solidFill>
          <a:schemeClr val="bg1"/>
        </a:solidFill>
        <a:ln>
          <a:noFill/>
        </a:ln>
        <a:effectLst/>
      </c:spPr>
    </c:title>
    <c:autoTitleDeleted val="0"/>
    <c:plotArea>
      <c:layout>
        <c:manualLayout>
          <c:layoutTarget val="inner"/>
          <c:xMode val="edge"/>
          <c:yMode val="edge"/>
          <c:x val="0.13023498694517"/>
          <c:y val="0.195094760312152"/>
          <c:w val="0.793524804177546"/>
          <c:h val="0.569988851727982"/>
        </c:manualLayout>
      </c:layout>
      <c:barChart>
        <c:barDir val="col"/>
        <c:grouping val="clustered"/>
        <c:varyColors val="0"/>
        <c:ser>
          <c:idx val="0"/>
          <c:order val="0"/>
          <c:tx>
            <c:strRef>
              <c:f>'[十四五规划-图表.xls]Sheet2'!$A$3</c:f>
              <c:strCache>
                <c:ptCount val="1"/>
                <c:pt idx="0">
                  <c:v>全体居民可支配收入</c:v>
                </c:pt>
              </c:strCache>
            </c:strRef>
          </c:tx>
          <c:spPr>
            <a:solidFill>
              <a:srgbClr val="5B9BD5">
                <a:alpha val="100000"/>
              </a:srgbClr>
            </a:solidFill>
            <a:ln w="3175">
              <a:noFill/>
            </a:ln>
          </c:spPr>
          <c:invertIfNegative val="0"/>
          <c:dLbls>
            <c:dLbl>
              <c:idx val="5"/>
              <c:layout/>
              <c:tx>
                <c:rich>
                  <a:bodyPr rot="0" spcFirstLastPara="0" vertOverflow="ellipsis" vert="horz" wrap="square" lIns="38100" tIns="19050" rIns="38100" bIns="19050" anchor="ctr" anchorCtr="1"/>
                  <a:lstStyle/>
                  <a:p>
                    <a:pPr defTabSz="914400">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en-US" altLang="zh-CN"/>
                      <a:t>20950</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'[十四五规划-图表.xls]Sheet2'!$B$2:$G$2</c:f>
              <c:numCache>
                <c:formatCode>General</c:formatCode>
                <c:ptCount val="6"/>
                <c:pt idx="0">
                  <c:v>2015</c:v>
                </c:pt>
                <c:pt idx="1">
                  <c:v>2016</c:v>
                </c:pt>
                <c:pt idx="2">
                  <c:v>2017</c:v>
                </c:pt>
                <c:pt idx="3">
                  <c:v>2018</c:v>
                </c:pt>
                <c:pt idx="4">
                  <c:v>2019</c:v>
                </c:pt>
                <c:pt idx="5">
                  <c:v>2020</c:v>
                </c:pt>
              </c:numCache>
            </c:numRef>
          </c:cat>
          <c:val>
            <c:numRef>
              <c:f>'[十四五规划-图表.xls]Sheet2'!$B$3:$G$3</c:f>
              <c:numCache>
                <c:formatCode>General</c:formatCode>
                <c:ptCount val="6"/>
                <c:pt idx="0">
                  <c:v>12690</c:v>
                </c:pt>
                <c:pt idx="1">
                  <c:v>14193</c:v>
                </c:pt>
                <c:pt idx="2">
                  <c:v>16030</c:v>
                </c:pt>
                <c:pt idx="3">
                  <c:v>17827</c:v>
                </c:pt>
                <c:pt idx="4">
                  <c:v>19700</c:v>
                </c:pt>
                <c:pt idx="5">
                  <c:v>21867</c:v>
                </c:pt>
              </c:numCache>
            </c:numRef>
          </c:val>
        </c:ser>
        <c:ser>
          <c:idx val="1"/>
          <c:order val="1"/>
          <c:tx>
            <c:strRef>
              <c:f>'[十四五规划-图表.xls]Sheet2'!#REF!</c:f>
              <c:strCache>
                <c:ptCount val="1"/>
                <c:pt idx="0">
                  <c:v/>
                </c:pt>
              </c:strCache>
            </c:strRef>
          </c:tx>
          <c:spPr>
            <a:solidFill>
              <a:srgbClr val="ED7D31">
                <a:alpha val="100000"/>
              </a:srgbClr>
            </a:solidFill>
            <a:ln w="3175">
              <a:noFill/>
            </a:ln>
          </c:spPr>
          <c:invertIfNegative val="0"/>
          <c:dLbls>
            <c:dLbl>
              <c:idx val="0"/>
              <c:delete val="1"/>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'[十四五规划-图表.xls]Sheet2'!$B$2:$G$2</c:f>
              <c:numCache>
                <c:formatCode>General</c:formatCode>
                <c:ptCount val="6"/>
                <c:pt idx="0">
                  <c:v>2015</c:v>
                </c:pt>
                <c:pt idx="1">
                  <c:v>2016</c:v>
                </c:pt>
                <c:pt idx="2">
                  <c:v>2017</c:v>
                </c:pt>
                <c:pt idx="3">
                  <c:v>2018</c:v>
                </c:pt>
                <c:pt idx="4">
                  <c:v>2019</c:v>
                </c:pt>
                <c:pt idx="5">
                  <c:v>2020</c:v>
                </c:pt>
              </c:numCache>
            </c:numRef>
          </c:cat>
          <c:val>
            <c:numRef>
              <c:f>'[十四五规划-图表.xls]Sheet2'!#REF!</c:f>
              <c:numCache>
                <c:formatCode>General</c:formatCode>
                <c:ptCount val="1"/>
                <c:pt idx="0">
                  <c:v>1</c:v>
                </c:pt>
              </c:numCache>
            </c:numRef>
          </c:val>
        </c:ser>
        <c:dLbls>
          <c:showLegendKey val="0"/>
          <c:showVal val="0"/>
          <c:showCatName val="0"/>
          <c:showSerName val="0"/>
          <c:showPercent val="0"/>
          <c:showBubbleSize val="0"/>
        </c:dLbls>
        <c:gapWidth val="163"/>
        <c:overlap val="100"/>
        <c:axId val="707463864"/>
        <c:axId val="856083173"/>
      </c:barChart>
      <c:catAx>
        <c:axId val="70746386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856083173"/>
        <c:crosses val="autoZero"/>
        <c:auto val="1"/>
        <c:lblAlgn val="ctr"/>
        <c:lblOffset val="100"/>
        <c:noMultiLvlLbl val="0"/>
      </c:catAx>
      <c:valAx>
        <c:axId val="856083173"/>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707463864"/>
        <c:crosses val="autoZero"/>
        <c:crossBetween val="between"/>
      </c:valAx>
      <c:spPr>
        <a:noFill/>
        <a:ln>
          <a:noFill/>
        </a:ln>
        <a:effectLst/>
      </c:spPr>
    </c:plotArea>
    <c:legend>
      <c:legendPos val="b"/>
      <c:legendEntry>
        <c:idx val="1"/>
        <c:delete val="1"/>
      </c:legendEntry>
      <c:layout>
        <c:manualLayout>
          <c:xMode val="edge"/>
          <c:yMode val="edge"/>
          <c:x val="0.229930523390459"/>
          <c:y val="0.86581067142965"/>
          <c:w val="0.539033914878287"/>
          <c:h val="0.0742475241712997"/>
        </c:manualLayout>
      </c:layout>
      <c:overlay val="0"/>
      <c:txPr>
        <a:bodyPr rot="0" spcFirstLastPara="0" vertOverflow="ellipsis" vert="horz" wrap="square" anchor="ctr" anchorCtr="1"/>
        <a:lstStyle/>
        <a:p>
          <a:pPr>
            <a:defRPr lang="zh-CN" sz="10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p>
      </c:txPr>
    </c:legend>
    <c:plotVisOnly val="1"/>
    <c:dispBlanksAs val="gap"/>
    <c:showDLblsOverMax val="0"/>
    <c:extLst>
      <c:ext uri="{0b15fc19-7d7d-44ad-8c2d-2c3a37ce22c3}">
        <chartProps xmlns="https://web.wps.cn/et/2018/main" chartId="{11c592d9-c0ec-4ea9-ac8e-81f6bc83f3eb}"/>
      </c:ext>
    </c:extLst>
  </c:chart>
  <c:spPr>
    <a:solidFill>
      <a:schemeClr val="bg1"/>
    </a:solidFill>
    <a:ln w="9525" cap="flat" cmpd="sng" algn="ctr">
      <a:solidFill>
        <a:schemeClr val="tx1">
          <a:lumMod val="15000"/>
          <a:lumOff val="85000"/>
        </a:schemeClr>
      </a:solidFill>
      <a:prstDash val="solid"/>
      <a:round/>
    </a:ln>
    <a:effectLst/>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rgbClr val="000000">
                    <a:alpha val="100000"/>
                  </a:srgbClr>
                </a:solidFill>
                <a:latin typeface="华文行楷" panose="02010800040101010101" charset="-122"/>
                <a:ea typeface="华文行楷" panose="02010800040101010101" charset="-122"/>
                <a:cs typeface="华文行楷" panose="02010800040101010101" charset="-122"/>
              </a:defRPr>
            </a:pPr>
            <a:r>
              <a:rPr sz="1400">
                <a:solidFill>
                  <a:sysClr val="windowText" lastClr="000000">
                    <a:alpha val="100000"/>
                  </a:sysClr>
                </a:solidFill>
                <a:latin typeface="华文新魏" panose="02010800040101010101" charset="-122"/>
                <a:ea typeface="华文新魏" panose="02010800040101010101" charset="-122"/>
              </a:rPr>
              <a:t>武冈市三次产业结构变动趋势图</a:t>
            </a:r>
            <a:endParaRPr sz="1400" b="0" i="0" u="none" strike="noStrike" baseline="0">
              <a:solidFill>
                <a:sysClr val="windowText" lastClr="000000">
                  <a:alpha val="100000"/>
                </a:sysClr>
              </a:solidFill>
              <a:latin typeface="华文新魏" panose="02010800040101010101" charset="-122"/>
              <a:ea typeface="华文新魏" panose="02010800040101010101" charset="-122"/>
              <a:cs typeface="华文行楷" panose="02010800040101010101" charset="-122"/>
            </a:endParaRPr>
          </a:p>
        </c:rich>
      </c:tx>
      <c:layout>
        <c:manualLayout>
          <c:xMode val="edge"/>
          <c:yMode val="edge"/>
          <c:x val="0.263103249880821"/>
          <c:y val="0.0251361350915473"/>
        </c:manualLayout>
      </c:layout>
      <c:overlay val="0"/>
      <c:spPr>
        <a:noFill/>
        <a:ln w="3175">
          <a:noFill/>
        </a:ln>
      </c:spPr>
    </c:title>
    <c:autoTitleDeleted val="0"/>
    <c:plotArea>
      <c:layout/>
      <c:areaChart>
        <c:grouping val="percentStacked"/>
        <c:varyColors val="0"/>
        <c:ser>
          <c:idx val="0"/>
          <c:order val="0"/>
          <c:tx>
            <c:strRef>
              <c:f>'[十四五规划-图表.xls]Sheet1'!$A$2</c:f>
              <c:strCache>
                <c:ptCount val="1"/>
                <c:pt idx="0">
                  <c:v>一产</c:v>
                </c:pt>
              </c:strCache>
            </c:strRef>
          </c:tx>
          <c:spPr>
            <a:solidFill>
              <a:srgbClr val="5B9BD5">
                <a:alpha val="100000"/>
              </a:srgbClr>
            </a:solidFill>
            <a:ln w="3175">
              <a:noFill/>
            </a:ln>
          </c:spPr>
          <c:dLbls>
            <c:numFmt formatCode="0.0%" sourceLinked="0"/>
            <c:spPr>
              <a:noFill/>
              <a:ln w="3175">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'[十四五规划-图表.xls]Sheet1'!$B$1:$G$1</c:f>
              <c:strCache>
                <c:ptCount val="6"/>
                <c:pt idx="0">
                  <c:v>2015年</c:v>
                </c:pt>
                <c:pt idx="1">
                  <c:v>2016年</c:v>
                </c:pt>
                <c:pt idx="2">
                  <c:v>2017年</c:v>
                </c:pt>
                <c:pt idx="3">
                  <c:v>2018年</c:v>
                </c:pt>
                <c:pt idx="4">
                  <c:v>2019年</c:v>
                </c:pt>
                <c:pt idx="5">
                  <c:v>2020年</c:v>
                </c:pt>
              </c:strCache>
            </c:strRef>
          </c:cat>
          <c:val>
            <c:numRef>
              <c:f>'[十四五规划-图表.xls]Sheet1'!$B$2:$G$2</c:f>
              <c:numCache>
                <c:formatCode>0.00%</c:formatCode>
                <c:ptCount val="6"/>
                <c:pt idx="0">
                  <c:v>0.354</c:v>
                </c:pt>
                <c:pt idx="1">
                  <c:v>0.359</c:v>
                </c:pt>
                <c:pt idx="2">
                  <c:v>0.327</c:v>
                </c:pt>
                <c:pt idx="3">
                  <c:v>0.281</c:v>
                </c:pt>
                <c:pt idx="4">
                  <c:v>0.303</c:v>
                </c:pt>
                <c:pt idx="5">
                  <c:v>0.337</c:v>
                </c:pt>
              </c:numCache>
            </c:numRef>
          </c:val>
        </c:ser>
        <c:ser>
          <c:idx val="1"/>
          <c:order val="1"/>
          <c:tx>
            <c:strRef>
              <c:f>'[十四五规划-图表.xls]Sheet1'!$A$3</c:f>
              <c:strCache>
                <c:ptCount val="1"/>
                <c:pt idx="0">
                  <c:v>二产</c:v>
                </c:pt>
              </c:strCache>
            </c:strRef>
          </c:tx>
          <c:spPr>
            <a:solidFill>
              <a:srgbClr val="ED7D31">
                <a:alpha val="100000"/>
              </a:srgbClr>
            </a:solidFill>
            <a:ln w="3175">
              <a:noFill/>
            </a:ln>
          </c:spPr>
          <c:dLbls>
            <c:numFmt formatCode="0.0%" sourceLinked="0"/>
            <c:spPr>
              <a:noFill/>
              <a:ln w="3175">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'[十四五规划-图表.xls]Sheet1'!$B$1:$G$1</c:f>
              <c:strCache>
                <c:ptCount val="6"/>
                <c:pt idx="0">
                  <c:v>2015年</c:v>
                </c:pt>
                <c:pt idx="1">
                  <c:v>2016年</c:v>
                </c:pt>
                <c:pt idx="2">
                  <c:v>2017年</c:v>
                </c:pt>
                <c:pt idx="3">
                  <c:v>2018年</c:v>
                </c:pt>
                <c:pt idx="4">
                  <c:v>2019年</c:v>
                </c:pt>
                <c:pt idx="5">
                  <c:v>2020年</c:v>
                </c:pt>
              </c:strCache>
            </c:strRef>
          </c:cat>
          <c:val>
            <c:numRef>
              <c:f>'[十四五规划-图表.xls]Sheet1'!$B$3:$G$3</c:f>
              <c:numCache>
                <c:formatCode>0.00%</c:formatCode>
                <c:ptCount val="6"/>
                <c:pt idx="0">
                  <c:v>0.2</c:v>
                </c:pt>
                <c:pt idx="1">
                  <c:v>0.189</c:v>
                </c:pt>
                <c:pt idx="2" c:formatCode="0%">
                  <c:v>0.19</c:v>
                </c:pt>
                <c:pt idx="3">
                  <c:v>0.199</c:v>
                </c:pt>
                <c:pt idx="4">
                  <c:v>0.235</c:v>
                </c:pt>
                <c:pt idx="5">
                  <c:v>0.224</c:v>
                </c:pt>
              </c:numCache>
            </c:numRef>
          </c:val>
        </c:ser>
        <c:ser>
          <c:idx val="2"/>
          <c:order val="2"/>
          <c:tx>
            <c:strRef>
              <c:f>'[十四五规划-图表.xls]Sheet1'!$A$4</c:f>
              <c:strCache>
                <c:ptCount val="1"/>
                <c:pt idx="0">
                  <c:v>三产</c:v>
                </c:pt>
              </c:strCache>
            </c:strRef>
          </c:tx>
          <c:spPr>
            <a:solidFill>
              <a:srgbClr val="70AD47">
                <a:alpha val="100000"/>
              </a:srgbClr>
            </a:solidFill>
            <a:ln w="3175">
              <a:noFill/>
            </a:ln>
          </c:spPr>
          <c:dLbls>
            <c:numFmt formatCode="0.0%" sourceLinked="0"/>
            <c:spPr>
              <a:noFill/>
              <a:ln w="3175">
                <a:noFill/>
              </a:ln>
              <a:effectLst/>
            </c:spPr>
            <c:txPr>
              <a:bodyPr rot="0" spcFirstLastPara="0" vertOverflow="ellipsis" vert="horz" wrap="square" lIns="38100" tIns="19050" rIns="38100" bIns="19050"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'[十四五规划-图表.xls]Sheet1'!$B$1:$G$1</c:f>
              <c:strCache>
                <c:ptCount val="6"/>
                <c:pt idx="0">
                  <c:v>2015年</c:v>
                </c:pt>
                <c:pt idx="1">
                  <c:v>2016年</c:v>
                </c:pt>
                <c:pt idx="2">
                  <c:v>2017年</c:v>
                </c:pt>
                <c:pt idx="3">
                  <c:v>2018年</c:v>
                </c:pt>
                <c:pt idx="4">
                  <c:v>2019年</c:v>
                </c:pt>
                <c:pt idx="5">
                  <c:v>2020年</c:v>
                </c:pt>
              </c:strCache>
            </c:strRef>
          </c:cat>
          <c:val>
            <c:numRef>
              <c:f>'[十四五规划-图表.xls]Sheet1'!$B$4:$G$4</c:f>
              <c:numCache>
                <c:formatCode>0.00%</c:formatCode>
                <c:ptCount val="6"/>
                <c:pt idx="0">
                  <c:v>0.446</c:v>
                </c:pt>
                <c:pt idx="1">
                  <c:v>0.452</c:v>
                </c:pt>
                <c:pt idx="2">
                  <c:v>0.483</c:v>
                </c:pt>
                <c:pt idx="3">
                  <c:v>0.52</c:v>
                </c:pt>
                <c:pt idx="4">
                  <c:v>0.462</c:v>
                </c:pt>
                <c:pt idx="5">
                  <c:v>0.439</c:v>
                </c:pt>
              </c:numCache>
            </c:numRef>
          </c:val>
        </c:ser>
        <c:dLbls>
          <c:showLegendKey val="0"/>
          <c:showVal val="0"/>
          <c:showCatName val="0"/>
          <c:showSerName val="0"/>
          <c:showPercent val="0"/>
          <c:showBubbleSize val="0"/>
        </c:dLbls>
        <c:axId val="435234221"/>
        <c:axId val="723424408"/>
      </c:areaChart>
      <c:catAx>
        <c:axId val="435234221"/>
        <c:scaling>
          <c:orientation val="minMax"/>
        </c:scaling>
        <c:delete val="0"/>
        <c:axPos val="b"/>
        <c:majorGridlines>
          <c:spPr>
            <a:ln w="9525" cap="flat" cmpd="sng" algn="ctr">
              <a:solidFill>
                <a:schemeClr val="tx1">
                  <a:lumMod val="15000"/>
                  <a:lumOff val="85000"/>
                </a:schemeClr>
              </a:solidFill>
              <a:prstDash val="solid"/>
              <a:round/>
            </a:ln>
            <a:effectLst/>
          </c:spPr>
        </c:majorGridlines>
        <c:majorTickMark val="out"/>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723424408"/>
        <c:crosses val="autoZero"/>
        <c:auto val="1"/>
        <c:lblAlgn val="ctr"/>
        <c:lblOffset val="100"/>
        <c:noMultiLvlLbl val="0"/>
      </c:catAx>
      <c:valAx>
        <c:axId val="723424408"/>
        <c:scaling>
          <c:orientation val="minMax"/>
        </c:scaling>
        <c:delete val="0"/>
        <c:axPos val="l"/>
        <c:numFmt formatCode="0%" sourceLinked="0"/>
        <c:majorTickMark val="none"/>
        <c:minorTickMark val="none"/>
        <c:tickLblPos val="none"/>
        <c:spPr>
          <a:ln w="3175" cap="flat" cmpd="sng" algn="ctr">
            <a:noFill/>
            <a:prstDash val="solid"/>
            <a:round/>
          </a:ln>
        </c:spPr>
        <c:txPr>
          <a:bodyPr rot="0" spcFirstLastPara="0" vertOverflow="ellipsis" vert="horz" wrap="square" anchor="ctr" anchorCtr="1"/>
          <a:lstStyle/>
          <a:p>
            <a:pPr>
              <a:defRPr lang="zh-CN" sz="1000" b="0" i="0" u="none" strike="noStrike" kern="1200" baseline="0">
                <a:solidFill>
                  <a:srgbClr val="333333">
                    <a:alpha val="100000"/>
                  </a:srgbClr>
                </a:solidFill>
                <a:latin typeface="宋体" panose="02010600030101010101" charset="-122"/>
                <a:ea typeface="宋体" panose="02010600030101010101" charset="-122"/>
                <a:cs typeface="宋体" panose="02010600030101010101" charset="-122"/>
              </a:defRPr>
            </a:pPr>
          </a:p>
        </c:txPr>
        <c:crossAx val="435234221"/>
        <c:crosses val="autoZero"/>
        <c:crossBetween val="midCat"/>
      </c:valAx>
      <c:spPr>
        <a:noFill/>
        <a:ln w="3175">
          <a:noFill/>
        </a:ln>
      </c:spPr>
    </c:plotArea>
    <c:legend>
      <c:legendPos val="b"/>
      <c:layout/>
      <c:overlay val="0"/>
      <c:spPr>
        <a:noFill/>
        <a:ln w="3175">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p>
      </c:txPr>
    </c:legend>
    <c:plotVisOnly val="1"/>
    <c:dispBlanksAs val="zero"/>
    <c:showDLblsOverMax val="0"/>
    <c:extLst>
      <c:ext uri="{0b15fc19-7d7d-44ad-8c2d-2c3a37ce22c3}">
        <chartProps xmlns="https://web.wps.cn/et/2018/main" chartId="{e3ef6c02-2b24-4e7e-952a-8bed70b33f45}"/>
      </c:ext>
    </c:extLst>
  </c:chart>
  <c:spPr>
    <a:solidFill>
      <a:schemeClr val="bg1"/>
    </a:solidFill>
    <a:ln w="9525" cap="flat" cmpd="sng" algn="ctr">
      <a:solidFill>
        <a:schemeClr val="tx1">
          <a:lumMod val="15000"/>
          <a:lumOff val="85000"/>
        </a:schemeClr>
      </a:solidFill>
      <a:prstDash val="solid"/>
      <a:round/>
    </a:ln>
    <a:effectLst/>
  </c:spPr>
  <c:txPr>
    <a:bodyPr rot="0" wrap="square" anchor="ctr" anchorCtr="1"/>
    <a:lstStyle/>
    <a:p>
      <a:pPr>
        <a:defRPr lang="zh-CN" sz="10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69707000122594"/>
          <c:y val="0.115071045888656"/>
          <c:w val="0.949491234522496"/>
          <c:h val="0.833682739343117"/>
        </c:manualLayout>
      </c:layout>
      <c:barChart>
        <c:barDir val="col"/>
        <c:grouping val="stacked"/>
        <c:varyColors val="0"/>
        <c:ser>
          <c:idx val="0"/>
          <c:order val="0"/>
          <c:tx>
            <c:strRef>
              <c:f>[武冈市专栏指标表.xls]产业链图!$A$2</c:f>
              <c:strCache>
                <c:ptCount val="1"/>
                <c:pt idx="0">
                  <c:v>产业产值（亿元）</c:v>
                </c:pt>
              </c:strCache>
            </c:strRef>
          </c:tx>
          <c:spPr>
            <a:solidFill>
              <a:schemeClr val="accent1">
                <a:lumMod val="60000"/>
                <a:lumOff val="40000"/>
              </a:schemeClr>
            </a:solidFill>
            <a:ln>
              <a:noFill/>
            </a:ln>
            <a:effectLst/>
          </c:spPr>
          <c:invertIfNegative val="0"/>
          <c:dPt>
            <c:idx val="0"/>
            <c:invertIfNegative val="0"/>
            <c:bubble3D val="0"/>
            <c:spPr>
              <a:solidFill>
                <a:schemeClr val="accent2">
                  <a:lumMod val="40000"/>
                  <a:lumOff val="60000"/>
                  <a:alpha val="70000"/>
                </a:schemeClr>
              </a:solidFill>
              <a:ln>
                <a:noFill/>
              </a:ln>
              <a:effectLst/>
            </c:spPr>
          </c:dPt>
          <c:dPt>
            <c:idx val="1"/>
            <c:invertIfNegative val="0"/>
            <c:bubble3D val="0"/>
            <c:spPr>
              <a:solidFill>
                <a:schemeClr val="accent2">
                  <a:lumMod val="40000"/>
                  <a:lumOff val="60000"/>
                  <a:alpha val="70000"/>
                </a:schemeClr>
              </a:solidFill>
              <a:ln>
                <a:noFill/>
              </a:ln>
              <a:effectLst/>
            </c:spPr>
          </c:dPt>
          <c:dPt>
            <c:idx val="3"/>
            <c:invertIfNegative val="0"/>
            <c:bubble3D val="0"/>
            <c:spPr>
              <a:solidFill>
                <a:schemeClr val="accent1">
                  <a:lumMod val="60000"/>
                  <a:lumOff val="40000"/>
                  <a:alpha val="50000"/>
                </a:schemeClr>
              </a:solidFill>
              <a:ln>
                <a:noFill/>
              </a:ln>
              <a:effectLst/>
            </c:spPr>
          </c:dPt>
          <c:dPt>
            <c:idx val="4"/>
            <c:invertIfNegative val="0"/>
            <c:bubble3D val="0"/>
            <c:spPr>
              <a:solidFill>
                <a:schemeClr val="accent1">
                  <a:lumMod val="60000"/>
                  <a:lumOff val="40000"/>
                  <a:alpha val="50000"/>
                </a:schemeClr>
              </a:solidFill>
              <a:ln>
                <a:noFill/>
              </a:ln>
              <a:effectLst/>
            </c:spPr>
          </c:dPt>
          <c:dPt>
            <c:idx val="5"/>
            <c:invertIfNegative val="0"/>
            <c:bubble3D val="0"/>
            <c:spPr>
              <a:solidFill>
                <a:schemeClr val="accent1">
                  <a:lumMod val="60000"/>
                  <a:lumOff val="40000"/>
                  <a:alpha val="50000"/>
                </a:schemeClr>
              </a:solidFill>
              <a:ln>
                <a:noFill/>
              </a:ln>
              <a:effectLst/>
            </c:spPr>
          </c:dPt>
          <c:dLbls>
            <c:dLbl>
              <c:idx val="0"/>
              <c:layout>
                <c:manualLayout>
                  <c:x val="0"/>
                  <c:y val="-0.340071751871717"/>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175855991943605"/>
                      <c:h val="0.199903077295857"/>
                    </c:manualLayout>
                  </c15:layout>
                </c:ext>
              </c:extLst>
            </c:dLbl>
            <c:dLbl>
              <c:idx val="1"/>
              <c:layout>
                <c:manualLayout>
                  <c:x val="0.00906344410876133"/>
                  <c:y val="-0.374860749809888"/>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0301405732837321"/>
                  <c:y val="-0.273070683756823"/>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214249790444258"/>
                      <c:h val="0.2"/>
                    </c:manualLayout>
                  </c15:layout>
                </c:ext>
              </c:extLst>
            </c:dLbl>
            <c:dLbl>
              <c:idx val="3"/>
              <c:layout>
                <c:manualLayout>
                  <c:x val="-0.00221947157131919"/>
                  <c:y val="-0.195980450873447"/>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0755287009063444"/>
                  <c:y val="-0.433816981690854"/>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0482061447417691"/>
                  <c:y val="-0.308625268390154"/>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layout>
                <c:manualLayout>
                  <c:x val="0"/>
                  <c:y val="-0.248771011897673"/>
                </c:manualLayout>
              </c:layout>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142875125881168"/>
                      <c:h val="0.199903077295857"/>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dLblPos val="ctr"/>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[武冈市专栏指标表.xls]产业链图!$B$1:$H$1</c:f>
              <c:strCache>
                <c:ptCount val="7"/>
                <c:pt idx="0">
                  <c:v>电子信息产业</c:v>
                </c:pt>
                <c:pt idx="1">
                  <c:v>装备制造产业</c:v>
                </c:pt>
                <c:pt idx="2">
                  <c:v>新材料产业</c:v>
                </c:pt>
                <c:pt idx="3">
                  <c:v>生物医药产业</c:v>
                </c:pt>
                <c:pt idx="4">
                  <c:v>食品加工产业</c:v>
                </c:pt>
                <c:pt idx="5">
                  <c:v>建材产业</c:v>
                </c:pt>
                <c:pt idx="6">
                  <c:v>轻工产业</c:v>
                </c:pt>
              </c:strCache>
            </c:strRef>
          </c:cat>
          <c:val>
            <c:numRef>
              <c:f>[武冈市专栏指标表.xls]产业链图!$B$2:$H$2</c:f>
              <c:numCache>
                <c:formatCode>General</c:formatCode>
                <c:ptCount val="7"/>
                <c:pt idx="0">
                  <c:v>20</c:v>
                </c:pt>
                <c:pt idx="1">
                  <c:v>25</c:v>
                </c:pt>
                <c:pt idx="2">
                  <c:v>15</c:v>
                </c:pt>
                <c:pt idx="3">
                  <c:v>10</c:v>
                </c:pt>
                <c:pt idx="4">
                  <c:v>30</c:v>
                </c:pt>
                <c:pt idx="5">
                  <c:v>20</c:v>
                </c:pt>
                <c:pt idx="6">
                  <c:v>15</c:v>
                </c:pt>
              </c:numCache>
            </c:numRef>
          </c:val>
        </c:ser>
        <c:dLbls>
          <c:showLegendKey val="0"/>
          <c:showVal val="1"/>
          <c:showCatName val="1"/>
          <c:showSerName val="0"/>
          <c:showPercent val="0"/>
          <c:showBubbleSize val="0"/>
        </c:dLbls>
        <c:gapWidth val="40"/>
        <c:overlap val="100"/>
        <c:axId val="698649927"/>
        <c:axId val="827111352"/>
      </c:barChart>
      <c:catAx>
        <c:axId val="698649927"/>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111352"/>
        <c:crosses val="autoZero"/>
        <c:auto val="1"/>
        <c:lblAlgn val="ctr"/>
        <c:lblOffset val="100"/>
        <c:noMultiLvlLbl val="0"/>
      </c:catAx>
      <c:valAx>
        <c:axId val="827111352"/>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8649927"/>
        <c:crosses val="autoZero"/>
        <c:crossBetween val="between"/>
      </c:valAx>
      <c:spPr>
        <a:noFill/>
        <a:ln>
          <a:noFill/>
        </a:ln>
        <a:effectLst/>
      </c:spPr>
    </c:plotArea>
    <c:plotVisOnly val="1"/>
    <c:dispBlanksAs val="gap"/>
    <c:showDLblsOverMax val="0"/>
    <c:extLst>
      <c:ext uri="{0b15fc19-7d7d-44ad-8c2d-2c3a37ce22c3}">
        <chartProps xmlns="https://web.wps.cn/et/2018/main" chartId="{ba9fd1a3-ac3a-482f-9f4c-a4a92a17fe2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145</Pages>
  <Words>6135</Words>
  <Characters>6587</Characters>
  <Lines>473</Lines>
  <Paragraphs>133</Paragraphs>
  <TotalTime>145</TotalTime>
  <ScaleCrop>false</ScaleCrop>
  <LinksUpToDate>false</LinksUpToDate>
  <CharactersWithSpaces>6896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2020-09-09T10:08:00Z</dcterms:created>
  <dc:creator>Administrator</dc:creator>
  <cp:lastModifiedBy>随风而起</cp:lastModifiedBy>
  <cp:lastPrinted>2021-07-12T08:39:00Z</cp:lastPrinted>
  <dcterms:modified xsi:type="dcterms:W3CDTF">2025-04-01T04:16:45Z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0_embed</vt:lpwstr>
  </property>
  <property fmtid="{D5CDD505-2E9C-101B-9397-08002B2CF9AE}" pid="4" name="ICV">
    <vt:lpwstr>0AE03D621DB5446CBB8D4AD52FD8B503</vt:lpwstr>
  </property>
  <property fmtid="{D5CDD505-2E9C-101B-9397-08002B2CF9AE}" pid="5" name="KSOTemplateDocerSaveRecord">
    <vt:lpwstr>eyJoZGlkIjoiMzUyMGJjZGJkYTMxNmM2MGVkODM5NTNmZjk2YzllNDIiLCJ1c2VySWQiOiIyNzg1MzQ3NzgifQ==</vt:lpwstr>
  </property>
</Properties>
</file>