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BA" w:rsidRDefault="006E31BA" w:rsidP="006E31BA">
      <w:pPr>
        <w:rPr>
          <w:rFonts w:ascii="Verdana" w:hAnsi="Verdana"/>
          <w:b/>
          <w:bCs/>
          <w:color w:val="222222"/>
          <w:kern w:val="0"/>
          <w:sz w:val="36"/>
          <w:szCs w:val="36"/>
        </w:rPr>
      </w:pPr>
    </w:p>
    <w:p w:rsidR="006E31BA" w:rsidRDefault="006E31BA" w:rsidP="006E31BA">
      <w:pPr>
        <w:jc w:val="center"/>
        <w:rPr>
          <w:rFonts w:ascii="Verdana" w:hAnsi="Verdana" w:hint="eastAsia"/>
          <w:b/>
          <w:bCs/>
          <w:color w:val="222222"/>
          <w:kern w:val="0"/>
          <w:sz w:val="36"/>
          <w:szCs w:val="36"/>
        </w:rPr>
      </w:pPr>
      <w:bookmarkStart w:id="0" w:name="_GoBack"/>
      <w:r>
        <w:rPr>
          <w:rFonts w:ascii="宋体" w:hAnsi="宋体" w:hint="eastAsia"/>
          <w:b/>
          <w:bCs/>
          <w:color w:val="222222"/>
          <w:kern w:val="0"/>
          <w:sz w:val="36"/>
          <w:szCs w:val="36"/>
        </w:rPr>
        <w:t>武冈市市场监督管理局</w:t>
      </w:r>
    </w:p>
    <w:p w:rsidR="006E31BA" w:rsidRDefault="006E31BA" w:rsidP="006E31BA">
      <w:pPr>
        <w:jc w:val="center"/>
        <w:rPr>
          <w:rFonts w:ascii="Verdana" w:hAnsi="Verdana" w:cs="宋体" w:hint="eastAsia"/>
          <w:b/>
          <w:bCs/>
          <w:color w:val="222222"/>
          <w:kern w:val="0"/>
          <w:sz w:val="36"/>
          <w:szCs w:val="36"/>
        </w:rPr>
      </w:pPr>
      <w:r>
        <w:rPr>
          <w:rFonts w:ascii="宋体" w:hAnsi="宋体" w:cs="宋体"/>
          <w:b/>
          <w:bCs/>
          <w:color w:val="222222"/>
          <w:kern w:val="0"/>
          <w:sz w:val="36"/>
          <w:szCs w:val="36"/>
        </w:rPr>
        <w:t>部门整体支出绩效评价报告</w:t>
      </w:r>
    </w:p>
    <w:bookmarkEnd w:id="0"/>
    <w:p w:rsidR="006E31BA" w:rsidRDefault="006E31BA" w:rsidP="006E31BA">
      <w:pPr>
        <w:rPr>
          <w:rFonts w:ascii="Verdana" w:hAnsi="Verdana" w:cs="宋体"/>
          <w:b/>
          <w:bCs/>
          <w:color w:val="222222"/>
          <w:kern w:val="0"/>
          <w:sz w:val="36"/>
          <w:szCs w:val="36"/>
        </w:rPr>
      </w:pPr>
      <w:r>
        <w:rPr>
          <w:rFonts w:ascii="Verdana" w:hAnsi="Verdana" w:cs="宋体"/>
          <w:b/>
          <w:bCs/>
          <w:color w:val="222222"/>
          <w:kern w:val="0"/>
          <w:sz w:val="36"/>
          <w:szCs w:val="36"/>
        </w:rPr>
        <w:t xml:space="preserve"> </w:t>
      </w:r>
    </w:p>
    <w:p w:rsidR="006E31BA" w:rsidRDefault="006E31BA" w:rsidP="006E31BA">
      <w:pPr>
        <w:widowControl/>
        <w:autoSpaceDE w:val="0"/>
        <w:spacing w:line="0" w:lineRule="atLeast"/>
        <w:rPr>
          <w:rFonts w:ascii="仿宋" w:eastAsia="仿宋" w:hAnsi="仿宋"/>
          <w:color w:val="222222"/>
          <w:kern w:val="0"/>
          <w:sz w:val="30"/>
          <w:szCs w:val="30"/>
        </w:rPr>
      </w:pPr>
      <w:r>
        <w:rPr>
          <w:rFonts w:ascii="仿宋" w:eastAsia="仿宋" w:hAnsi="仿宋" w:hint="eastAsia"/>
          <w:color w:val="222222"/>
          <w:kern w:val="0"/>
          <w:sz w:val="30"/>
          <w:szCs w:val="30"/>
        </w:rPr>
        <w:t>市财政局：</w:t>
      </w:r>
    </w:p>
    <w:p w:rsidR="006E31BA" w:rsidRDefault="006E31BA" w:rsidP="006E31BA">
      <w:pPr>
        <w:widowControl/>
        <w:autoSpaceDE w:val="0"/>
        <w:spacing w:line="0" w:lineRule="atLeast"/>
        <w:ind w:firstLine="640"/>
        <w:rPr>
          <w:rFonts w:ascii="仿宋" w:eastAsia="仿宋" w:hAnsi="仿宋" w:hint="eastAsia"/>
          <w:color w:val="222222"/>
          <w:kern w:val="0"/>
          <w:sz w:val="30"/>
          <w:szCs w:val="30"/>
        </w:rPr>
      </w:pPr>
      <w:r>
        <w:rPr>
          <w:rFonts w:ascii="仿宋" w:eastAsia="仿宋" w:hAnsi="仿宋" w:hint="eastAsia"/>
          <w:color w:val="222222"/>
          <w:kern w:val="0"/>
          <w:sz w:val="30"/>
          <w:szCs w:val="30"/>
        </w:rPr>
        <w:t>按照市财政局关于绩效评价文件要求，现将我局部门整体支出绩效评价情况报告如下：</w:t>
      </w:r>
    </w:p>
    <w:p w:rsidR="006E31BA" w:rsidRDefault="006E31BA" w:rsidP="006E31BA">
      <w:pPr>
        <w:widowControl/>
        <w:autoSpaceDE w:val="0"/>
        <w:spacing w:line="0" w:lineRule="atLeast"/>
        <w:ind w:firstLine="640"/>
        <w:rPr>
          <w:rFonts w:ascii="仿宋" w:eastAsia="仿宋" w:hAnsi="仿宋" w:hint="eastAsia"/>
          <w:b/>
          <w:bCs/>
          <w:color w:val="222222"/>
          <w:kern w:val="0"/>
          <w:sz w:val="30"/>
          <w:szCs w:val="30"/>
        </w:rPr>
      </w:pPr>
      <w:r>
        <w:rPr>
          <w:rFonts w:ascii="仿宋" w:eastAsia="仿宋" w:hAnsi="仿宋" w:hint="eastAsia"/>
          <w:b/>
          <w:bCs/>
          <w:color w:val="222222"/>
          <w:kern w:val="0"/>
          <w:sz w:val="30"/>
          <w:szCs w:val="30"/>
        </w:rPr>
        <w:t>一、基本情况</w:t>
      </w:r>
    </w:p>
    <w:p w:rsidR="006E31BA" w:rsidRDefault="006E31BA" w:rsidP="006E31BA">
      <w:pPr>
        <w:widowControl/>
        <w:autoSpaceDE w:val="0"/>
        <w:spacing w:line="0" w:lineRule="atLeast"/>
        <w:ind w:firstLine="643"/>
        <w:rPr>
          <w:rFonts w:ascii="仿宋" w:eastAsia="仿宋" w:hAnsi="仿宋" w:hint="eastAsia"/>
          <w:color w:val="222222"/>
          <w:kern w:val="0"/>
          <w:sz w:val="30"/>
          <w:szCs w:val="30"/>
        </w:rPr>
      </w:pPr>
      <w:r>
        <w:rPr>
          <w:rFonts w:ascii="仿宋" w:eastAsia="仿宋" w:hAnsi="仿宋" w:hint="eastAsia"/>
          <w:b/>
          <w:bCs/>
          <w:color w:val="222222"/>
          <w:kern w:val="0"/>
          <w:sz w:val="30"/>
          <w:szCs w:val="30"/>
        </w:rPr>
        <w:t>（一） 机构、人员构成</w:t>
      </w:r>
    </w:p>
    <w:p w:rsidR="006E31BA" w:rsidRDefault="006E31BA" w:rsidP="006E31BA">
      <w:pPr>
        <w:autoSpaceDE w:val="0"/>
        <w:spacing w:line="0" w:lineRule="atLeast"/>
        <w:ind w:firstLineChars="200" w:firstLine="600"/>
        <w:rPr>
          <w:rFonts w:ascii="仿宋" w:eastAsia="仿宋" w:hAnsi="仿宋" w:hint="eastAsia"/>
          <w:sz w:val="30"/>
          <w:szCs w:val="30"/>
        </w:rPr>
      </w:pPr>
      <w:r>
        <w:rPr>
          <w:rFonts w:ascii="仿宋" w:eastAsia="仿宋" w:hAnsi="仿宋" w:hint="eastAsia"/>
          <w:kern w:val="0"/>
          <w:sz w:val="30"/>
          <w:szCs w:val="30"/>
        </w:rPr>
        <w:t>根据市委、市政府的安排，原工商局、质监局、食药监局于2015年12月合并组建成市场和质量监督管理局，后更改为武冈市市场监督管理局。我局机关及二级机构全部纳入了财政预算，全局编制211人，其中行政编制116人（含机关工勤编制17人），事业编制95人。实有在职工作人员194人，在职人员其中：行政人员114人（含机关工勤人员17人），二级机构事业人员80人。根据武政办发〔2019〕72号文件精神，我局</w:t>
      </w:r>
      <w:r>
        <w:rPr>
          <w:rFonts w:ascii="仿宋" w:eastAsia="仿宋" w:hAnsi="仿宋" w:hint="eastAsia"/>
          <w:sz w:val="30"/>
          <w:szCs w:val="30"/>
        </w:rPr>
        <w:t>内设24个职能股室，即:办公室、政工股、计划财务股、政策法规股、登记注册股、信用监督管理股、反垄断和反不正当竞争股、价格监督检查股、网络交易和广告监督管理股、质量监督管理股、食品安全协调股、食品生产安全监督管理股、食品流通安全监督管理股、餐饮服务食品安全监督管理股、特殊食品安全监督管理股、特种设备安全监察股、计量和标准化股、认证认可监督管理股、知识产权股、消费者权益保护股、药品监督管理股、医疗器械监督管理股、化妆品监督管理股、非公经济组织党建指导股。下设8个市监所，即:迎春亭所、辕门口所、龙溪所、邓元泰所、邓家铺所、营运车船管理所、荆竹铺所、湾头桥所;下属事业及其他机构，即：武冈市综合稽查大队、武冈市检验检测中心、武冈市市场监督管理信息中心、武冈市个体私营经济发展指导中心、武冈市个体劳动私营企业协会，武冈市消费者委员会。</w:t>
      </w:r>
    </w:p>
    <w:p w:rsidR="006E31BA" w:rsidRDefault="006E31BA" w:rsidP="006E31BA">
      <w:pPr>
        <w:widowControl/>
        <w:autoSpaceDE w:val="0"/>
        <w:spacing w:line="0" w:lineRule="atLeast"/>
        <w:ind w:firstLine="643"/>
        <w:rPr>
          <w:rFonts w:ascii="仿宋" w:eastAsia="仿宋" w:hAnsi="仿宋" w:hint="eastAsia"/>
          <w:color w:val="222222"/>
          <w:kern w:val="0"/>
          <w:sz w:val="30"/>
          <w:szCs w:val="30"/>
        </w:rPr>
      </w:pPr>
      <w:r>
        <w:rPr>
          <w:rFonts w:ascii="仿宋" w:eastAsia="仿宋" w:hAnsi="仿宋" w:hint="eastAsia"/>
          <w:b/>
          <w:bCs/>
          <w:color w:val="222222"/>
          <w:kern w:val="0"/>
          <w:sz w:val="30"/>
          <w:szCs w:val="30"/>
        </w:rPr>
        <w:t>（二） 单位主要职责</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1、负责市场综合监督管理。起草市场监督管理有关的地方性规章草案，组织实施质量强市战略、食品药品安全战略、标准化战略和知识产权战略，拟订并组织实施全市市场监督管理工作</w:t>
      </w:r>
      <w:r>
        <w:rPr>
          <w:rFonts w:ascii="仿宋" w:eastAsia="仿宋" w:hAnsi="仿宋" w:hint="eastAsia"/>
          <w:bCs/>
          <w:sz w:val="30"/>
          <w:szCs w:val="30"/>
        </w:rPr>
        <w:lastRenderedPageBreak/>
        <w:t>规划、规范性文件，规范和维护市场秩序，营造诚实守信、公平竞争的市场环境。</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2、负责市场主体统一登记注册。指导各类企业（包括授权范围内的外商投资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3、负责组织的指导全市市场监管综合执法工作。指导全市市场监管综合执法队伍整合和建设，推动实行统一的市场监管。承担市场监管综合执法任务，查处重大违法案件。规范市场监管行政执法行为。</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4、负责反反垄断执法调查工作。推进竞争政策实施，实施公平竞争审查制度，依委托开展垄断协议、滥用市场支配地位和滥用行政权力排除、限制竞争等反垄断执法调查工作。协助企业在国外的反垄应诉工作。</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5、负责监督管理市场秩序。依法监督管理市场交易、网络商品交易及有关服务的行为。组织指导查处价格收费违法违规、不正当竞争、违法直销、传销、侵犯商标专利知识产权和制售假冒伪劣行为。指导广告业务发展，监督管理广告活动。指导查处无照生产经营和相关无证生产经营行为。</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6、负责宏观质量管理。贯彻国家质量发展的有关政策，拟订推进质量发展战略和政策措施并组织实施。会同有关部门组织实施重大工程设备质量监理制度，组织对重大产品质量事故调查，实施缺陷产品召回制度。</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7、负责产品质量安全监督管理。负责产品质量安全风险监控、全市监督抽查等相关工作。落实质量分级制度、质量安全追溯制度。负责纤维质量监督管理工作。负责工业产品生产许可企业的市场监督管理。</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8、负责特种设备安全监督管理。综合管理特种设备安全监察、监督工作。监督检查高耗能特种设备节能标准和锅炉环境保护标准的执行情况。按照规定权限组织调查处理特种设备事故并进行统计分析。</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9、负责食品安全监督管理综合协调。组织制定食品安全有关规定并组织实施。负责食品安全事故应急体系建设，组织和指导食品安全事故应急处置和调查处理工作。建立健全食品安全重</w:t>
      </w:r>
      <w:r>
        <w:rPr>
          <w:rFonts w:ascii="仿宋" w:eastAsia="仿宋" w:hAnsi="仿宋" w:hint="eastAsia"/>
          <w:bCs/>
          <w:sz w:val="30"/>
          <w:szCs w:val="30"/>
        </w:rPr>
        <w:lastRenderedPageBreak/>
        <w:t>要信息直报制度。承担市食品安全委员会日常工作。</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10、负责食品安全监督管理。建立覆盖食品生产、流通、消费全过程的监督检查制度和隐患排查治理机制并组织实施，防范区域性、系统性食品安全风险。推动建立食品生产经营者落实主体责任机制，健全食品安全追溯体系。组织开展食品安全监督抽检、风险监测、核查处置和风险预警、风险交流工作。组织实施特殊食品监督管理。负责食盐专营管理和食盐安全监督管理。</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11、负责统一管理计量工作。推行国家法定计量单位和组织执行国家计量制度。依职责管理计量器具及量值传递，负责规范和监督商品量和市场计量行为。</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12、负责统一管理标准化工作。依法承担地方标准的立项、编号和发布工作，指导开展标准化试点示范工作。依据法定职责，对标准的制定进行指导监督，对标准的实施进行监督检查。推行采用国际标准。</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13、负责统一管理检验检测和认证认可工作。协调推进检验检测机构改革，规范检验检测市场，完善检验检测体系，指导协调检验检测行业发展。依法对检验检测机构资质资格及其检验活动进行监督管理。依法监督管理认证认可工作。</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14、负责市场监督管理、知识产权领域科技和信息化建设、新闻宣传、对外交流与合作。按规定承担技术性贸易措施有关工作。</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15、负责实施知识产权战略，推进知识产权强市建设。制定实施知识产权创造、保护、运用的政策和措施。负责知识产权公共服务体系建设，推动知识产权信息传播利用。</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16、负责保护知识产权。落实严格保护商标、专利、原产地地理标志等相关工作，负责知识产权保护体系建设，负责和指导商标、专利执法工作。</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17、负责知识产权创造运用。按权限负责商标、专利和原产地地理标志的管理，开展知识产权运营体系建设，指导重大经济活动知识产权评议，规范知识产权评议，规范知识产权交易和无形资产评估，促进知识产权转移转化。</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18、负责组织开展有关服务领域消费维权工作，查处假冒伪劣等违法行为，指导消费者咨询、申诉、举报受理、处理和网络体系建设等工作，保护经营者、消费者合法权益。</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19、负责权限内药品、医疗器械、保健食品广告内容的监测。</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lastRenderedPageBreak/>
        <w:t>20、负责药品（含中药、民族药，下同）、医疗器械和化妆品安全监督管理。贯彻执行国家药品、医疗器械和化妆品监督管理法律、法规、规章，组织起草相关地方性规章草案，拟订政策规划，并监督实施。研究拟订鼓励药品、医疗器械和化妆品新技术新产品的管理与服务政策。</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21、负责职责范围内的药品、医疗器械和化妆品标准管理。监督实施药品、医疗器械、化妆品标准和分类管理制度，配合有关部门实施国家基本药物制度。</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22、负责药品、医疗器械和化妆品监督管理。依规定监督实施药品生产、经营质量管理规范，监督实施医疗器械生产、经营质量管理规范，监督实施化妆品生产卫生标准和技术规范。</w:t>
      </w:r>
    </w:p>
    <w:p w:rsidR="006E31BA" w:rsidRDefault="006E31BA" w:rsidP="006E31BA">
      <w:pPr>
        <w:autoSpaceDE w:val="0"/>
        <w:spacing w:line="0" w:lineRule="atLeast"/>
        <w:ind w:firstLineChars="200" w:firstLine="600"/>
        <w:rPr>
          <w:rFonts w:ascii="仿宋" w:eastAsia="仿宋" w:hAnsi="仿宋" w:hint="eastAsia"/>
          <w:bCs/>
          <w:sz w:val="30"/>
          <w:szCs w:val="30"/>
        </w:rPr>
      </w:pPr>
      <w:r>
        <w:rPr>
          <w:rFonts w:ascii="仿宋" w:eastAsia="仿宋" w:hAnsi="仿宋" w:hint="eastAsia"/>
          <w:bCs/>
          <w:sz w:val="30"/>
          <w:szCs w:val="30"/>
        </w:rPr>
        <w:t>23、负责药品、医疗器械和化妆品上市后风险管理。组织开展药品不良反应、医疗器械不良事件和化妆品不良反应的监测、评价和处置工作。依法承担药品、医疗器械和化妆品安全应急管理工作。</w:t>
      </w:r>
    </w:p>
    <w:p w:rsidR="006E31BA" w:rsidRDefault="006E31BA" w:rsidP="006E31BA">
      <w:pPr>
        <w:autoSpaceDE w:val="0"/>
        <w:spacing w:line="0" w:lineRule="atLeast"/>
        <w:ind w:firstLine="587"/>
        <w:jc w:val="left"/>
        <w:rPr>
          <w:rFonts w:ascii="仿宋" w:eastAsia="仿宋" w:hAnsi="仿宋" w:hint="eastAsia"/>
          <w:bCs/>
          <w:sz w:val="30"/>
          <w:szCs w:val="30"/>
        </w:rPr>
      </w:pPr>
      <w:r>
        <w:rPr>
          <w:rFonts w:ascii="仿宋" w:eastAsia="仿宋" w:hAnsi="仿宋" w:hint="eastAsia"/>
          <w:bCs/>
          <w:sz w:val="30"/>
          <w:szCs w:val="30"/>
        </w:rPr>
        <w:t>24、负责组织实施药品、医疗器械和化妆品监督检查。依规定依法查处药品、医疗器械和化妆品生产、经营、使用以及互联网销售第三方平台违法行为。依职责组织指导查处其他环节违法行为。</w:t>
      </w:r>
    </w:p>
    <w:p w:rsidR="006E31BA" w:rsidRDefault="006E31BA" w:rsidP="006E31BA">
      <w:pPr>
        <w:autoSpaceDE w:val="0"/>
        <w:spacing w:line="0" w:lineRule="atLeast"/>
        <w:ind w:firstLineChars="250" w:firstLine="750"/>
        <w:rPr>
          <w:rFonts w:ascii="仿宋" w:eastAsia="仿宋" w:hAnsi="仿宋" w:hint="eastAsia"/>
          <w:color w:val="222222"/>
          <w:kern w:val="0"/>
          <w:sz w:val="30"/>
          <w:szCs w:val="30"/>
        </w:rPr>
      </w:pPr>
      <w:r>
        <w:rPr>
          <w:rFonts w:ascii="仿宋" w:eastAsia="仿宋" w:hAnsi="仿宋" w:hint="eastAsia"/>
          <w:bCs/>
          <w:sz w:val="30"/>
          <w:szCs w:val="30"/>
        </w:rPr>
        <w:t>25、承办市委、市人民政府交办的其他任务。</w:t>
      </w:r>
    </w:p>
    <w:p w:rsidR="006E31BA" w:rsidRDefault="006E31BA" w:rsidP="006E31BA">
      <w:pPr>
        <w:widowControl/>
        <w:autoSpaceDE w:val="0"/>
        <w:spacing w:line="0" w:lineRule="atLeast"/>
        <w:ind w:firstLineChars="200" w:firstLine="602"/>
        <w:rPr>
          <w:rFonts w:ascii="仿宋" w:eastAsia="仿宋" w:hAnsi="仿宋" w:hint="eastAsia"/>
          <w:kern w:val="0"/>
          <w:sz w:val="30"/>
          <w:szCs w:val="30"/>
        </w:rPr>
      </w:pPr>
      <w:r>
        <w:rPr>
          <w:rFonts w:ascii="仿宋" w:eastAsia="仿宋" w:hAnsi="仿宋" w:hint="eastAsia"/>
          <w:b/>
          <w:bCs/>
          <w:kern w:val="0"/>
          <w:sz w:val="30"/>
          <w:szCs w:val="30"/>
        </w:rPr>
        <w:t>（三） 部门内部控制及厉行节约制度建设情况</w:t>
      </w:r>
    </w:p>
    <w:p w:rsidR="006E31BA" w:rsidRDefault="006E31BA" w:rsidP="006E31BA">
      <w:pPr>
        <w:autoSpaceDE w:val="0"/>
        <w:spacing w:line="0" w:lineRule="atLeast"/>
        <w:ind w:firstLineChars="200" w:firstLine="600"/>
        <w:jc w:val="left"/>
        <w:rPr>
          <w:rFonts w:ascii="仿宋" w:eastAsia="仿宋" w:hAnsi="仿宋" w:hint="eastAsia"/>
          <w:kern w:val="0"/>
          <w:sz w:val="30"/>
          <w:szCs w:val="30"/>
        </w:rPr>
      </w:pPr>
      <w:r>
        <w:rPr>
          <w:rFonts w:ascii="仿宋" w:eastAsia="仿宋" w:hAnsi="仿宋" w:hint="eastAsia"/>
          <w:kern w:val="0"/>
          <w:sz w:val="30"/>
          <w:szCs w:val="30"/>
        </w:rPr>
        <w:t>1.我局高度重视预算支出绩效自评工作，成立了以刘秉辉局长为组长，其他党委为副组长，股室主要负责人为成员的预算支出绩效自评领导小组，下发了《武冈市市场监督管理局专项资金绩效自评工作方案》，明确各职能股室的评价责任，进一步强化各股室对财政预算支出管理意识。</w:t>
      </w:r>
    </w:p>
    <w:p w:rsidR="006E31BA" w:rsidRDefault="006E31BA" w:rsidP="006E31BA">
      <w:pPr>
        <w:widowControl/>
        <w:autoSpaceDE w:val="0"/>
        <w:spacing w:line="0" w:lineRule="atLeast"/>
        <w:ind w:firstLine="640"/>
        <w:rPr>
          <w:rFonts w:ascii="仿宋" w:eastAsia="仿宋" w:hAnsi="仿宋" w:hint="eastAsia"/>
          <w:kern w:val="0"/>
          <w:sz w:val="30"/>
          <w:szCs w:val="30"/>
        </w:rPr>
      </w:pPr>
      <w:r>
        <w:rPr>
          <w:rFonts w:ascii="仿宋" w:eastAsia="仿宋" w:hAnsi="仿宋" w:hint="eastAsia"/>
          <w:kern w:val="0"/>
          <w:sz w:val="30"/>
          <w:szCs w:val="30"/>
        </w:rPr>
        <w:t>2. 加强对国家、省级财政预算资金管理方面制度的学习培训，不断提高各职能股室的业务工作能力。及时组织股室、所、分局、二级机构负责人学习武冈市财政出台的培训费、会议费、外宾接待、因公出国、因公出国短期培训、差旅费、国内公务接待等7个管理办法。</w:t>
      </w:r>
    </w:p>
    <w:p w:rsidR="006E31BA" w:rsidRDefault="006E31BA" w:rsidP="006E31BA">
      <w:pPr>
        <w:widowControl/>
        <w:autoSpaceDE w:val="0"/>
        <w:spacing w:line="0" w:lineRule="atLeast"/>
        <w:ind w:firstLine="640"/>
        <w:rPr>
          <w:rFonts w:ascii="仿宋" w:eastAsia="仿宋" w:hAnsi="仿宋" w:hint="eastAsia"/>
          <w:kern w:val="0"/>
          <w:sz w:val="30"/>
          <w:szCs w:val="30"/>
        </w:rPr>
      </w:pPr>
      <w:r>
        <w:rPr>
          <w:rFonts w:ascii="仿宋" w:eastAsia="仿宋" w:hAnsi="仿宋" w:hint="eastAsia"/>
          <w:kern w:val="0"/>
          <w:sz w:val="30"/>
          <w:szCs w:val="30"/>
        </w:rPr>
        <w:t>3. 建立了机关整体支出管理方面的内控制度，并不断进行完善和修订。如：制定了《武冈市市场监督管理局财务管理规定》《武冈市市场监督管理局内部稽核管理制度》《武冈市市场监督</w:t>
      </w:r>
      <w:r>
        <w:rPr>
          <w:rFonts w:ascii="仿宋" w:eastAsia="仿宋" w:hAnsi="仿宋" w:hint="eastAsia"/>
          <w:kern w:val="0"/>
          <w:sz w:val="30"/>
          <w:szCs w:val="30"/>
        </w:rPr>
        <w:lastRenderedPageBreak/>
        <w:t>管理局固定资产管理制度》《武冈市市场监督管理局专项资金管理制度》等办法，对招待费、公务用车等支出进行了有效管控。</w:t>
      </w:r>
    </w:p>
    <w:p w:rsidR="006E31BA" w:rsidRDefault="006E31BA" w:rsidP="006E31BA">
      <w:pPr>
        <w:widowControl/>
        <w:autoSpaceDE w:val="0"/>
        <w:spacing w:line="0" w:lineRule="atLeast"/>
        <w:ind w:firstLine="640"/>
        <w:rPr>
          <w:rFonts w:ascii="仿宋" w:eastAsia="仿宋" w:hAnsi="仿宋" w:hint="eastAsia"/>
          <w:kern w:val="0"/>
          <w:sz w:val="30"/>
          <w:szCs w:val="30"/>
        </w:rPr>
      </w:pPr>
      <w:r>
        <w:rPr>
          <w:rFonts w:ascii="仿宋" w:eastAsia="仿宋" w:hAnsi="仿宋" w:hint="eastAsia"/>
          <w:kern w:val="0"/>
          <w:sz w:val="30"/>
          <w:szCs w:val="30"/>
        </w:rPr>
        <w:t>4. 严格制度执行，特别是“三公”经费的预算控制。加强对公务用车的管理，严格招待费用审核审批程序，“三公”经费较好地控制在预算范围之内。</w:t>
      </w:r>
    </w:p>
    <w:p w:rsidR="006E31BA" w:rsidRDefault="006E31BA" w:rsidP="006E31BA">
      <w:pPr>
        <w:widowControl/>
        <w:autoSpaceDE w:val="0"/>
        <w:spacing w:line="0" w:lineRule="atLeast"/>
        <w:ind w:firstLine="640"/>
        <w:rPr>
          <w:rFonts w:ascii="仿宋" w:eastAsia="仿宋" w:hAnsi="仿宋" w:hint="eastAsia"/>
          <w:b/>
          <w:bCs/>
          <w:color w:val="222222"/>
          <w:kern w:val="0"/>
          <w:sz w:val="30"/>
          <w:szCs w:val="30"/>
        </w:rPr>
      </w:pPr>
      <w:r>
        <w:rPr>
          <w:rFonts w:ascii="仿宋" w:eastAsia="仿宋" w:hAnsi="仿宋" w:hint="eastAsia"/>
          <w:b/>
          <w:bCs/>
          <w:color w:val="222222"/>
          <w:kern w:val="0"/>
          <w:sz w:val="30"/>
          <w:szCs w:val="30"/>
        </w:rPr>
        <w:t>二、部门整体支出规模及使用方向、内容</w:t>
      </w:r>
    </w:p>
    <w:p w:rsidR="006E31BA" w:rsidRDefault="006E31BA" w:rsidP="006E31BA">
      <w:pPr>
        <w:widowControl/>
        <w:autoSpaceDE w:val="0"/>
        <w:spacing w:line="0" w:lineRule="atLeast"/>
        <w:ind w:firstLine="643"/>
        <w:rPr>
          <w:rFonts w:ascii="仿宋" w:eastAsia="仿宋" w:hAnsi="仿宋" w:hint="eastAsia"/>
          <w:kern w:val="0"/>
          <w:sz w:val="30"/>
          <w:szCs w:val="30"/>
        </w:rPr>
      </w:pPr>
      <w:r>
        <w:rPr>
          <w:rFonts w:ascii="仿宋" w:eastAsia="仿宋" w:hAnsi="仿宋" w:hint="eastAsia"/>
          <w:b/>
          <w:bCs/>
          <w:color w:val="222222"/>
          <w:kern w:val="0"/>
          <w:sz w:val="30"/>
          <w:szCs w:val="30"/>
        </w:rPr>
        <w:t>（一）2021年预算规模情况</w:t>
      </w:r>
    </w:p>
    <w:p w:rsidR="006E31BA" w:rsidRDefault="006E31BA" w:rsidP="006E31BA">
      <w:pPr>
        <w:widowControl/>
        <w:autoSpaceDE w:val="0"/>
        <w:spacing w:line="0" w:lineRule="atLeast"/>
        <w:ind w:firstLine="643"/>
        <w:rPr>
          <w:rFonts w:ascii="仿宋" w:eastAsia="仿宋" w:hAnsi="仿宋" w:hint="eastAsia"/>
          <w:kern w:val="0"/>
          <w:sz w:val="30"/>
          <w:szCs w:val="30"/>
        </w:rPr>
      </w:pPr>
      <w:r>
        <w:rPr>
          <w:rFonts w:ascii="仿宋" w:eastAsia="仿宋" w:hAnsi="仿宋" w:hint="eastAsia"/>
          <w:b/>
          <w:bCs/>
          <w:kern w:val="0"/>
          <w:sz w:val="30"/>
          <w:szCs w:val="30"/>
        </w:rPr>
        <w:t>1．预算资金情况</w:t>
      </w:r>
    </w:p>
    <w:p w:rsidR="006E31BA" w:rsidRDefault="006E31BA" w:rsidP="006E31BA">
      <w:pPr>
        <w:widowControl/>
        <w:autoSpaceDE w:val="0"/>
        <w:spacing w:line="0" w:lineRule="atLeast"/>
        <w:ind w:firstLine="640"/>
        <w:rPr>
          <w:rFonts w:ascii="仿宋" w:eastAsia="仿宋" w:hAnsi="仿宋" w:hint="eastAsia"/>
          <w:kern w:val="0"/>
          <w:sz w:val="30"/>
          <w:szCs w:val="30"/>
        </w:rPr>
      </w:pPr>
      <w:r>
        <w:rPr>
          <w:rFonts w:ascii="仿宋" w:eastAsia="仿宋" w:hAnsi="仿宋" w:hint="eastAsia"/>
          <w:kern w:val="0"/>
          <w:sz w:val="30"/>
          <w:szCs w:val="30"/>
        </w:rPr>
        <w:t>（1）年初总收支预算情况</w:t>
      </w:r>
    </w:p>
    <w:p w:rsidR="006E31BA" w:rsidRDefault="006E31BA" w:rsidP="006E31BA">
      <w:pPr>
        <w:widowControl/>
        <w:autoSpaceDE w:val="0"/>
        <w:spacing w:line="0" w:lineRule="atLeast"/>
        <w:ind w:firstLine="640"/>
        <w:rPr>
          <w:rFonts w:ascii="仿宋" w:eastAsia="仿宋" w:hAnsi="仿宋" w:hint="eastAsia"/>
          <w:kern w:val="0"/>
          <w:sz w:val="30"/>
          <w:szCs w:val="30"/>
        </w:rPr>
      </w:pPr>
      <w:r>
        <w:rPr>
          <w:rFonts w:ascii="仿宋" w:eastAsia="仿宋" w:hAnsi="仿宋" w:hint="eastAsia"/>
          <w:kern w:val="0"/>
          <w:sz w:val="30"/>
          <w:szCs w:val="30"/>
        </w:rPr>
        <w:t>根据武冈市财政局《关于批复2021年部门预算的通知》武财预〔2021〕1号文件精神，我局2021年预算收支情况如下：</w:t>
      </w:r>
    </w:p>
    <w:tbl>
      <w:tblPr>
        <w:tblW w:w="8819" w:type="dxa"/>
        <w:tblInd w:w="164" w:type="dxa"/>
        <w:tblLayout w:type="fixed"/>
        <w:tblCellMar>
          <w:left w:w="0" w:type="dxa"/>
          <w:right w:w="0" w:type="dxa"/>
        </w:tblCellMar>
        <w:tblLook w:val="04A0" w:firstRow="1" w:lastRow="0" w:firstColumn="1" w:lastColumn="0" w:noHBand="0" w:noVBand="1"/>
      </w:tblPr>
      <w:tblGrid>
        <w:gridCol w:w="4531"/>
        <w:gridCol w:w="4288"/>
      </w:tblGrid>
      <w:tr w:rsidR="006E31BA" w:rsidTr="006E31BA">
        <w:trPr>
          <w:trHeight w:val="435"/>
        </w:trPr>
        <w:tc>
          <w:tcPr>
            <w:tcW w:w="453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b/>
                <w:bCs/>
                <w:kern w:val="0"/>
                <w:sz w:val="30"/>
                <w:szCs w:val="30"/>
              </w:rPr>
              <w:t>预算项目</w:t>
            </w:r>
          </w:p>
        </w:tc>
        <w:tc>
          <w:tcPr>
            <w:tcW w:w="42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b/>
                <w:bCs/>
                <w:kern w:val="0"/>
                <w:sz w:val="30"/>
                <w:szCs w:val="30"/>
              </w:rPr>
              <w:t>合计</w:t>
            </w:r>
            <w:r>
              <w:rPr>
                <w:rFonts w:ascii="仿宋" w:eastAsia="仿宋" w:hAnsi="仿宋" w:hint="eastAsia"/>
                <w:kern w:val="0"/>
                <w:sz w:val="30"/>
                <w:szCs w:val="30"/>
              </w:rPr>
              <w:t>（单位：万元）</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财政拨款</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2591.71</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政府性基金</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Chars="200" w:firstLine="600"/>
              <w:rPr>
                <w:rFonts w:ascii="仿宋" w:eastAsia="仿宋" w:hAnsi="仿宋" w:hint="eastAsia"/>
                <w:kern w:val="0"/>
                <w:sz w:val="30"/>
                <w:szCs w:val="30"/>
              </w:rPr>
            </w:pPr>
            <w:r>
              <w:rPr>
                <w:rFonts w:ascii="仿宋" w:eastAsia="仿宋" w:hAnsi="仿宋" w:hint="eastAsia"/>
                <w:kern w:val="0"/>
                <w:sz w:val="30"/>
                <w:szCs w:val="30"/>
              </w:rPr>
              <w:t>0</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纳入专户管理非税收入</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Chars="200" w:firstLine="600"/>
              <w:rPr>
                <w:rFonts w:ascii="仿宋" w:eastAsia="仿宋" w:hAnsi="仿宋" w:hint="eastAsia"/>
                <w:kern w:val="0"/>
                <w:sz w:val="30"/>
                <w:szCs w:val="30"/>
              </w:rPr>
            </w:pPr>
            <w:r>
              <w:rPr>
                <w:rFonts w:ascii="仿宋" w:eastAsia="仿宋" w:hAnsi="仿宋" w:hint="eastAsia"/>
                <w:kern w:val="0"/>
                <w:sz w:val="30"/>
                <w:szCs w:val="30"/>
              </w:rPr>
              <w:t>70</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b/>
                <w:bCs/>
                <w:kern w:val="0"/>
                <w:sz w:val="30"/>
                <w:szCs w:val="30"/>
              </w:rPr>
              <w:t>收入预算合计</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kern w:val="0"/>
                <w:sz w:val="30"/>
                <w:szCs w:val="30"/>
              </w:rPr>
              <w:t>2661.71</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基本支出</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2210.11</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其中：财政拨款支出</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2210.11</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项目支出</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451.6</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其中：财政拨款支出</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381.6</w:t>
            </w:r>
          </w:p>
        </w:tc>
      </w:tr>
      <w:tr w:rsidR="006E31BA" w:rsidTr="006E31BA">
        <w:trPr>
          <w:trHeight w:val="435"/>
        </w:trPr>
        <w:tc>
          <w:tcPr>
            <w:tcW w:w="453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b/>
                <w:bCs/>
                <w:kern w:val="0"/>
                <w:sz w:val="30"/>
                <w:szCs w:val="30"/>
              </w:rPr>
              <w:t>支出预算合计</w:t>
            </w:r>
          </w:p>
        </w:tc>
        <w:tc>
          <w:tcPr>
            <w:tcW w:w="428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rPr>
                <w:rFonts w:ascii="仿宋" w:eastAsia="仿宋" w:hAnsi="仿宋" w:hint="eastAsia"/>
                <w:kern w:val="0"/>
                <w:sz w:val="30"/>
                <w:szCs w:val="30"/>
              </w:rPr>
            </w:pPr>
            <w:r>
              <w:rPr>
                <w:rFonts w:ascii="仿宋" w:eastAsia="仿宋" w:hAnsi="仿宋" w:hint="eastAsia"/>
                <w:kern w:val="0"/>
                <w:sz w:val="30"/>
                <w:szCs w:val="30"/>
              </w:rPr>
              <w:t>2661.71</w:t>
            </w:r>
          </w:p>
        </w:tc>
      </w:tr>
    </w:tbl>
    <w:p w:rsidR="006E31BA" w:rsidRDefault="006E31BA" w:rsidP="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从年初批复预算来看：</w:t>
      </w:r>
    </w:p>
    <w:p w:rsidR="006E31BA" w:rsidRDefault="006E31BA" w:rsidP="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我局收入预算为2661.71万元，其中，财政拨款2591.71万元，纳入专户管理非税收入70万元。预算支出2661.71万元，其中，基本支出2210.11万元，占局支出预算83.03%，项目支出451.6万元，占局支出预算16.97%。</w:t>
      </w:r>
    </w:p>
    <w:p w:rsidR="006E31BA" w:rsidRDefault="006E31BA" w:rsidP="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lastRenderedPageBreak/>
        <w:t>（2）本年度财政追加指标、上年结转资金、年度可用金额情况。</w:t>
      </w:r>
    </w:p>
    <w:p w:rsidR="006E31BA" w:rsidRDefault="006E31BA" w:rsidP="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我局本年度财政追加指标、上年度局本级结转资金及年度可用指标情况如下：</w:t>
      </w:r>
    </w:p>
    <w:p w:rsidR="006E31BA" w:rsidRDefault="006E31BA" w:rsidP="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局全年可用预算指标                 单位：万元</w:t>
      </w:r>
    </w:p>
    <w:tbl>
      <w:tblPr>
        <w:tblW w:w="0" w:type="auto"/>
        <w:tblInd w:w="150" w:type="dxa"/>
        <w:tblLayout w:type="fixed"/>
        <w:tblCellMar>
          <w:left w:w="0" w:type="dxa"/>
          <w:right w:w="0" w:type="dxa"/>
        </w:tblCellMar>
        <w:tblLook w:val="04A0" w:firstRow="1" w:lastRow="0" w:firstColumn="1" w:lastColumn="0" w:noHBand="0" w:noVBand="1"/>
      </w:tblPr>
      <w:tblGrid>
        <w:gridCol w:w="2318"/>
        <w:gridCol w:w="2191"/>
        <w:gridCol w:w="2228"/>
        <w:gridCol w:w="2110"/>
      </w:tblGrid>
      <w:tr w:rsidR="006E31BA" w:rsidTr="006E31BA">
        <w:trPr>
          <w:trHeight w:val="450"/>
        </w:trPr>
        <w:tc>
          <w:tcPr>
            <w:tcW w:w="23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项 目</w:t>
            </w:r>
          </w:p>
        </w:tc>
        <w:tc>
          <w:tcPr>
            <w:tcW w:w="21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基本支出</w:t>
            </w:r>
          </w:p>
        </w:tc>
        <w:tc>
          <w:tcPr>
            <w:tcW w:w="22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项目支出</w:t>
            </w:r>
          </w:p>
        </w:tc>
        <w:tc>
          <w:tcPr>
            <w:tcW w:w="211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合 计</w:t>
            </w:r>
          </w:p>
        </w:tc>
      </w:tr>
      <w:tr w:rsidR="006E31BA" w:rsidTr="006E31BA">
        <w:trPr>
          <w:trHeight w:val="450"/>
        </w:trPr>
        <w:tc>
          <w:tcPr>
            <w:tcW w:w="23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年初预算</w:t>
            </w:r>
          </w:p>
        </w:tc>
        <w:tc>
          <w:tcPr>
            <w:tcW w:w="2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2210.11</w:t>
            </w:r>
          </w:p>
        </w:tc>
        <w:tc>
          <w:tcPr>
            <w:tcW w:w="22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451.6</w:t>
            </w:r>
          </w:p>
        </w:tc>
        <w:tc>
          <w:tcPr>
            <w:tcW w:w="2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2661.71</w:t>
            </w:r>
          </w:p>
        </w:tc>
      </w:tr>
      <w:tr w:rsidR="006E31BA" w:rsidTr="006E31BA">
        <w:trPr>
          <w:trHeight w:val="450"/>
        </w:trPr>
        <w:tc>
          <w:tcPr>
            <w:tcW w:w="23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上年结转</w:t>
            </w:r>
          </w:p>
        </w:tc>
        <w:tc>
          <w:tcPr>
            <w:tcW w:w="2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8.76</w:t>
            </w:r>
          </w:p>
        </w:tc>
        <w:tc>
          <w:tcPr>
            <w:tcW w:w="222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641"/>
              <w:rPr>
                <w:rFonts w:ascii="仿宋" w:eastAsia="仿宋" w:hAnsi="仿宋" w:hint="eastAsia"/>
                <w:kern w:val="0"/>
                <w:sz w:val="30"/>
                <w:szCs w:val="30"/>
              </w:rPr>
            </w:pPr>
          </w:p>
        </w:tc>
        <w:tc>
          <w:tcPr>
            <w:tcW w:w="2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8.76</w:t>
            </w:r>
          </w:p>
        </w:tc>
      </w:tr>
      <w:tr w:rsidR="006E31BA" w:rsidTr="006E31BA">
        <w:trPr>
          <w:trHeight w:val="450"/>
        </w:trPr>
        <w:tc>
          <w:tcPr>
            <w:tcW w:w="23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本年追加</w:t>
            </w:r>
          </w:p>
        </w:tc>
        <w:tc>
          <w:tcPr>
            <w:tcW w:w="2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489.97</w:t>
            </w:r>
          </w:p>
        </w:tc>
        <w:tc>
          <w:tcPr>
            <w:tcW w:w="22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165.15</w:t>
            </w:r>
          </w:p>
        </w:tc>
        <w:tc>
          <w:tcPr>
            <w:tcW w:w="2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655.12</w:t>
            </w:r>
          </w:p>
        </w:tc>
      </w:tr>
      <w:tr w:rsidR="006E31BA" w:rsidTr="006E31BA">
        <w:trPr>
          <w:trHeight w:val="450"/>
        </w:trPr>
        <w:tc>
          <w:tcPr>
            <w:tcW w:w="231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小 计</w:t>
            </w:r>
          </w:p>
        </w:tc>
        <w:tc>
          <w:tcPr>
            <w:tcW w:w="21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2708.84</w:t>
            </w:r>
          </w:p>
        </w:tc>
        <w:tc>
          <w:tcPr>
            <w:tcW w:w="222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616.75</w:t>
            </w:r>
          </w:p>
        </w:tc>
        <w:tc>
          <w:tcPr>
            <w:tcW w:w="211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641"/>
              <w:rPr>
                <w:rFonts w:ascii="仿宋" w:eastAsia="仿宋" w:hAnsi="仿宋" w:hint="eastAsia"/>
                <w:kern w:val="0"/>
                <w:sz w:val="30"/>
                <w:szCs w:val="30"/>
              </w:rPr>
            </w:pPr>
            <w:r>
              <w:rPr>
                <w:rFonts w:ascii="仿宋" w:eastAsia="仿宋" w:hAnsi="仿宋" w:hint="eastAsia"/>
                <w:kern w:val="0"/>
                <w:sz w:val="30"/>
                <w:szCs w:val="30"/>
              </w:rPr>
              <w:t>3325.59</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从上表可以反映：我局2021年全年可用预算资金3325.59万元，其中年初预算2661.71万元，上年结转8.76万元，本年追加资金655.12万元。</w:t>
      </w:r>
    </w:p>
    <w:p w:rsidR="006E31BA" w:rsidRDefault="006E31BA" w:rsidP="006E31BA">
      <w:pPr>
        <w:ind w:firstLine="587"/>
        <w:jc w:val="left"/>
        <w:rPr>
          <w:rFonts w:ascii="仿宋" w:eastAsia="仿宋" w:hAnsi="仿宋" w:hint="eastAsia"/>
          <w:b/>
          <w:bCs/>
          <w:kern w:val="0"/>
          <w:sz w:val="30"/>
          <w:szCs w:val="30"/>
        </w:rPr>
      </w:pPr>
      <w:r>
        <w:rPr>
          <w:rFonts w:ascii="仿宋" w:eastAsia="仿宋" w:hAnsi="仿宋" w:hint="eastAsia"/>
          <w:b/>
          <w:bCs/>
          <w:kern w:val="0"/>
          <w:sz w:val="30"/>
          <w:szCs w:val="30"/>
        </w:rPr>
        <w:t>2．整体支出使用范围、方向和内容</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（1）年初预算整体支出的使用范围、方向和内容</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2021年年初预算为2661.71万元，其中基本支出2210.11万元，使用内容为人员经费和日常公用经费；项目支出451.6万元，使用内容为业务工作专项。具体使用方向如下：</w:t>
      </w:r>
    </w:p>
    <w:tbl>
      <w:tblPr>
        <w:tblW w:w="0" w:type="auto"/>
        <w:tblInd w:w="108" w:type="dxa"/>
        <w:tblLayout w:type="fixed"/>
        <w:tblCellMar>
          <w:left w:w="0" w:type="dxa"/>
          <w:right w:w="0" w:type="dxa"/>
        </w:tblCellMar>
        <w:tblLook w:val="04A0" w:firstRow="1" w:lastRow="0" w:firstColumn="1" w:lastColumn="0" w:noHBand="0" w:noVBand="1"/>
      </w:tblPr>
      <w:tblGrid>
        <w:gridCol w:w="3173"/>
        <w:gridCol w:w="2950"/>
        <w:gridCol w:w="2912"/>
      </w:tblGrid>
      <w:tr w:rsidR="006E31BA" w:rsidTr="006E31BA">
        <w:trPr>
          <w:trHeight w:val="480"/>
        </w:trPr>
        <w:tc>
          <w:tcPr>
            <w:tcW w:w="31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支出项目</w:t>
            </w:r>
          </w:p>
        </w:tc>
        <w:tc>
          <w:tcPr>
            <w:tcW w:w="295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基本支出（万元）</w:t>
            </w:r>
          </w:p>
        </w:tc>
        <w:tc>
          <w:tcPr>
            <w:tcW w:w="291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项目支出（万元）</w:t>
            </w: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工资福利支出</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1820.24</w:t>
            </w: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商品和服务支出</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325.16</w:t>
            </w: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451.6</w:t>
            </w: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对个人和家庭补助</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64.71</w:t>
            </w: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其他资本性支出</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lastRenderedPageBreak/>
              <w:t>其他支出</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480"/>
        </w:trPr>
        <w:tc>
          <w:tcPr>
            <w:tcW w:w="317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29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2210.11</w:t>
            </w:r>
          </w:p>
        </w:tc>
        <w:tc>
          <w:tcPr>
            <w:tcW w:w="29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451.6</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（2）上年结余和本年追加预算支出的使用范围、方向和内容：</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上年结余资金和本年追加预算在预算指标文下达时即已明确使用用途和使用方向，需专款专用，追加明细详见上述追加事项明细表。</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（二）年度预算收支决算情况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1.2021年度预算收入决算情况</w:t>
      </w:r>
    </w:p>
    <w:p w:rsidR="006E31BA" w:rsidRDefault="006E31BA" w:rsidP="006E31BA">
      <w:pPr>
        <w:widowControl/>
        <w:spacing w:line="560" w:lineRule="exact"/>
        <w:ind w:firstLineChars="200" w:firstLine="602"/>
        <w:rPr>
          <w:rFonts w:ascii="仿宋" w:eastAsia="仿宋" w:hAnsi="仿宋" w:hint="eastAsia"/>
          <w:kern w:val="0"/>
          <w:sz w:val="30"/>
          <w:szCs w:val="30"/>
        </w:rPr>
      </w:pPr>
      <w:r>
        <w:rPr>
          <w:rFonts w:ascii="仿宋" w:eastAsia="仿宋" w:hAnsi="仿宋" w:hint="eastAsia"/>
          <w:b/>
          <w:bCs/>
          <w:kern w:val="0"/>
          <w:sz w:val="30"/>
          <w:szCs w:val="30"/>
        </w:rPr>
        <w:t>2021年局本级财政拨款收入决算情况</w:t>
      </w:r>
      <w:r>
        <w:rPr>
          <w:rFonts w:ascii="仿宋" w:eastAsia="仿宋" w:hAnsi="仿宋" w:hint="eastAsia"/>
          <w:kern w:val="0"/>
          <w:sz w:val="30"/>
          <w:szCs w:val="30"/>
        </w:rPr>
        <w:t xml:space="preserve">       </w:t>
      </w:r>
      <w:r>
        <w:rPr>
          <w:rFonts w:ascii="仿宋" w:eastAsia="仿宋" w:hAnsi="仿宋" w:hint="eastAsia"/>
          <w:b/>
          <w:bCs/>
          <w:kern w:val="0"/>
          <w:sz w:val="30"/>
          <w:szCs w:val="30"/>
        </w:rPr>
        <w:t xml:space="preserve"> 单位：万元</w:t>
      </w:r>
    </w:p>
    <w:tbl>
      <w:tblPr>
        <w:tblW w:w="0" w:type="auto"/>
        <w:tblInd w:w="108" w:type="dxa"/>
        <w:tblLayout w:type="fixed"/>
        <w:tblCellMar>
          <w:left w:w="0" w:type="dxa"/>
          <w:right w:w="0" w:type="dxa"/>
        </w:tblCellMar>
        <w:tblLook w:val="04A0" w:firstRow="1" w:lastRow="0" w:firstColumn="1" w:lastColumn="0" w:noHBand="0" w:noVBand="1"/>
      </w:tblPr>
      <w:tblGrid>
        <w:gridCol w:w="1980"/>
        <w:gridCol w:w="1787"/>
        <w:gridCol w:w="1813"/>
        <w:gridCol w:w="1891"/>
        <w:gridCol w:w="1536"/>
      </w:tblGrid>
      <w:tr w:rsidR="006E31BA" w:rsidTr="006E31BA">
        <w:trPr>
          <w:trHeight w:val="780"/>
        </w:trPr>
        <w:tc>
          <w:tcPr>
            <w:tcW w:w="19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预算可用指标</w:t>
            </w:r>
          </w:p>
        </w:tc>
        <w:tc>
          <w:tcPr>
            <w:tcW w:w="17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财政拨款收入</w:t>
            </w:r>
          </w:p>
        </w:tc>
        <w:tc>
          <w:tcPr>
            <w:tcW w:w="181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本年度指标结余</w:t>
            </w:r>
          </w:p>
        </w:tc>
        <w:tc>
          <w:tcPr>
            <w:tcW w:w="18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上年度指标结余</w:t>
            </w:r>
          </w:p>
        </w:tc>
        <w:tc>
          <w:tcPr>
            <w:tcW w:w="153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结余减少</w:t>
            </w:r>
          </w:p>
        </w:tc>
      </w:tr>
      <w:tr w:rsidR="006E31BA" w:rsidTr="006E31BA">
        <w:trPr>
          <w:trHeight w:val="780"/>
        </w:trPr>
        <w:tc>
          <w:tcPr>
            <w:tcW w:w="198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3325.59</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3316.47</w:t>
            </w:r>
          </w:p>
        </w:tc>
        <w:tc>
          <w:tcPr>
            <w:tcW w:w="18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7.89</w:t>
            </w:r>
          </w:p>
        </w:tc>
        <w:tc>
          <w:tcPr>
            <w:tcW w:w="189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rPr>
                <w:rFonts w:ascii="仿宋" w:eastAsia="仿宋" w:hAnsi="仿宋" w:hint="eastAsia"/>
                <w:kern w:val="0"/>
                <w:sz w:val="30"/>
                <w:szCs w:val="30"/>
              </w:rPr>
            </w:pPr>
            <w:r>
              <w:rPr>
                <w:rFonts w:ascii="仿宋" w:eastAsia="仿宋" w:hAnsi="仿宋" w:hint="eastAsia"/>
                <w:kern w:val="0"/>
                <w:sz w:val="30"/>
                <w:szCs w:val="30"/>
              </w:rPr>
              <w:t>8.76</w:t>
            </w:r>
          </w:p>
        </w:tc>
        <w:tc>
          <w:tcPr>
            <w:tcW w:w="153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kern w:val="0"/>
                <w:sz w:val="30"/>
                <w:szCs w:val="30"/>
              </w:rPr>
            </w:pPr>
            <w:r>
              <w:rPr>
                <w:rFonts w:ascii="仿宋" w:eastAsia="仿宋" w:hAnsi="仿宋" w:hint="eastAsia"/>
                <w:kern w:val="0"/>
                <w:sz w:val="30"/>
                <w:szCs w:val="30"/>
              </w:rPr>
              <w:t>-0.87</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b/>
          <w:kern w:val="0"/>
          <w:sz w:val="30"/>
          <w:szCs w:val="30"/>
        </w:rPr>
        <w:t>2</w:t>
      </w:r>
      <w:r>
        <w:rPr>
          <w:rFonts w:ascii="仿宋" w:eastAsia="仿宋" w:hAnsi="仿宋" w:hint="eastAsia"/>
          <w:kern w:val="0"/>
          <w:sz w:val="30"/>
          <w:szCs w:val="30"/>
        </w:rPr>
        <w:t>．</w:t>
      </w:r>
      <w:r>
        <w:rPr>
          <w:rFonts w:ascii="仿宋" w:eastAsia="仿宋" w:hAnsi="仿宋" w:hint="eastAsia"/>
          <w:b/>
          <w:bCs/>
          <w:kern w:val="0"/>
          <w:sz w:val="30"/>
          <w:szCs w:val="30"/>
        </w:rPr>
        <w:t>2021年度预算支出决算及结余情况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2021年局本级预算、决算和结余对比情况表</w:t>
      </w:r>
    </w:p>
    <w:tbl>
      <w:tblPr>
        <w:tblW w:w="9251" w:type="dxa"/>
        <w:tblInd w:w="108" w:type="dxa"/>
        <w:tblLayout w:type="fixed"/>
        <w:tblCellMar>
          <w:left w:w="0" w:type="dxa"/>
          <w:right w:w="0" w:type="dxa"/>
        </w:tblCellMar>
        <w:tblLook w:val="04A0" w:firstRow="1" w:lastRow="0" w:firstColumn="1" w:lastColumn="0" w:noHBand="0" w:noVBand="1"/>
      </w:tblPr>
      <w:tblGrid>
        <w:gridCol w:w="2700"/>
        <w:gridCol w:w="2401"/>
        <w:gridCol w:w="2050"/>
        <w:gridCol w:w="2100"/>
      </w:tblGrid>
      <w:tr w:rsidR="006E31BA" w:rsidTr="006E31BA">
        <w:trPr>
          <w:trHeight w:val="405"/>
        </w:trPr>
        <w:tc>
          <w:tcPr>
            <w:tcW w:w="270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比较项目</w:t>
            </w:r>
          </w:p>
        </w:tc>
        <w:tc>
          <w:tcPr>
            <w:tcW w:w="240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支出项目</w:t>
            </w:r>
          </w:p>
        </w:tc>
        <w:tc>
          <w:tcPr>
            <w:tcW w:w="4150" w:type="dxa"/>
            <w:gridSpan w:val="2"/>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Chars="392" w:firstLine="1181"/>
              <w:rPr>
                <w:rFonts w:ascii="仿宋" w:eastAsia="仿宋" w:hAnsi="仿宋" w:hint="eastAsia"/>
                <w:kern w:val="0"/>
                <w:sz w:val="30"/>
                <w:szCs w:val="30"/>
              </w:rPr>
            </w:pPr>
            <w:r>
              <w:rPr>
                <w:rFonts w:ascii="仿宋" w:eastAsia="仿宋" w:hAnsi="仿宋" w:hint="eastAsia"/>
                <w:b/>
                <w:bCs/>
                <w:kern w:val="0"/>
                <w:sz w:val="30"/>
                <w:szCs w:val="30"/>
              </w:rPr>
              <w:t>金额（万元）</w:t>
            </w:r>
          </w:p>
        </w:tc>
      </w:tr>
      <w:tr w:rsidR="006E31BA" w:rsidTr="006E31BA">
        <w:trPr>
          <w:trHeight w:val="405"/>
        </w:trPr>
        <w:tc>
          <w:tcPr>
            <w:tcW w:w="2700" w:type="dxa"/>
            <w:vMerge/>
            <w:tcBorders>
              <w:top w:val="single" w:sz="8" w:space="0" w:color="000000"/>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vMerge/>
            <w:tcBorders>
              <w:top w:val="single" w:sz="8" w:space="0" w:color="000000"/>
              <w:left w:val="nil"/>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Chars="147" w:firstLine="443"/>
              <w:rPr>
                <w:rFonts w:ascii="仿宋" w:eastAsia="仿宋" w:hAnsi="仿宋" w:hint="eastAsia"/>
                <w:kern w:val="0"/>
                <w:sz w:val="30"/>
                <w:szCs w:val="30"/>
              </w:rPr>
            </w:pPr>
            <w:r>
              <w:rPr>
                <w:rFonts w:ascii="仿宋" w:eastAsia="仿宋" w:hAnsi="仿宋" w:hint="eastAsia"/>
                <w:b/>
                <w:bCs/>
                <w:kern w:val="0"/>
                <w:sz w:val="30"/>
                <w:szCs w:val="30"/>
              </w:rPr>
              <w:t>合 计</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kern w:val="0"/>
                <w:sz w:val="30"/>
                <w:szCs w:val="30"/>
              </w:rPr>
            </w:pPr>
            <w:r>
              <w:rPr>
                <w:rFonts w:ascii="仿宋" w:eastAsia="仿宋" w:hAnsi="仿宋" w:hint="eastAsia"/>
                <w:b/>
                <w:bCs/>
                <w:kern w:val="0"/>
                <w:sz w:val="30"/>
                <w:szCs w:val="30"/>
              </w:rPr>
              <w:t>其中：财政拨款</w:t>
            </w:r>
          </w:p>
        </w:tc>
      </w:tr>
      <w:tr w:rsidR="006E31BA" w:rsidTr="006E31BA">
        <w:trPr>
          <w:trHeight w:val="405"/>
        </w:trPr>
        <w:tc>
          <w:tcPr>
            <w:tcW w:w="270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预算金额</w:t>
            </w: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Chars="150" w:firstLine="450"/>
              <w:jc w:val="center"/>
              <w:rPr>
                <w:rFonts w:ascii="仿宋" w:eastAsia="仿宋" w:hAnsi="仿宋" w:hint="eastAsia"/>
                <w:kern w:val="0"/>
                <w:sz w:val="30"/>
                <w:szCs w:val="30"/>
              </w:rPr>
            </w:pPr>
            <w:r>
              <w:rPr>
                <w:rFonts w:ascii="仿宋" w:eastAsia="仿宋" w:hAnsi="仿宋" w:hint="eastAsia"/>
                <w:kern w:val="0"/>
                <w:sz w:val="30"/>
                <w:szCs w:val="30"/>
              </w:rPr>
              <w:t>2210.11</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Chars="150" w:firstLine="450"/>
              <w:jc w:val="center"/>
              <w:rPr>
                <w:rFonts w:ascii="仿宋" w:eastAsia="仿宋" w:hAnsi="仿宋" w:hint="eastAsia"/>
                <w:kern w:val="0"/>
                <w:sz w:val="30"/>
                <w:szCs w:val="30"/>
              </w:rPr>
            </w:pPr>
            <w:r>
              <w:rPr>
                <w:rFonts w:ascii="仿宋" w:eastAsia="仿宋" w:hAnsi="仿宋" w:hint="eastAsia"/>
                <w:kern w:val="0"/>
                <w:sz w:val="30"/>
                <w:szCs w:val="30"/>
              </w:rPr>
              <w:t>2210.11</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451.6</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451.6</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2661.71</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2661.71</w:t>
            </w:r>
          </w:p>
        </w:tc>
      </w:tr>
      <w:tr w:rsidR="006E31BA" w:rsidTr="006E31BA">
        <w:trPr>
          <w:trHeight w:val="405"/>
        </w:trPr>
        <w:tc>
          <w:tcPr>
            <w:tcW w:w="270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决算金额</w:t>
            </w: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2700.95</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2700.95</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616.75</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616.75</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3317.7</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3317.7</w:t>
            </w:r>
          </w:p>
        </w:tc>
      </w:tr>
      <w:tr w:rsidR="006E31BA" w:rsidTr="006E31BA">
        <w:trPr>
          <w:trHeight w:val="405"/>
        </w:trPr>
        <w:tc>
          <w:tcPr>
            <w:tcW w:w="270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lastRenderedPageBreak/>
              <w:t>执行差异</w:t>
            </w:r>
          </w:p>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（预算-决算）</w:t>
            </w: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-490.84</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-490.84</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-165.15</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-165.15</w:t>
            </w:r>
          </w:p>
        </w:tc>
      </w:tr>
      <w:tr w:rsidR="006E31BA" w:rsidTr="006E31BA">
        <w:trPr>
          <w:trHeight w:val="405"/>
        </w:trPr>
        <w:tc>
          <w:tcPr>
            <w:tcW w:w="2700" w:type="dxa"/>
            <w:vMerge/>
            <w:tcBorders>
              <w:top w:val="nil"/>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24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205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-655.99</w:t>
            </w:r>
          </w:p>
        </w:tc>
        <w:tc>
          <w:tcPr>
            <w:tcW w:w="2100"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-655.99</w:t>
            </w:r>
          </w:p>
        </w:tc>
      </w:tr>
    </w:tbl>
    <w:p w:rsidR="006E31BA" w:rsidRDefault="006E31BA" w:rsidP="006E31BA">
      <w:pPr>
        <w:widowControl/>
        <w:spacing w:line="560" w:lineRule="exact"/>
        <w:ind w:firstLineChars="250" w:firstLine="750"/>
        <w:rPr>
          <w:rFonts w:ascii="仿宋" w:eastAsia="仿宋" w:hAnsi="仿宋" w:hint="eastAsia"/>
          <w:bCs/>
          <w:kern w:val="0"/>
          <w:sz w:val="30"/>
          <w:szCs w:val="30"/>
        </w:rPr>
      </w:pPr>
      <w:r>
        <w:rPr>
          <w:rFonts w:ascii="仿宋" w:eastAsia="仿宋" w:hAnsi="仿宋" w:hint="eastAsia"/>
          <w:bCs/>
          <w:kern w:val="0"/>
          <w:sz w:val="30"/>
          <w:szCs w:val="30"/>
        </w:rPr>
        <w:t>针对上述数据反映情况，说明如下：</w:t>
      </w:r>
    </w:p>
    <w:p w:rsidR="006E31BA" w:rsidRDefault="006E31BA" w:rsidP="006E31BA">
      <w:pPr>
        <w:widowControl/>
        <w:spacing w:line="560" w:lineRule="exact"/>
        <w:ind w:firstLineChars="250" w:firstLine="750"/>
        <w:rPr>
          <w:rFonts w:ascii="仿宋" w:eastAsia="仿宋" w:hAnsi="仿宋" w:hint="eastAsia"/>
          <w:bCs/>
          <w:kern w:val="0"/>
          <w:sz w:val="30"/>
          <w:szCs w:val="30"/>
        </w:rPr>
      </w:pPr>
      <w:r>
        <w:rPr>
          <w:rFonts w:ascii="仿宋" w:eastAsia="仿宋" w:hAnsi="仿宋" w:hint="eastAsia"/>
          <w:bCs/>
          <w:kern w:val="0"/>
          <w:sz w:val="30"/>
          <w:szCs w:val="30"/>
        </w:rPr>
        <w:t>1、2021年我局结转指标为7.89万元，比2020年指标结转净减少了0.87万元，体现了我局较好的预算执行能力。</w:t>
      </w:r>
    </w:p>
    <w:p w:rsidR="006E31BA" w:rsidRDefault="006E31BA" w:rsidP="006E31BA">
      <w:pPr>
        <w:widowControl/>
        <w:spacing w:line="560" w:lineRule="exact"/>
        <w:ind w:firstLine="640"/>
        <w:rPr>
          <w:rFonts w:ascii="仿宋" w:eastAsia="仿宋" w:hAnsi="仿宋" w:hint="eastAsia"/>
          <w:bCs/>
          <w:kern w:val="0"/>
          <w:sz w:val="30"/>
          <w:szCs w:val="30"/>
        </w:rPr>
      </w:pPr>
      <w:r>
        <w:rPr>
          <w:rFonts w:ascii="仿宋" w:eastAsia="仿宋" w:hAnsi="仿宋" w:hint="eastAsia"/>
          <w:bCs/>
          <w:kern w:val="0"/>
          <w:sz w:val="30"/>
          <w:szCs w:val="30"/>
        </w:rPr>
        <w:t>2、基本支出决算金额大于预算金额主要是：一、正常的增调资；二是扶贫工作经费增多；三是上年结转没有做入预算;四是抚恤金增多。五</w:t>
      </w:r>
      <w:r>
        <w:rPr>
          <w:rFonts w:ascii="仿宋" w:eastAsia="仿宋" w:hAnsi="仿宋" w:hint="eastAsia"/>
          <w:kern w:val="0"/>
          <w:sz w:val="30"/>
          <w:szCs w:val="30"/>
        </w:rPr>
        <w:t>、绩效奖金没有纳入预算。</w:t>
      </w:r>
      <w:r>
        <w:rPr>
          <w:rFonts w:ascii="仿宋" w:eastAsia="仿宋" w:hAnsi="仿宋" w:hint="eastAsia"/>
          <w:bCs/>
          <w:kern w:val="0"/>
          <w:sz w:val="30"/>
          <w:szCs w:val="30"/>
        </w:rPr>
        <w:t>3、项目支出决算金额大于预算金额主要是：一是邵阳市武冈市食品药品检验检测中心基建资金没有做预算，二是省拨的专项资金没有列入预算。项目资金的预算都是专项的商品服务支出。2021年检验检测中心基建支出253.34万元。</w:t>
      </w:r>
    </w:p>
    <w:p w:rsidR="006E31BA" w:rsidRDefault="006E31BA" w:rsidP="006E31BA">
      <w:pPr>
        <w:widowControl/>
        <w:spacing w:line="560" w:lineRule="exact"/>
        <w:ind w:firstLineChars="250" w:firstLine="753"/>
        <w:rPr>
          <w:rFonts w:ascii="仿宋" w:eastAsia="仿宋" w:hAnsi="仿宋" w:hint="eastAsia"/>
          <w:b/>
          <w:bCs/>
          <w:kern w:val="0"/>
          <w:sz w:val="30"/>
          <w:szCs w:val="30"/>
        </w:rPr>
      </w:pPr>
      <w:r>
        <w:rPr>
          <w:rFonts w:ascii="仿宋" w:eastAsia="仿宋" w:hAnsi="仿宋" w:hint="eastAsia"/>
          <w:b/>
          <w:bCs/>
          <w:kern w:val="0"/>
          <w:sz w:val="30"/>
          <w:szCs w:val="30"/>
        </w:rPr>
        <w:t>三、绩效评价工作情况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（一）绩效评价目的</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本次绩效评价的目的是为了全面分析和综合评价我局财政预算资金的使用管理情况，为切实提高财政资金使用效益，强化预算支出的责任和效率提供参考依据。</w:t>
      </w:r>
    </w:p>
    <w:p w:rsidR="006E31BA" w:rsidRDefault="006E31BA" w:rsidP="006E31BA">
      <w:pPr>
        <w:ind w:firstLine="570"/>
        <w:jc w:val="left"/>
        <w:rPr>
          <w:rFonts w:ascii="仿宋" w:eastAsia="仿宋" w:hAnsi="仿宋" w:hint="eastAsia"/>
          <w:b/>
          <w:bCs/>
          <w:kern w:val="0"/>
          <w:sz w:val="30"/>
          <w:szCs w:val="30"/>
        </w:rPr>
      </w:pPr>
      <w:r>
        <w:rPr>
          <w:rFonts w:ascii="仿宋" w:eastAsia="仿宋" w:hAnsi="仿宋" w:hint="eastAsia"/>
          <w:b/>
          <w:bCs/>
          <w:kern w:val="0"/>
          <w:sz w:val="30"/>
          <w:szCs w:val="30"/>
        </w:rPr>
        <w:t>（二）绩效评价工作过程，主要包括前期准备、组织实施和分析评价等内容</w:t>
      </w:r>
    </w:p>
    <w:p w:rsidR="006E31BA" w:rsidRDefault="006E31BA" w:rsidP="006E31BA">
      <w:pPr>
        <w:widowControl/>
        <w:spacing w:line="560" w:lineRule="exact"/>
        <w:ind w:firstLine="640"/>
        <w:rPr>
          <w:rFonts w:ascii="仿宋" w:eastAsia="仿宋" w:hAnsi="仿宋" w:hint="eastAsia"/>
          <w:kern w:val="0"/>
          <w:sz w:val="30"/>
          <w:szCs w:val="30"/>
        </w:rPr>
      </w:pPr>
      <w:r>
        <w:rPr>
          <w:rFonts w:hint="eastAsia"/>
        </w:rPr>
        <w:tab/>
      </w:r>
      <w:r>
        <w:rPr>
          <w:rFonts w:ascii="仿宋" w:eastAsia="仿宋" w:hAnsi="仿宋" w:hint="eastAsia"/>
          <w:kern w:val="0"/>
          <w:sz w:val="30"/>
          <w:szCs w:val="30"/>
        </w:rPr>
        <w:t>我们按照财政部门绩效自评规程要求，第一阶段为启动部署阶段：由我局计财股牵头，组织有关业务股室制定了详细的工作方案，明确股室责任，确定评价指标细则；第二阶段为组织实施阶段：根据上一阶段任务布置，各单位按照要求展开自评工作，</w:t>
      </w:r>
      <w:r>
        <w:rPr>
          <w:rFonts w:ascii="仿宋" w:eastAsia="仿宋" w:hAnsi="仿宋" w:hint="eastAsia"/>
          <w:kern w:val="0"/>
          <w:sz w:val="30"/>
          <w:szCs w:val="30"/>
        </w:rPr>
        <w:lastRenderedPageBreak/>
        <w:t>并将评价结果报计财股；第三阶段为总结推广阶段，并出具自评报告：计财股在各单位自评的基础上，查阅相关文件资料和财务凭证，对收集佐证资料进行定量定性分析，综合评议后形成评价结论，出具绩效自评价报告。</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 xml:space="preserve"> </w:t>
      </w:r>
      <w:r>
        <w:rPr>
          <w:rFonts w:ascii="仿宋" w:eastAsia="仿宋" w:hAnsi="仿宋" w:hint="eastAsia"/>
          <w:b/>
          <w:bCs/>
          <w:kern w:val="0"/>
          <w:sz w:val="30"/>
          <w:szCs w:val="30"/>
        </w:rPr>
        <w:t>四、整体支出使用管理情况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（一）基本支出使用管理情况</w:t>
      </w:r>
    </w:p>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我局基本支出的范围和主要用途包括人员经费和日常公用经费。具体包括：工资福利支出、对个人和家庭的补助、商品和服务支出、其他资本性支出。基本支出的管理和使用情况如下：</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1.  基本支出本年预算指标可用情况</w:t>
      </w:r>
      <w:r>
        <w:rPr>
          <w:rFonts w:ascii="仿宋" w:eastAsia="仿宋" w:hAnsi="仿宋" w:hint="eastAsia"/>
          <w:kern w:val="0"/>
          <w:sz w:val="30"/>
          <w:szCs w:val="30"/>
        </w:rPr>
        <w:t>（单位：万元）</w:t>
      </w:r>
    </w:p>
    <w:tbl>
      <w:tblPr>
        <w:tblW w:w="10377" w:type="dxa"/>
        <w:tblInd w:w="135" w:type="dxa"/>
        <w:tblLayout w:type="fixed"/>
        <w:tblCellMar>
          <w:left w:w="0" w:type="dxa"/>
          <w:right w:w="0" w:type="dxa"/>
        </w:tblCellMar>
        <w:tblLook w:val="04A0" w:firstRow="1" w:lastRow="0" w:firstColumn="1" w:lastColumn="0" w:noHBand="0" w:noVBand="1"/>
      </w:tblPr>
      <w:tblGrid>
        <w:gridCol w:w="3267"/>
        <w:gridCol w:w="1648"/>
        <w:gridCol w:w="1805"/>
        <w:gridCol w:w="1475"/>
        <w:gridCol w:w="2182"/>
      </w:tblGrid>
      <w:tr w:rsidR="006E31BA" w:rsidTr="006E31BA">
        <w:trPr>
          <w:trHeight w:val="577"/>
        </w:trPr>
        <w:tc>
          <w:tcPr>
            <w:tcW w:w="32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预算项目</w:t>
            </w:r>
          </w:p>
        </w:tc>
        <w:tc>
          <w:tcPr>
            <w:tcW w:w="164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kern w:val="0"/>
                <w:sz w:val="30"/>
                <w:szCs w:val="30"/>
              </w:rPr>
            </w:pPr>
            <w:r>
              <w:rPr>
                <w:rFonts w:ascii="仿宋" w:eastAsia="仿宋" w:hAnsi="仿宋" w:hint="eastAsia"/>
                <w:b/>
                <w:bCs/>
                <w:kern w:val="0"/>
                <w:sz w:val="30"/>
                <w:szCs w:val="30"/>
              </w:rPr>
              <w:t>本年预算</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kern w:val="0"/>
                <w:sz w:val="30"/>
                <w:szCs w:val="30"/>
              </w:rPr>
            </w:pPr>
            <w:r>
              <w:rPr>
                <w:rFonts w:ascii="仿宋" w:eastAsia="仿宋" w:hAnsi="仿宋" w:hint="eastAsia"/>
                <w:b/>
                <w:bCs/>
                <w:kern w:val="0"/>
                <w:sz w:val="30"/>
                <w:szCs w:val="30"/>
              </w:rPr>
              <w:t>本年追加</w:t>
            </w:r>
          </w:p>
        </w:tc>
        <w:tc>
          <w:tcPr>
            <w:tcW w:w="1475" w:type="dxa"/>
            <w:tcBorders>
              <w:top w:val="single" w:sz="8" w:space="0" w:color="000000"/>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b/>
                <w:bCs/>
                <w:kern w:val="0"/>
                <w:sz w:val="30"/>
                <w:szCs w:val="30"/>
              </w:rPr>
            </w:pPr>
            <w:r>
              <w:rPr>
                <w:rFonts w:ascii="仿宋" w:eastAsia="仿宋" w:hAnsi="仿宋" w:hint="eastAsia"/>
                <w:b/>
                <w:bCs/>
                <w:kern w:val="0"/>
                <w:sz w:val="30"/>
                <w:szCs w:val="30"/>
              </w:rPr>
              <w:t>上年结余</w:t>
            </w:r>
          </w:p>
        </w:tc>
        <w:tc>
          <w:tcPr>
            <w:tcW w:w="2182" w:type="dxa"/>
            <w:tcBorders>
              <w:top w:val="single" w:sz="8" w:space="0" w:color="000000"/>
              <w:left w:val="nil"/>
              <w:bottom w:val="single" w:sz="8" w:space="0" w:color="000000"/>
              <w:right w:val="single" w:sz="8" w:space="0" w:color="000000"/>
            </w:tcBorders>
            <w:vAlign w:val="center"/>
            <w:hideMark/>
          </w:tcPr>
          <w:p w:rsidR="006E31BA" w:rsidRDefault="006E31BA">
            <w:pPr>
              <w:spacing w:line="560" w:lineRule="exact"/>
              <w:rPr>
                <w:rFonts w:ascii="仿宋" w:eastAsia="仿宋" w:hAnsi="仿宋" w:hint="eastAsia"/>
                <w:kern w:val="0"/>
                <w:sz w:val="30"/>
                <w:szCs w:val="30"/>
              </w:rPr>
            </w:pPr>
            <w:r>
              <w:rPr>
                <w:rFonts w:ascii="仿宋" w:eastAsia="仿宋" w:hAnsi="仿宋" w:hint="eastAsia"/>
                <w:b/>
                <w:bCs/>
                <w:kern w:val="0"/>
                <w:sz w:val="30"/>
                <w:szCs w:val="30"/>
              </w:rPr>
              <w:t>本年可用指标</w:t>
            </w:r>
          </w:p>
        </w:tc>
      </w:tr>
      <w:tr w:rsidR="006E31BA" w:rsidTr="006E31BA">
        <w:trPr>
          <w:trHeight w:val="577"/>
        </w:trPr>
        <w:tc>
          <w:tcPr>
            <w:tcW w:w="32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工资福利支出</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1820.24</w:t>
            </w:r>
          </w:p>
        </w:tc>
        <w:tc>
          <w:tcPr>
            <w:tcW w:w="18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288.12</w:t>
            </w:r>
          </w:p>
        </w:tc>
        <w:tc>
          <w:tcPr>
            <w:tcW w:w="1475" w:type="dxa"/>
            <w:tcBorders>
              <w:top w:val="nil"/>
              <w:left w:val="nil"/>
              <w:bottom w:val="single" w:sz="8" w:space="0" w:color="000000"/>
              <w:right w:val="single" w:sz="4" w:space="0" w:color="auto"/>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182" w:type="dxa"/>
            <w:tcBorders>
              <w:top w:val="nil"/>
              <w:left w:val="nil"/>
              <w:bottom w:val="single" w:sz="8" w:space="0" w:color="000000"/>
              <w:right w:val="single" w:sz="8" w:space="0" w:color="000000"/>
            </w:tcBorders>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2108.36</w:t>
            </w:r>
          </w:p>
        </w:tc>
      </w:tr>
      <w:tr w:rsidR="006E31BA" w:rsidTr="006E31BA">
        <w:trPr>
          <w:trHeight w:val="577"/>
        </w:trPr>
        <w:tc>
          <w:tcPr>
            <w:tcW w:w="32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商品和服务支出</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325.16</w:t>
            </w:r>
          </w:p>
        </w:tc>
        <w:tc>
          <w:tcPr>
            <w:tcW w:w="18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137.58</w:t>
            </w:r>
          </w:p>
        </w:tc>
        <w:tc>
          <w:tcPr>
            <w:tcW w:w="1475"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8.76</w:t>
            </w:r>
          </w:p>
        </w:tc>
        <w:tc>
          <w:tcPr>
            <w:tcW w:w="2182" w:type="dxa"/>
            <w:tcBorders>
              <w:top w:val="nil"/>
              <w:left w:val="nil"/>
              <w:bottom w:val="single" w:sz="8" w:space="0" w:color="000000"/>
              <w:right w:val="single" w:sz="8" w:space="0" w:color="000000"/>
            </w:tcBorders>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463.61</w:t>
            </w:r>
          </w:p>
        </w:tc>
      </w:tr>
      <w:tr w:rsidR="006E31BA" w:rsidTr="006E31BA">
        <w:trPr>
          <w:trHeight w:val="577"/>
        </w:trPr>
        <w:tc>
          <w:tcPr>
            <w:tcW w:w="32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Chars="100" w:firstLine="301"/>
              <w:rPr>
                <w:rFonts w:ascii="仿宋" w:eastAsia="仿宋" w:hAnsi="仿宋" w:hint="eastAsia"/>
                <w:kern w:val="0"/>
                <w:sz w:val="30"/>
                <w:szCs w:val="30"/>
              </w:rPr>
            </w:pPr>
            <w:r>
              <w:rPr>
                <w:rFonts w:ascii="仿宋" w:eastAsia="仿宋" w:hAnsi="仿宋" w:hint="eastAsia"/>
                <w:b/>
                <w:bCs/>
                <w:kern w:val="0"/>
                <w:sz w:val="30"/>
                <w:szCs w:val="30"/>
              </w:rPr>
              <w:t>对个人和家庭补助</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64.71</w:t>
            </w:r>
          </w:p>
        </w:tc>
        <w:tc>
          <w:tcPr>
            <w:tcW w:w="18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70.35</w:t>
            </w:r>
          </w:p>
        </w:tc>
        <w:tc>
          <w:tcPr>
            <w:tcW w:w="1475" w:type="dxa"/>
            <w:tcBorders>
              <w:top w:val="nil"/>
              <w:left w:val="nil"/>
              <w:bottom w:val="single" w:sz="8" w:space="0" w:color="000000"/>
              <w:right w:val="single" w:sz="4" w:space="0" w:color="auto"/>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182" w:type="dxa"/>
            <w:tcBorders>
              <w:top w:val="nil"/>
              <w:left w:val="nil"/>
              <w:bottom w:val="single" w:sz="8" w:space="0" w:color="000000"/>
              <w:right w:val="single" w:sz="8" w:space="0" w:color="000000"/>
            </w:tcBorders>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135.06</w:t>
            </w:r>
          </w:p>
        </w:tc>
      </w:tr>
      <w:tr w:rsidR="006E31BA" w:rsidTr="006E31BA">
        <w:trPr>
          <w:trHeight w:val="603"/>
        </w:trPr>
        <w:tc>
          <w:tcPr>
            <w:tcW w:w="326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b/>
                <w:bCs/>
                <w:kern w:val="0"/>
                <w:sz w:val="30"/>
                <w:szCs w:val="30"/>
              </w:rPr>
            </w:pPr>
            <w:r>
              <w:rPr>
                <w:rFonts w:ascii="仿宋" w:eastAsia="仿宋" w:hAnsi="仿宋" w:hint="eastAsia"/>
                <w:b/>
                <w:bCs/>
                <w:kern w:val="0"/>
                <w:sz w:val="30"/>
                <w:szCs w:val="30"/>
              </w:rPr>
              <w:t>其他资本性支出</w:t>
            </w:r>
          </w:p>
        </w:tc>
        <w:tc>
          <w:tcPr>
            <w:tcW w:w="164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0</w:t>
            </w:r>
          </w:p>
        </w:tc>
        <w:tc>
          <w:tcPr>
            <w:tcW w:w="180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1.8</w:t>
            </w:r>
          </w:p>
        </w:tc>
        <w:tc>
          <w:tcPr>
            <w:tcW w:w="1475" w:type="dxa"/>
            <w:tcBorders>
              <w:top w:val="nil"/>
              <w:left w:val="nil"/>
              <w:bottom w:val="single" w:sz="8" w:space="0" w:color="000000"/>
              <w:right w:val="single" w:sz="4" w:space="0" w:color="auto"/>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182" w:type="dxa"/>
            <w:tcBorders>
              <w:top w:val="nil"/>
              <w:left w:val="nil"/>
              <w:bottom w:val="single" w:sz="8" w:space="0" w:color="000000"/>
              <w:right w:val="single" w:sz="8" w:space="0" w:color="000000"/>
            </w:tcBorders>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1.8</w:t>
            </w:r>
          </w:p>
        </w:tc>
      </w:tr>
    </w:tbl>
    <w:p w:rsidR="006E31BA" w:rsidRDefault="006E31BA" w:rsidP="006E31BA">
      <w:pPr>
        <w:widowControl/>
        <w:jc w:val="left"/>
        <w:rPr>
          <w:rFonts w:ascii="宋体" w:hAnsi="宋体" w:cs="宋体"/>
          <w:vanish/>
          <w:kern w:val="0"/>
          <w:sz w:val="24"/>
          <w:szCs w:val="24"/>
        </w:rPr>
      </w:pPr>
    </w:p>
    <w:tbl>
      <w:tblPr>
        <w:tblW w:w="10365" w:type="dxa"/>
        <w:tblInd w:w="135" w:type="dxa"/>
        <w:tblLayout w:type="fixed"/>
        <w:tblCellMar>
          <w:left w:w="0" w:type="dxa"/>
          <w:right w:w="0" w:type="dxa"/>
        </w:tblCellMar>
        <w:tblLook w:val="04A0" w:firstRow="1" w:lastRow="0" w:firstColumn="1" w:lastColumn="0" w:noHBand="0" w:noVBand="1"/>
      </w:tblPr>
      <w:tblGrid>
        <w:gridCol w:w="3283"/>
        <w:gridCol w:w="1617"/>
        <w:gridCol w:w="1817"/>
        <w:gridCol w:w="1483"/>
        <w:gridCol w:w="2165"/>
      </w:tblGrid>
      <w:tr w:rsidR="006E31BA" w:rsidTr="006E31BA">
        <w:trPr>
          <w:trHeight w:val="1004"/>
        </w:trPr>
        <w:tc>
          <w:tcPr>
            <w:tcW w:w="328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16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rPr>
                <w:rFonts w:ascii="仿宋" w:eastAsia="仿宋" w:hAnsi="仿宋" w:hint="eastAsia"/>
                <w:kern w:val="0"/>
                <w:sz w:val="30"/>
                <w:szCs w:val="30"/>
              </w:rPr>
            </w:pPr>
            <w:r>
              <w:rPr>
                <w:rFonts w:ascii="仿宋" w:eastAsia="仿宋" w:hAnsi="仿宋" w:hint="eastAsia"/>
                <w:kern w:val="0"/>
                <w:sz w:val="30"/>
                <w:szCs w:val="30"/>
              </w:rPr>
              <w:t>2210.11</w:t>
            </w:r>
          </w:p>
        </w:tc>
        <w:tc>
          <w:tcPr>
            <w:tcW w:w="181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497.85</w:t>
            </w:r>
          </w:p>
        </w:tc>
        <w:tc>
          <w:tcPr>
            <w:tcW w:w="148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8.76</w:t>
            </w:r>
          </w:p>
        </w:tc>
        <w:tc>
          <w:tcPr>
            <w:tcW w:w="2165" w:type="dxa"/>
            <w:tcBorders>
              <w:top w:val="nil"/>
              <w:left w:val="nil"/>
              <w:bottom w:val="single" w:sz="8" w:space="0" w:color="000000"/>
              <w:right w:val="single" w:sz="8" w:space="0" w:color="000000"/>
            </w:tcBorders>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2707.03</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根据本年预算、上年结余和本年预算追加情况，本年基本支出预算可用指标2707.03万元。</w:t>
      </w:r>
    </w:p>
    <w:p w:rsidR="006E31BA" w:rsidRDefault="006E31BA" w:rsidP="006E31BA">
      <w:pPr>
        <w:widowControl/>
        <w:numPr>
          <w:ilvl w:val="0"/>
          <w:numId w:val="1"/>
        </w:numPr>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本年基本支出预算执行情况</w:t>
      </w:r>
      <w:r>
        <w:rPr>
          <w:rFonts w:ascii="仿宋" w:eastAsia="仿宋" w:hAnsi="仿宋" w:hint="eastAsia"/>
          <w:kern w:val="0"/>
          <w:sz w:val="30"/>
          <w:szCs w:val="30"/>
        </w:rPr>
        <w:t>（单位：万元）</w:t>
      </w:r>
    </w:p>
    <w:p w:rsidR="006E31BA" w:rsidRDefault="006E31BA" w:rsidP="006E31BA">
      <w:pPr>
        <w:widowControl/>
        <w:spacing w:line="560" w:lineRule="exact"/>
        <w:rPr>
          <w:rFonts w:ascii="仿宋" w:eastAsia="仿宋" w:hAnsi="仿宋" w:hint="eastAsia"/>
          <w:kern w:val="0"/>
          <w:sz w:val="30"/>
          <w:szCs w:val="30"/>
        </w:rPr>
      </w:pPr>
      <w:r>
        <w:rPr>
          <w:rFonts w:ascii="仿宋" w:eastAsia="仿宋" w:hAnsi="仿宋" w:hint="eastAsia"/>
          <w:kern w:val="0"/>
          <w:sz w:val="30"/>
          <w:szCs w:val="30"/>
        </w:rPr>
        <w:t xml:space="preserve"> </w:t>
      </w:r>
    </w:p>
    <w:tbl>
      <w:tblPr>
        <w:tblW w:w="10058" w:type="dxa"/>
        <w:tblInd w:w="135" w:type="dxa"/>
        <w:tblLayout w:type="fixed"/>
        <w:tblCellMar>
          <w:left w:w="0" w:type="dxa"/>
          <w:right w:w="0" w:type="dxa"/>
        </w:tblCellMar>
        <w:tblLook w:val="04A0" w:firstRow="1" w:lastRow="0" w:firstColumn="1" w:lastColumn="0" w:noHBand="0" w:noVBand="1"/>
      </w:tblPr>
      <w:tblGrid>
        <w:gridCol w:w="3251"/>
        <w:gridCol w:w="2352"/>
        <w:gridCol w:w="2539"/>
        <w:gridCol w:w="1916"/>
      </w:tblGrid>
      <w:tr w:rsidR="006E31BA" w:rsidTr="006E31BA">
        <w:trPr>
          <w:trHeight w:val="518"/>
        </w:trPr>
        <w:tc>
          <w:tcPr>
            <w:tcW w:w="3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预算项目</w:t>
            </w:r>
          </w:p>
        </w:tc>
        <w:tc>
          <w:tcPr>
            <w:tcW w:w="23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预算可用指标</w:t>
            </w:r>
          </w:p>
        </w:tc>
        <w:tc>
          <w:tcPr>
            <w:tcW w:w="25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本年决算金额</w:t>
            </w:r>
          </w:p>
        </w:tc>
        <w:tc>
          <w:tcPr>
            <w:tcW w:w="19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差额</w:t>
            </w:r>
          </w:p>
        </w:tc>
      </w:tr>
      <w:tr w:rsidR="006E31BA" w:rsidTr="006E31BA">
        <w:trPr>
          <w:trHeight w:val="518"/>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工资福利支出</w:t>
            </w:r>
          </w:p>
        </w:tc>
        <w:tc>
          <w:tcPr>
            <w:tcW w:w="23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1820.24</w:t>
            </w:r>
          </w:p>
        </w:tc>
        <w:tc>
          <w:tcPr>
            <w:tcW w:w="25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2108.36</w:t>
            </w:r>
          </w:p>
        </w:tc>
        <w:tc>
          <w:tcPr>
            <w:tcW w:w="19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-288.12</w:t>
            </w:r>
          </w:p>
        </w:tc>
      </w:tr>
      <w:tr w:rsidR="006E31BA" w:rsidTr="006E31BA">
        <w:trPr>
          <w:trHeight w:val="518"/>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lastRenderedPageBreak/>
              <w:t>商品和服务支出</w:t>
            </w:r>
          </w:p>
        </w:tc>
        <w:tc>
          <w:tcPr>
            <w:tcW w:w="23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325.16</w:t>
            </w:r>
          </w:p>
        </w:tc>
        <w:tc>
          <w:tcPr>
            <w:tcW w:w="25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455.72</w:t>
            </w:r>
          </w:p>
        </w:tc>
        <w:tc>
          <w:tcPr>
            <w:tcW w:w="19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-130.56</w:t>
            </w:r>
          </w:p>
        </w:tc>
      </w:tr>
      <w:tr w:rsidR="006E31BA" w:rsidTr="006E31BA">
        <w:trPr>
          <w:trHeight w:val="518"/>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对个人和家庭补助</w:t>
            </w:r>
          </w:p>
        </w:tc>
        <w:tc>
          <w:tcPr>
            <w:tcW w:w="23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64.71</w:t>
            </w:r>
          </w:p>
        </w:tc>
        <w:tc>
          <w:tcPr>
            <w:tcW w:w="25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135.06</w:t>
            </w:r>
          </w:p>
        </w:tc>
        <w:tc>
          <w:tcPr>
            <w:tcW w:w="19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-70.35</w:t>
            </w:r>
          </w:p>
        </w:tc>
      </w:tr>
      <w:tr w:rsidR="006E31BA" w:rsidTr="006E31BA">
        <w:trPr>
          <w:trHeight w:val="518"/>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b/>
                <w:bCs/>
                <w:kern w:val="0"/>
                <w:sz w:val="30"/>
                <w:szCs w:val="30"/>
              </w:rPr>
            </w:pPr>
            <w:r>
              <w:rPr>
                <w:rFonts w:ascii="仿宋" w:eastAsia="仿宋" w:hAnsi="仿宋" w:hint="eastAsia"/>
                <w:b/>
                <w:bCs/>
                <w:kern w:val="0"/>
                <w:sz w:val="30"/>
                <w:szCs w:val="30"/>
              </w:rPr>
              <w:t>资本性支出</w:t>
            </w:r>
          </w:p>
        </w:tc>
        <w:tc>
          <w:tcPr>
            <w:tcW w:w="23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0</w:t>
            </w:r>
          </w:p>
        </w:tc>
        <w:tc>
          <w:tcPr>
            <w:tcW w:w="25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1.8</w:t>
            </w:r>
          </w:p>
        </w:tc>
        <w:tc>
          <w:tcPr>
            <w:tcW w:w="19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-1.8</w:t>
            </w:r>
          </w:p>
        </w:tc>
      </w:tr>
      <w:tr w:rsidR="006E31BA" w:rsidTr="006E31BA">
        <w:trPr>
          <w:trHeight w:val="535"/>
        </w:trPr>
        <w:tc>
          <w:tcPr>
            <w:tcW w:w="325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 计</w:t>
            </w:r>
          </w:p>
        </w:tc>
        <w:tc>
          <w:tcPr>
            <w:tcW w:w="23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2210.11</w:t>
            </w:r>
          </w:p>
        </w:tc>
        <w:tc>
          <w:tcPr>
            <w:tcW w:w="253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2700.94</w:t>
            </w:r>
          </w:p>
        </w:tc>
        <w:tc>
          <w:tcPr>
            <w:tcW w:w="191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-350.13</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 xml:space="preserve">从上表可以反映，2021年我局基本支出与预算不一致的原因如下： </w:t>
      </w:r>
      <w:r>
        <w:rPr>
          <w:rFonts w:ascii="仿宋" w:eastAsia="仿宋" w:hAnsi="仿宋" w:hint="eastAsia"/>
          <w:bCs/>
          <w:kern w:val="0"/>
          <w:sz w:val="30"/>
          <w:szCs w:val="30"/>
        </w:rPr>
        <w:t>一、正常的增调资；二是扶贫工作经费增多；三是上年结转没有做入预算;四是抚恤金增多;四是年终绩效考核奖未纳入预算。</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（二）“三公”经费使用管理情况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1.2021年“三公”经费预算情况</w:t>
      </w:r>
      <w:r>
        <w:rPr>
          <w:rFonts w:ascii="仿宋" w:eastAsia="仿宋" w:hAnsi="仿宋" w:hint="eastAsia"/>
          <w:kern w:val="0"/>
          <w:sz w:val="30"/>
          <w:szCs w:val="30"/>
        </w:rPr>
        <w:t>（单位：万元）</w:t>
      </w:r>
    </w:p>
    <w:tbl>
      <w:tblPr>
        <w:tblW w:w="0" w:type="auto"/>
        <w:tblInd w:w="135" w:type="dxa"/>
        <w:tblLayout w:type="fixed"/>
        <w:tblCellMar>
          <w:left w:w="0" w:type="dxa"/>
          <w:right w:w="0" w:type="dxa"/>
        </w:tblCellMar>
        <w:tblLook w:val="04A0" w:firstRow="1" w:lastRow="0" w:firstColumn="1" w:lastColumn="0" w:noHBand="0" w:noVBand="1"/>
      </w:tblPr>
      <w:tblGrid>
        <w:gridCol w:w="3368"/>
        <w:gridCol w:w="2100"/>
        <w:gridCol w:w="2083"/>
        <w:gridCol w:w="2083"/>
      </w:tblGrid>
      <w:tr w:rsidR="006E31BA" w:rsidTr="006E31BA">
        <w:trPr>
          <w:trHeight w:val="485"/>
        </w:trPr>
        <w:tc>
          <w:tcPr>
            <w:tcW w:w="33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费用项目</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20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20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rPr>
                <w:rFonts w:ascii="仿宋" w:eastAsia="仿宋" w:hAnsi="仿宋" w:hint="eastAsia"/>
                <w:kern w:val="0"/>
                <w:sz w:val="30"/>
                <w:szCs w:val="30"/>
              </w:rPr>
            </w:pPr>
            <w:r>
              <w:rPr>
                <w:rFonts w:ascii="仿宋" w:eastAsia="仿宋" w:hAnsi="仿宋" w:hint="eastAsia"/>
                <w:b/>
                <w:bCs/>
                <w:kern w:val="0"/>
                <w:sz w:val="30"/>
                <w:szCs w:val="30"/>
              </w:rPr>
              <w:t>合计</w:t>
            </w:r>
          </w:p>
        </w:tc>
      </w:tr>
      <w:tr w:rsidR="006E31BA" w:rsidTr="006E31BA">
        <w:trPr>
          <w:trHeight w:val="649"/>
        </w:trPr>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公务接待费</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4.8</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4.8</w:t>
            </w:r>
          </w:p>
        </w:tc>
      </w:tr>
      <w:tr w:rsidR="006E31BA" w:rsidTr="006E31BA">
        <w:trPr>
          <w:trHeight w:val="531"/>
        </w:trPr>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公车运行维护费</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0</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40</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40</w:t>
            </w:r>
          </w:p>
        </w:tc>
      </w:tr>
      <w:tr w:rsidR="006E31BA" w:rsidTr="006E31BA">
        <w:trPr>
          <w:trHeight w:val="552"/>
        </w:trPr>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因公出国费用</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547"/>
        </w:trPr>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公务车购置费</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ind w:firstLine="440"/>
              <w:jc w:val="center"/>
              <w:rPr>
                <w:rFonts w:ascii="仿宋" w:eastAsia="仿宋" w:hAnsi="仿宋" w:hint="eastAsia"/>
                <w:kern w:val="0"/>
                <w:sz w:val="30"/>
                <w:szCs w:val="30"/>
              </w:rPr>
            </w:pPr>
          </w:p>
        </w:tc>
      </w:tr>
      <w:tr w:rsidR="006E31BA" w:rsidTr="006E31BA">
        <w:trPr>
          <w:trHeight w:val="682"/>
        </w:trPr>
        <w:tc>
          <w:tcPr>
            <w:tcW w:w="336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2"/>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合计</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4.8</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40</w:t>
            </w:r>
          </w:p>
        </w:tc>
        <w:tc>
          <w:tcPr>
            <w:tcW w:w="2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ind w:firstLine="440"/>
              <w:jc w:val="center"/>
              <w:rPr>
                <w:rFonts w:ascii="仿宋" w:eastAsia="仿宋" w:hAnsi="仿宋" w:hint="eastAsia"/>
                <w:kern w:val="0"/>
                <w:sz w:val="30"/>
                <w:szCs w:val="30"/>
              </w:rPr>
            </w:pPr>
            <w:r>
              <w:rPr>
                <w:rFonts w:ascii="仿宋" w:eastAsia="仿宋" w:hAnsi="仿宋" w:hint="eastAsia"/>
                <w:kern w:val="0"/>
                <w:sz w:val="30"/>
                <w:szCs w:val="30"/>
              </w:rPr>
              <w:t>44.8</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我局2021年“三公”经费预算金额为44.8万元，全部为财政拨款资金，并在我政府门户网站进行了公示。</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2．“三公”经费预算执行情况</w:t>
      </w:r>
      <w:r>
        <w:rPr>
          <w:rFonts w:ascii="仿宋" w:eastAsia="仿宋" w:hAnsi="仿宋" w:hint="eastAsia"/>
          <w:kern w:val="0"/>
          <w:sz w:val="30"/>
          <w:szCs w:val="30"/>
        </w:rPr>
        <w:t>（单位：万元）</w:t>
      </w:r>
    </w:p>
    <w:tbl>
      <w:tblPr>
        <w:tblW w:w="9187" w:type="dxa"/>
        <w:tblInd w:w="-72" w:type="dxa"/>
        <w:tblLayout w:type="fixed"/>
        <w:tblCellMar>
          <w:left w:w="0" w:type="dxa"/>
          <w:right w:w="0" w:type="dxa"/>
        </w:tblCellMar>
        <w:tblLook w:val="04A0" w:firstRow="1" w:lastRow="0" w:firstColumn="1" w:lastColumn="0" w:noHBand="0" w:noVBand="1"/>
      </w:tblPr>
      <w:tblGrid>
        <w:gridCol w:w="1729"/>
        <w:gridCol w:w="1213"/>
        <w:gridCol w:w="1215"/>
        <w:gridCol w:w="1322"/>
        <w:gridCol w:w="1215"/>
        <w:gridCol w:w="1278"/>
        <w:gridCol w:w="1215"/>
      </w:tblGrid>
      <w:tr w:rsidR="006E31BA" w:rsidTr="006E31BA">
        <w:trPr>
          <w:trHeight w:val="585"/>
        </w:trPr>
        <w:tc>
          <w:tcPr>
            <w:tcW w:w="1729"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费用项目</w:t>
            </w:r>
          </w:p>
        </w:tc>
        <w:tc>
          <w:tcPr>
            <w:tcW w:w="2428"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预算金额</w:t>
            </w:r>
          </w:p>
        </w:tc>
        <w:tc>
          <w:tcPr>
            <w:tcW w:w="2537"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决算金额</w:t>
            </w:r>
          </w:p>
        </w:tc>
        <w:tc>
          <w:tcPr>
            <w:tcW w:w="2493"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增加额（预-决）</w:t>
            </w:r>
          </w:p>
        </w:tc>
      </w:tr>
      <w:tr w:rsidR="006E31BA" w:rsidTr="006E31BA">
        <w:trPr>
          <w:trHeight w:val="585"/>
        </w:trPr>
        <w:tc>
          <w:tcPr>
            <w:tcW w:w="1729" w:type="dxa"/>
            <w:vMerge/>
            <w:tcBorders>
              <w:top w:val="single" w:sz="8" w:space="0" w:color="000000"/>
              <w:left w:val="single" w:sz="8" w:space="0" w:color="000000"/>
              <w:bottom w:val="single" w:sz="8" w:space="0" w:color="000000"/>
              <w:right w:val="single" w:sz="8" w:space="0" w:color="000000"/>
            </w:tcBorders>
            <w:vAlign w:val="center"/>
            <w:hideMark/>
          </w:tcPr>
          <w:p w:rsidR="006E31BA" w:rsidRDefault="006E31BA">
            <w:pPr>
              <w:widowControl/>
              <w:jc w:val="left"/>
              <w:rPr>
                <w:rFonts w:ascii="仿宋" w:eastAsia="仿宋" w:hAnsi="仿宋"/>
                <w:kern w:val="0"/>
                <w:sz w:val="30"/>
                <w:szCs w:val="30"/>
              </w:rPr>
            </w:pP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基本支出</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项目支出</w:t>
            </w:r>
          </w:p>
        </w:tc>
      </w:tr>
      <w:tr w:rsidR="006E31BA" w:rsidTr="006E31BA">
        <w:trPr>
          <w:trHeight w:val="585"/>
        </w:trPr>
        <w:tc>
          <w:tcPr>
            <w:tcW w:w="17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公务接待</w:t>
            </w: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4.8</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4.72</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0.08</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r>
      <w:tr w:rsidR="006E31BA" w:rsidTr="006E31BA">
        <w:trPr>
          <w:trHeight w:val="585"/>
        </w:trPr>
        <w:tc>
          <w:tcPr>
            <w:tcW w:w="17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lastRenderedPageBreak/>
              <w:t>公车运行</w:t>
            </w: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40</w:t>
            </w: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25.74</w:t>
            </w: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14.26</w:t>
            </w:r>
          </w:p>
        </w:tc>
      </w:tr>
      <w:tr w:rsidR="006E31BA" w:rsidTr="006E31BA">
        <w:trPr>
          <w:trHeight w:val="585"/>
        </w:trPr>
        <w:tc>
          <w:tcPr>
            <w:tcW w:w="17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公车购置</w:t>
            </w: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r>
      <w:tr w:rsidR="006E31BA" w:rsidTr="006E31BA">
        <w:trPr>
          <w:trHeight w:val="585"/>
        </w:trPr>
        <w:tc>
          <w:tcPr>
            <w:tcW w:w="17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因公出国</w:t>
            </w: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r>
      <w:tr w:rsidR="006E31BA" w:rsidTr="006E31BA">
        <w:trPr>
          <w:trHeight w:val="585"/>
        </w:trPr>
        <w:tc>
          <w:tcPr>
            <w:tcW w:w="172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合计</w:t>
            </w:r>
          </w:p>
        </w:tc>
        <w:tc>
          <w:tcPr>
            <w:tcW w:w="121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4.8</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40</w:t>
            </w:r>
          </w:p>
        </w:tc>
        <w:tc>
          <w:tcPr>
            <w:tcW w:w="13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4.72</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25.74</w:t>
            </w:r>
          </w:p>
        </w:tc>
        <w:tc>
          <w:tcPr>
            <w:tcW w:w="127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0.08</w:t>
            </w:r>
          </w:p>
        </w:tc>
        <w:tc>
          <w:tcPr>
            <w:tcW w:w="121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14.26</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我局2021年度“三公”经费预算44.8万元，实际支出30.46万元。“三公”经费总体控制好。</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3．“三公”经费与上年对比情况</w:t>
      </w:r>
      <w:r>
        <w:rPr>
          <w:rFonts w:ascii="仿宋" w:eastAsia="仿宋" w:hAnsi="仿宋" w:hint="eastAsia"/>
          <w:kern w:val="0"/>
          <w:sz w:val="30"/>
          <w:szCs w:val="30"/>
        </w:rPr>
        <w:t>（单位：万元）</w:t>
      </w:r>
    </w:p>
    <w:tbl>
      <w:tblPr>
        <w:tblW w:w="9757" w:type="dxa"/>
        <w:tblInd w:w="135" w:type="dxa"/>
        <w:tblLayout w:type="fixed"/>
        <w:tblCellMar>
          <w:left w:w="0" w:type="dxa"/>
          <w:right w:w="0" w:type="dxa"/>
        </w:tblCellMar>
        <w:tblLook w:val="04A0" w:firstRow="1" w:lastRow="0" w:firstColumn="1" w:lastColumn="0" w:noHBand="0" w:noVBand="1"/>
      </w:tblPr>
      <w:tblGrid>
        <w:gridCol w:w="2463"/>
        <w:gridCol w:w="2431"/>
        <w:gridCol w:w="2431"/>
        <w:gridCol w:w="2432"/>
      </w:tblGrid>
      <w:tr w:rsidR="006E31BA" w:rsidTr="006E31BA">
        <w:trPr>
          <w:trHeight w:val="1084"/>
        </w:trPr>
        <w:tc>
          <w:tcPr>
            <w:tcW w:w="24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费用项目</w:t>
            </w:r>
          </w:p>
        </w:tc>
        <w:tc>
          <w:tcPr>
            <w:tcW w:w="24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2020年决算数</w:t>
            </w:r>
          </w:p>
        </w:tc>
        <w:tc>
          <w:tcPr>
            <w:tcW w:w="243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2021年决算数</w:t>
            </w:r>
          </w:p>
        </w:tc>
        <w:tc>
          <w:tcPr>
            <w:tcW w:w="243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增减情况（2020-2021）</w:t>
            </w:r>
          </w:p>
        </w:tc>
      </w:tr>
      <w:tr w:rsidR="006E31BA" w:rsidTr="006E31BA">
        <w:trPr>
          <w:trHeight w:val="604"/>
        </w:trPr>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公务接待费</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4.78</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4.72</w:t>
            </w:r>
          </w:p>
        </w:tc>
        <w:tc>
          <w:tcPr>
            <w:tcW w:w="24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-0.06</w:t>
            </w:r>
          </w:p>
        </w:tc>
      </w:tr>
      <w:tr w:rsidR="006E31BA" w:rsidTr="006E31BA">
        <w:trPr>
          <w:trHeight w:val="604"/>
        </w:trPr>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公车运行维护费</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44.99</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25.74</w:t>
            </w:r>
          </w:p>
        </w:tc>
        <w:tc>
          <w:tcPr>
            <w:tcW w:w="24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-19.25</w:t>
            </w:r>
          </w:p>
        </w:tc>
      </w:tr>
      <w:tr w:rsidR="006E31BA" w:rsidTr="006E31BA">
        <w:trPr>
          <w:trHeight w:val="604"/>
        </w:trPr>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因公出国费用</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24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r>
      <w:tr w:rsidR="006E31BA" w:rsidTr="006E31BA">
        <w:trPr>
          <w:trHeight w:val="604"/>
        </w:trPr>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公务车购置费</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24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r>
      <w:tr w:rsidR="006E31BA" w:rsidTr="006E31BA">
        <w:trPr>
          <w:trHeight w:val="623"/>
        </w:trPr>
        <w:tc>
          <w:tcPr>
            <w:tcW w:w="246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textAlignment w:val="center"/>
              <w:rPr>
                <w:rFonts w:ascii="仿宋" w:eastAsia="仿宋" w:hAnsi="仿宋" w:hint="eastAsia"/>
                <w:kern w:val="0"/>
                <w:sz w:val="30"/>
                <w:szCs w:val="30"/>
              </w:rPr>
            </w:pPr>
            <w:r>
              <w:rPr>
                <w:rFonts w:ascii="仿宋" w:eastAsia="仿宋" w:hAnsi="仿宋" w:hint="eastAsia"/>
                <w:b/>
                <w:bCs/>
                <w:kern w:val="0"/>
                <w:sz w:val="30"/>
                <w:szCs w:val="30"/>
              </w:rPr>
              <w:t>合计</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49.77</w:t>
            </w:r>
          </w:p>
        </w:tc>
        <w:tc>
          <w:tcPr>
            <w:tcW w:w="243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30.46</w:t>
            </w:r>
          </w:p>
        </w:tc>
        <w:tc>
          <w:tcPr>
            <w:tcW w:w="243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-19.31</w:t>
            </w:r>
          </w:p>
        </w:tc>
      </w:tr>
    </w:tbl>
    <w:p w:rsidR="006E31BA" w:rsidRDefault="006E31BA" w:rsidP="006E31BA">
      <w:pPr>
        <w:widowControl/>
        <w:spacing w:line="560" w:lineRule="exact"/>
        <w:ind w:firstLine="640"/>
        <w:rPr>
          <w:rFonts w:ascii="仿宋" w:eastAsia="仿宋" w:hAnsi="仿宋" w:hint="eastAsia"/>
          <w:kern w:val="0"/>
          <w:sz w:val="30"/>
          <w:szCs w:val="30"/>
        </w:rPr>
      </w:pPr>
      <w:r>
        <w:rPr>
          <w:rFonts w:ascii="仿宋" w:eastAsia="仿宋" w:hAnsi="仿宋" w:hint="eastAsia"/>
          <w:kern w:val="0"/>
          <w:sz w:val="30"/>
          <w:szCs w:val="30"/>
        </w:rPr>
        <w:t>从上表反映，本年“三公”经费较上年有所减少，减少金额为19.31万元，主要为我局严控“三公”经费，从源头控制批准用车、用餐等费用，保持逐年递减的趋势。</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（三）专项支出管理和使用情况</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b/>
          <w:bCs/>
          <w:kern w:val="0"/>
          <w:sz w:val="30"/>
          <w:szCs w:val="30"/>
        </w:rPr>
        <w:t>1.  2021年我局专项资金预算情况</w:t>
      </w:r>
      <w:r>
        <w:rPr>
          <w:rFonts w:ascii="仿宋" w:eastAsia="仿宋" w:hAnsi="仿宋" w:hint="eastAsia"/>
          <w:kern w:val="0"/>
          <w:sz w:val="30"/>
          <w:szCs w:val="30"/>
        </w:rPr>
        <w:t>（单位：万元）</w:t>
      </w:r>
    </w:p>
    <w:p w:rsidR="006E31BA" w:rsidRDefault="006E31BA" w:rsidP="006E31BA">
      <w:pPr>
        <w:widowControl/>
        <w:spacing w:line="560" w:lineRule="exact"/>
        <w:ind w:firstLine="643"/>
        <w:rPr>
          <w:rFonts w:ascii="仿宋" w:eastAsia="仿宋" w:hAnsi="仿宋" w:hint="eastAsia"/>
          <w:kern w:val="0"/>
          <w:sz w:val="30"/>
          <w:szCs w:val="30"/>
        </w:rPr>
      </w:pPr>
      <w:r>
        <w:rPr>
          <w:rFonts w:ascii="仿宋" w:eastAsia="仿宋" w:hAnsi="仿宋" w:hint="eastAsia"/>
          <w:kern w:val="0"/>
          <w:sz w:val="30"/>
          <w:szCs w:val="30"/>
        </w:rPr>
        <w:t xml:space="preserve"> </w:t>
      </w:r>
    </w:p>
    <w:tbl>
      <w:tblPr>
        <w:tblW w:w="0" w:type="auto"/>
        <w:tblInd w:w="80" w:type="dxa"/>
        <w:tblLayout w:type="fixed"/>
        <w:tblCellMar>
          <w:left w:w="0" w:type="dxa"/>
          <w:right w:w="0" w:type="dxa"/>
        </w:tblCellMar>
        <w:tblLook w:val="04A0" w:firstRow="1" w:lastRow="0" w:firstColumn="1" w:lastColumn="0" w:noHBand="0" w:noVBand="1"/>
      </w:tblPr>
      <w:tblGrid>
        <w:gridCol w:w="1769"/>
        <w:gridCol w:w="1770"/>
        <w:gridCol w:w="1769"/>
        <w:gridCol w:w="1770"/>
        <w:gridCol w:w="1770"/>
      </w:tblGrid>
      <w:tr w:rsidR="006E31BA" w:rsidTr="006E31BA">
        <w:trPr>
          <w:trHeight w:val="735"/>
        </w:trPr>
        <w:tc>
          <w:tcPr>
            <w:tcW w:w="1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预算项目</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上年结余</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本年预算</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本年追加</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预算可用指标</w:t>
            </w:r>
          </w:p>
        </w:tc>
      </w:tr>
      <w:tr w:rsidR="006E31BA" w:rsidTr="006E31BA">
        <w:trPr>
          <w:trHeight w:val="735"/>
        </w:trPr>
        <w:tc>
          <w:tcPr>
            <w:tcW w:w="17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lastRenderedPageBreak/>
              <w:t>业务工作专项</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0</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451.6</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E31BA" w:rsidRDefault="006E31BA">
            <w:pPr>
              <w:widowControl/>
              <w:spacing w:line="560" w:lineRule="exact"/>
              <w:jc w:val="center"/>
              <w:rPr>
                <w:rFonts w:ascii="仿宋" w:eastAsia="仿宋" w:hAnsi="仿宋" w:hint="eastAsia"/>
                <w:kern w:val="0"/>
                <w:sz w:val="30"/>
                <w:szCs w:val="30"/>
              </w:rPr>
            </w:pP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451.6</w:t>
            </w:r>
          </w:p>
        </w:tc>
      </w:tr>
    </w:tbl>
    <w:p w:rsidR="006E31BA" w:rsidRDefault="006E31BA" w:rsidP="006E31BA">
      <w:pPr>
        <w:widowControl/>
        <w:spacing w:line="560" w:lineRule="exact"/>
        <w:ind w:firstLineChars="150" w:firstLine="452"/>
        <w:rPr>
          <w:rFonts w:ascii="仿宋" w:eastAsia="仿宋" w:hAnsi="仿宋" w:hint="eastAsia"/>
          <w:kern w:val="0"/>
          <w:sz w:val="30"/>
          <w:szCs w:val="30"/>
        </w:rPr>
      </w:pPr>
      <w:r>
        <w:rPr>
          <w:rFonts w:ascii="仿宋" w:eastAsia="仿宋" w:hAnsi="仿宋" w:hint="eastAsia"/>
          <w:b/>
          <w:bCs/>
          <w:kern w:val="0"/>
          <w:sz w:val="30"/>
          <w:szCs w:val="30"/>
        </w:rPr>
        <w:t>2．2021年专项资金投入使用情况</w:t>
      </w:r>
      <w:r>
        <w:rPr>
          <w:rFonts w:ascii="仿宋" w:eastAsia="仿宋" w:hAnsi="仿宋" w:hint="eastAsia"/>
          <w:kern w:val="0"/>
          <w:sz w:val="30"/>
          <w:szCs w:val="30"/>
        </w:rPr>
        <w:t>（单位：万元）</w:t>
      </w:r>
    </w:p>
    <w:tbl>
      <w:tblPr>
        <w:tblW w:w="0" w:type="auto"/>
        <w:tblInd w:w="80" w:type="dxa"/>
        <w:tblLayout w:type="fixed"/>
        <w:tblCellMar>
          <w:left w:w="0" w:type="dxa"/>
          <w:right w:w="0" w:type="dxa"/>
        </w:tblCellMar>
        <w:tblLook w:val="04A0" w:firstRow="1" w:lastRow="0" w:firstColumn="1" w:lastColumn="0" w:noHBand="0" w:noVBand="1"/>
      </w:tblPr>
      <w:tblGrid>
        <w:gridCol w:w="1769"/>
        <w:gridCol w:w="1770"/>
        <w:gridCol w:w="1769"/>
        <w:gridCol w:w="1770"/>
        <w:gridCol w:w="1770"/>
      </w:tblGrid>
      <w:tr w:rsidR="006E31BA" w:rsidTr="006E31BA">
        <w:trPr>
          <w:trHeight w:val="735"/>
        </w:trPr>
        <w:tc>
          <w:tcPr>
            <w:tcW w:w="1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预算项目</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预算指标</w:t>
            </w:r>
          </w:p>
        </w:tc>
        <w:tc>
          <w:tcPr>
            <w:tcW w:w="17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实际使用</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差额（预算-实际）</w:t>
            </w:r>
          </w:p>
        </w:tc>
        <w:tc>
          <w:tcPr>
            <w:tcW w:w="17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使用比例（实际/预算）</w:t>
            </w:r>
          </w:p>
        </w:tc>
      </w:tr>
      <w:tr w:rsidR="006E31BA" w:rsidTr="006E31BA">
        <w:trPr>
          <w:trHeight w:val="735"/>
        </w:trPr>
        <w:tc>
          <w:tcPr>
            <w:tcW w:w="176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b/>
                <w:bCs/>
                <w:kern w:val="0"/>
                <w:sz w:val="30"/>
                <w:szCs w:val="30"/>
              </w:rPr>
              <w:t>业务工作专项</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451.6</w:t>
            </w:r>
          </w:p>
        </w:tc>
        <w:tc>
          <w:tcPr>
            <w:tcW w:w="17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325.24</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126.36</w:t>
            </w:r>
          </w:p>
        </w:tc>
        <w:tc>
          <w:tcPr>
            <w:tcW w:w="177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6E31BA" w:rsidRDefault="006E31BA">
            <w:pPr>
              <w:widowControl/>
              <w:spacing w:line="560" w:lineRule="exact"/>
              <w:jc w:val="center"/>
              <w:rPr>
                <w:rFonts w:ascii="仿宋" w:eastAsia="仿宋" w:hAnsi="仿宋" w:hint="eastAsia"/>
                <w:kern w:val="0"/>
                <w:sz w:val="30"/>
                <w:szCs w:val="30"/>
              </w:rPr>
            </w:pPr>
            <w:r>
              <w:rPr>
                <w:rFonts w:ascii="仿宋" w:eastAsia="仿宋" w:hAnsi="仿宋" w:hint="eastAsia"/>
                <w:kern w:val="0"/>
                <w:sz w:val="30"/>
                <w:szCs w:val="30"/>
              </w:rPr>
              <w:t>72.02%</w:t>
            </w:r>
          </w:p>
        </w:tc>
      </w:tr>
    </w:tbl>
    <w:p w:rsidR="006E31BA" w:rsidRDefault="006E31BA" w:rsidP="006E31BA">
      <w:pPr>
        <w:widowControl/>
        <w:autoSpaceDE w:val="0"/>
        <w:spacing w:line="500" w:lineRule="exact"/>
        <w:ind w:firstLine="640"/>
        <w:rPr>
          <w:rFonts w:ascii="仿宋" w:eastAsia="仿宋" w:hAnsi="仿宋" w:hint="eastAsia"/>
          <w:kern w:val="0"/>
          <w:sz w:val="30"/>
          <w:szCs w:val="30"/>
        </w:rPr>
      </w:pPr>
      <w:r>
        <w:rPr>
          <w:rFonts w:ascii="仿宋" w:eastAsia="仿宋" w:hAnsi="仿宋" w:hint="eastAsia"/>
          <w:kern w:val="0"/>
          <w:sz w:val="30"/>
          <w:szCs w:val="30"/>
        </w:rPr>
        <w:t>针对上表反映情况，说明如下：</w:t>
      </w:r>
    </w:p>
    <w:p w:rsidR="006E31BA" w:rsidRDefault="006E31BA" w:rsidP="006E31BA">
      <w:pPr>
        <w:widowControl/>
        <w:autoSpaceDE w:val="0"/>
        <w:spacing w:line="500" w:lineRule="exact"/>
        <w:ind w:firstLine="640"/>
        <w:rPr>
          <w:rFonts w:ascii="仿宋" w:eastAsia="仿宋" w:hAnsi="仿宋" w:hint="eastAsia"/>
          <w:kern w:val="0"/>
          <w:sz w:val="30"/>
          <w:szCs w:val="30"/>
        </w:rPr>
      </w:pPr>
      <w:r>
        <w:rPr>
          <w:rFonts w:ascii="仿宋" w:eastAsia="仿宋" w:hAnsi="仿宋" w:hint="eastAsia"/>
          <w:kern w:val="0"/>
          <w:sz w:val="30"/>
          <w:szCs w:val="30"/>
        </w:rPr>
        <w:t>我局2021年专项资金主要为业务工作专项，其主要用途为对食品、药品、工业产品的监督管理执法工作经费、食品药品安全监管及抽样工作经费、计量器具的检定工作经费、特种设备安全监经费、农村药品两网建设工作、质量强市工作、知识产权、价格检查专项等专项工作经费。</w:t>
      </w:r>
    </w:p>
    <w:p w:rsidR="006E31BA" w:rsidRDefault="006E31BA" w:rsidP="006E31BA">
      <w:pPr>
        <w:widowControl/>
        <w:autoSpaceDE w:val="0"/>
        <w:spacing w:line="500" w:lineRule="exact"/>
        <w:ind w:firstLine="643"/>
        <w:rPr>
          <w:rFonts w:ascii="仿宋" w:eastAsia="仿宋" w:hAnsi="仿宋" w:hint="eastAsia"/>
          <w:kern w:val="0"/>
          <w:sz w:val="30"/>
          <w:szCs w:val="30"/>
        </w:rPr>
      </w:pPr>
      <w:r>
        <w:rPr>
          <w:rFonts w:ascii="仿宋" w:eastAsia="仿宋" w:hAnsi="仿宋" w:hint="eastAsia"/>
          <w:b/>
          <w:bCs/>
          <w:kern w:val="0"/>
          <w:sz w:val="30"/>
          <w:szCs w:val="30"/>
        </w:rPr>
        <w:t>（四）专项资金管理和组织实施情况</w:t>
      </w:r>
    </w:p>
    <w:p w:rsidR="006E31BA" w:rsidRDefault="006E31BA" w:rsidP="006E31BA">
      <w:pPr>
        <w:widowControl/>
        <w:autoSpaceDE w:val="0"/>
        <w:spacing w:line="500" w:lineRule="exact"/>
        <w:ind w:firstLine="640"/>
        <w:rPr>
          <w:rFonts w:ascii="仿宋" w:eastAsia="仿宋" w:hAnsi="仿宋" w:hint="eastAsia"/>
          <w:kern w:val="0"/>
          <w:sz w:val="30"/>
          <w:szCs w:val="30"/>
        </w:rPr>
      </w:pPr>
      <w:r>
        <w:rPr>
          <w:rFonts w:ascii="仿宋" w:eastAsia="仿宋" w:hAnsi="仿宋" w:hint="eastAsia"/>
          <w:kern w:val="0"/>
          <w:sz w:val="30"/>
          <w:szCs w:val="30"/>
        </w:rPr>
        <w:t>我局建立了专项资金管理办法，严格遵循专款专用、独立核算的管理原则。专项项目的申报严格按照省财政资金管理的要求进行，专项资金财政拨款到位后及时进行了项目开展和资金投入。我局目前对专项资金的管理按照项目支出涉及的经济科目规定，根据财务管理办法的相关制度执行。</w:t>
      </w:r>
    </w:p>
    <w:p w:rsidR="006E31BA" w:rsidRDefault="006E31BA" w:rsidP="006E31BA">
      <w:pPr>
        <w:widowControl/>
        <w:numPr>
          <w:ilvl w:val="0"/>
          <w:numId w:val="2"/>
        </w:numPr>
        <w:autoSpaceDE w:val="0"/>
        <w:spacing w:line="500" w:lineRule="exact"/>
        <w:rPr>
          <w:rFonts w:ascii="仿宋" w:eastAsia="仿宋" w:hAnsi="仿宋" w:hint="eastAsia"/>
          <w:kern w:val="0"/>
          <w:sz w:val="30"/>
          <w:szCs w:val="30"/>
        </w:rPr>
      </w:pPr>
      <w:r>
        <w:rPr>
          <w:rFonts w:ascii="仿宋" w:eastAsia="仿宋" w:hAnsi="仿宋" w:hint="eastAsia"/>
          <w:b/>
          <w:bCs/>
          <w:kern w:val="0"/>
          <w:sz w:val="30"/>
          <w:szCs w:val="30"/>
        </w:rPr>
        <w:t>部门整体支出绩效评价</w:t>
      </w:r>
    </w:p>
    <w:p w:rsidR="006E31BA" w:rsidRDefault="006E31BA" w:rsidP="006E31BA">
      <w:pPr>
        <w:widowControl/>
        <w:autoSpaceDE w:val="0"/>
        <w:spacing w:line="500" w:lineRule="exact"/>
        <w:ind w:firstLineChars="200" w:firstLine="600"/>
        <w:rPr>
          <w:rFonts w:ascii="仿宋" w:eastAsia="仿宋" w:hAnsi="仿宋" w:hint="eastAsia"/>
          <w:kern w:val="0"/>
          <w:sz w:val="30"/>
          <w:szCs w:val="30"/>
        </w:rPr>
      </w:pPr>
      <w:r>
        <w:rPr>
          <w:rFonts w:ascii="仿宋" w:eastAsia="仿宋" w:hAnsi="仿宋" w:hint="eastAsia"/>
          <w:kern w:val="0"/>
          <w:sz w:val="30"/>
          <w:szCs w:val="30"/>
        </w:rPr>
        <w:t>2021年，根据局年初工作规划和重点性工作，围绕省委、省政府全面建成小康社会的发展蓝图，积极履职，强化管理，较好的完成了年度工作目标。通过加强预算收支管理，不断建立健全内部管理制度，梳理内部管理流程，部门整体支出管理情况得到</w:t>
      </w:r>
      <w:r>
        <w:rPr>
          <w:rFonts w:ascii="仿宋" w:eastAsia="仿宋" w:hAnsi="仿宋" w:hint="eastAsia"/>
          <w:kern w:val="0"/>
          <w:sz w:val="30"/>
          <w:szCs w:val="30"/>
        </w:rPr>
        <w:lastRenderedPageBreak/>
        <w:t>提升。根据2021年度部门整体支出状况的概述和分析，部门整体支出绩效情况如下：</w:t>
      </w:r>
    </w:p>
    <w:p w:rsidR="006E31BA" w:rsidRDefault="006E31BA" w:rsidP="006E31BA">
      <w:pPr>
        <w:widowControl/>
        <w:autoSpaceDE w:val="0"/>
        <w:spacing w:line="500" w:lineRule="exact"/>
        <w:ind w:firstLine="643"/>
        <w:rPr>
          <w:rFonts w:ascii="仿宋" w:eastAsia="仿宋" w:hAnsi="仿宋" w:hint="eastAsia"/>
          <w:kern w:val="0"/>
          <w:sz w:val="30"/>
          <w:szCs w:val="30"/>
        </w:rPr>
      </w:pPr>
      <w:r>
        <w:rPr>
          <w:rFonts w:ascii="仿宋" w:eastAsia="仿宋" w:hAnsi="仿宋" w:hint="eastAsia"/>
          <w:b/>
          <w:bCs/>
          <w:kern w:val="0"/>
          <w:sz w:val="30"/>
          <w:szCs w:val="30"/>
        </w:rPr>
        <w:t>（一）经济效益评价</w:t>
      </w:r>
    </w:p>
    <w:p w:rsidR="006E31BA" w:rsidRDefault="006E31BA" w:rsidP="006E31BA">
      <w:pPr>
        <w:widowControl/>
        <w:autoSpaceDE w:val="0"/>
        <w:spacing w:line="500" w:lineRule="exact"/>
        <w:ind w:firstLine="643"/>
        <w:rPr>
          <w:rFonts w:ascii="仿宋" w:eastAsia="仿宋" w:hAnsi="仿宋" w:hint="eastAsia"/>
          <w:kern w:val="0"/>
          <w:sz w:val="30"/>
          <w:szCs w:val="30"/>
        </w:rPr>
      </w:pPr>
      <w:r>
        <w:rPr>
          <w:rFonts w:ascii="仿宋" w:eastAsia="仿宋" w:hAnsi="仿宋" w:hint="eastAsia"/>
          <w:b/>
          <w:bCs/>
          <w:kern w:val="0"/>
          <w:sz w:val="30"/>
          <w:szCs w:val="30"/>
        </w:rPr>
        <w:t>1.本年预算配置控制较好。</w:t>
      </w:r>
      <w:r>
        <w:rPr>
          <w:rFonts w:ascii="仿宋" w:eastAsia="仿宋" w:hAnsi="仿宋" w:hint="eastAsia"/>
          <w:kern w:val="0"/>
          <w:sz w:val="30"/>
          <w:szCs w:val="30"/>
        </w:rPr>
        <w:t>财政供养人员控制在预算编制以内，编制内在职人员控制率小于100%；“三公”经费变动率小于0，整体控制较好。</w:t>
      </w:r>
    </w:p>
    <w:p w:rsidR="006E31BA" w:rsidRDefault="006E31BA" w:rsidP="006E31BA">
      <w:pPr>
        <w:widowControl/>
        <w:autoSpaceDE w:val="0"/>
        <w:spacing w:line="500" w:lineRule="exact"/>
        <w:ind w:firstLine="643"/>
        <w:rPr>
          <w:rFonts w:ascii="仿宋" w:eastAsia="仿宋" w:hAnsi="仿宋" w:hint="eastAsia"/>
          <w:kern w:val="0"/>
          <w:sz w:val="30"/>
          <w:szCs w:val="30"/>
        </w:rPr>
      </w:pPr>
      <w:r>
        <w:rPr>
          <w:rFonts w:ascii="仿宋" w:eastAsia="仿宋" w:hAnsi="仿宋" w:hint="eastAsia"/>
          <w:b/>
          <w:bCs/>
          <w:kern w:val="0"/>
          <w:sz w:val="30"/>
          <w:szCs w:val="30"/>
        </w:rPr>
        <w:t>2. 预算执行方面。</w:t>
      </w:r>
      <w:r>
        <w:rPr>
          <w:rFonts w:ascii="仿宋" w:eastAsia="仿宋" w:hAnsi="仿宋" w:hint="eastAsia"/>
          <w:kern w:val="0"/>
          <w:sz w:val="30"/>
          <w:szCs w:val="30"/>
        </w:rPr>
        <w:t>支出总额控制在预算总额以内，本年部门预算未进行预算相关事项的调整；不存在截留或滞留专项资金情况；“三公”经费总体控制较好，未超本年预算和上年决算支出。</w:t>
      </w:r>
    </w:p>
    <w:p w:rsidR="006E31BA" w:rsidRDefault="006E31BA" w:rsidP="006E31BA">
      <w:pPr>
        <w:widowControl/>
        <w:autoSpaceDE w:val="0"/>
        <w:spacing w:line="500" w:lineRule="exact"/>
        <w:ind w:firstLine="640"/>
        <w:rPr>
          <w:rFonts w:ascii="仿宋" w:eastAsia="仿宋" w:hAnsi="仿宋" w:hint="eastAsia"/>
          <w:kern w:val="0"/>
          <w:sz w:val="30"/>
          <w:szCs w:val="30"/>
        </w:rPr>
      </w:pPr>
      <w:r>
        <w:rPr>
          <w:rFonts w:ascii="仿宋" w:eastAsia="仿宋" w:hAnsi="仿宋" w:hint="eastAsia"/>
          <w:kern w:val="0"/>
          <w:sz w:val="30"/>
          <w:szCs w:val="30"/>
        </w:rPr>
        <w:t>预算管理方面，制度执行总体较为有效，仍需进一步强化；资金使用管理需进一步加强。</w:t>
      </w:r>
    </w:p>
    <w:p w:rsidR="006E31BA" w:rsidRDefault="006E31BA" w:rsidP="006E31BA">
      <w:pPr>
        <w:widowControl/>
        <w:autoSpaceDE w:val="0"/>
        <w:spacing w:line="500" w:lineRule="exact"/>
        <w:ind w:firstLine="640"/>
        <w:rPr>
          <w:rFonts w:ascii="仿宋" w:eastAsia="仿宋" w:hAnsi="仿宋" w:hint="eastAsia"/>
          <w:kern w:val="0"/>
          <w:sz w:val="30"/>
          <w:szCs w:val="30"/>
        </w:rPr>
      </w:pPr>
      <w:r>
        <w:rPr>
          <w:rFonts w:ascii="仿宋" w:eastAsia="仿宋" w:hAnsi="仿宋" w:hint="eastAsia"/>
          <w:kern w:val="0"/>
          <w:sz w:val="30"/>
          <w:szCs w:val="30"/>
        </w:rPr>
        <w:t>资产管理方面，建立了资产管理制度，定期进行了盘点和资产清理，总体执行较好。</w:t>
      </w:r>
    </w:p>
    <w:p w:rsidR="006E31BA" w:rsidRDefault="006E31BA" w:rsidP="006E31BA">
      <w:pPr>
        <w:widowControl/>
        <w:autoSpaceDE w:val="0"/>
        <w:spacing w:line="500" w:lineRule="exact"/>
        <w:ind w:firstLine="643"/>
        <w:rPr>
          <w:rFonts w:ascii="仿宋" w:eastAsia="仿宋" w:hAnsi="仿宋" w:hint="eastAsia"/>
          <w:kern w:val="0"/>
          <w:sz w:val="30"/>
          <w:szCs w:val="30"/>
        </w:rPr>
      </w:pPr>
      <w:r>
        <w:rPr>
          <w:rFonts w:ascii="仿宋" w:eastAsia="仿宋" w:hAnsi="仿宋" w:hint="eastAsia"/>
          <w:b/>
          <w:bCs/>
          <w:kern w:val="0"/>
          <w:sz w:val="30"/>
          <w:szCs w:val="30"/>
        </w:rPr>
        <w:t>（二）效率性评价和有效性评价</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kern w:val="0"/>
          <w:sz w:val="30"/>
          <w:szCs w:val="30"/>
        </w:rPr>
        <w:t>我局预算安排的基本支出保障了我局正常的工作运转，体现了市委市政府对我局监管工作的关心和重视，预算安排的项目支出是非常必要的，我局在执行上是严格遵守各项财经纪律的，在项目资金的使用上也是统筹安排使人放心的。在今后工作中我局将</w:t>
      </w:r>
      <w:r>
        <w:rPr>
          <w:rFonts w:ascii="仿宋" w:eastAsia="仿宋" w:hAnsi="仿宋" w:hint="eastAsia"/>
          <w:sz w:val="30"/>
          <w:szCs w:val="30"/>
        </w:rPr>
        <w:t>进一步提高行政经费及项目经费支出透明度和资金使用效益，认真学习党的路线、方针、政策及法律法规知识，按照“三严三实”的要求，自觉在思想、政治、行动上与党中央保持高度一致，继续保持优良作风，独善其身，更好的为人民服务。</w:t>
      </w:r>
    </w:p>
    <w:p w:rsidR="006E31BA" w:rsidRDefault="006E31BA" w:rsidP="006E31BA">
      <w:pPr>
        <w:autoSpaceDE w:val="0"/>
        <w:spacing w:line="500" w:lineRule="exact"/>
        <w:ind w:leftChars="36" w:left="76" w:firstLineChars="200" w:firstLine="600"/>
        <w:rPr>
          <w:rFonts w:ascii="仿宋" w:eastAsia="仿宋" w:hAnsi="仿宋" w:hint="eastAsia"/>
          <w:kern w:val="0"/>
          <w:sz w:val="30"/>
          <w:szCs w:val="30"/>
        </w:rPr>
      </w:pPr>
      <w:r>
        <w:rPr>
          <w:rFonts w:ascii="仿宋" w:eastAsia="仿宋" w:hAnsi="仿宋" w:hint="eastAsia"/>
          <w:kern w:val="0"/>
          <w:sz w:val="30"/>
          <w:szCs w:val="30"/>
        </w:rPr>
        <w:t>2021年我局自评为良好，得分89.5分。</w:t>
      </w:r>
    </w:p>
    <w:p w:rsidR="006E31BA" w:rsidRDefault="006E31BA" w:rsidP="006E31BA">
      <w:pPr>
        <w:autoSpaceDE w:val="0"/>
        <w:spacing w:line="500" w:lineRule="exact"/>
        <w:ind w:leftChars="36" w:left="76" w:firstLineChars="200" w:firstLine="602"/>
        <w:rPr>
          <w:rFonts w:ascii="仿宋" w:eastAsia="仿宋" w:hAnsi="仿宋" w:hint="eastAsia"/>
          <w:b/>
          <w:bCs/>
          <w:kern w:val="0"/>
          <w:sz w:val="30"/>
          <w:szCs w:val="30"/>
        </w:rPr>
      </w:pPr>
      <w:r>
        <w:rPr>
          <w:rFonts w:ascii="仿宋" w:eastAsia="仿宋" w:hAnsi="仿宋" w:hint="eastAsia"/>
          <w:b/>
          <w:bCs/>
          <w:kern w:val="0"/>
          <w:sz w:val="30"/>
          <w:szCs w:val="30"/>
        </w:rPr>
        <w:t>六、存在的主要问题</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1、预算编制的合理性有待提高。</w:t>
      </w:r>
    </w:p>
    <w:p w:rsidR="006E31BA" w:rsidRDefault="006E31BA" w:rsidP="006E31BA">
      <w:pPr>
        <w:autoSpaceDE w:val="0"/>
        <w:spacing w:line="500" w:lineRule="exact"/>
        <w:ind w:leftChars="36" w:left="76" w:firstLineChars="200" w:firstLine="602"/>
        <w:rPr>
          <w:rFonts w:ascii="仿宋" w:eastAsia="仿宋" w:hAnsi="仿宋" w:hint="eastAsia"/>
          <w:b/>
          <w:bCs/>
          <w:kern w:val="0"/>
          <w:sz w:val="30"/>
          <w:szCs w:val="30"/>
        </w:rPr>
      </w:pPr>
      <w:r>
        <w:rPr>
          <w:rFonts w:ascii="仿宋" w:eastAsia="仿宋" w:hAnsi="仿宋" w:hint="eastAsia"/>
          <w:b/>
          <w:bCs/>
          <w:kern w:val="0"/>
          <w:sz w:val="30"/>
          <w:szCs w:val="30"/>
        </w:rPr>
        <w:t>七、有关建议</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lastRenderedPageBreak/>
        <w:t>针对上述存在的问题及我局整体支出管理工作的需要，拟实施的改进措施如下：</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1、细化预算编制工作，认真做好预算的编制，进一步提高预算编制的科学性、严谨性和可控性。</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2、加强财务管理，严格财务审核。在费用报账支付时，按照预算规定的费用项目和用途进行资金使用审核、列报支付、财务核算，杜绝超支现象的发生。</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3、持续抓好“三公”经费控制管理，严格控制“三公”经费的规模和比例，把关“三公”经费支出的审核、审批，进一步细化“三公”经费的管理，合理压缩“三公”经费支出。</w:t>
      </w:r>
    </w:p>
    <w:p w:rsidR="006E31BA" w:rsidRDefault="006E31BA" w:rsidP="006E31BA">
      <w:pPr>
        <w:autoSpaceDE w:val="0"/>
        <w:spacing w:line="50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4、加强项目开展进度的跟踪，开展项目绩效评价，确保项目绩效目标的完成。</w:t>
      </w:r>
    </w:p>
    <w:p w:rsidR="006E31BA" w:rsidRDefault="006E31BA" w:rsidP="006E31BA">
      <w:pPr>
        <w:spacing w:line="56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 xml:space="preserve"> </w:t>
      </w:r>
    </w:p>
    <w:p w:rsidR="006E31BA" w:rsidRDefault="006E31BA" w:rsidP="006E31BA">
      <w:pPr>
        <w:widowControl/>
        <w:spacing w:line="580" w:lineRule="atLeast"/>
        <w:ind w:firstLineChars="600" w:firstLine="1800"/>
        <w:rPr>
          <w:rFonts w:ascii="仿宋_GB2312" w:eastAsia="仿宋_GB2312" w:hint="eastAsia"/>
          <w:color w:val="222222"/>
          <w:kern w:val="0"/>
          <w:sz w:val="32"/>
          <w:szCs w:val="32"/>
        </w:rPr>
      </w:pPr>
      <w:r>
        <w:rPr>
          <w:rFonts w:ascii="仿宋" w:eastAsia="仿宋" w:hAnsi="仿宋"/>
          <w:sz w:val="30"/>
          <w:szCs w:val="30"/>
        </w:rPr>
        <w:t xml:space="preserve"> </w:t>
      </w:r>
    </w:p>
    <w:p w:rsidR="006E31BA" w:rsidRDefault="006E31BA" w:rsidP="006E31BA">
      <w:pPr>
        <w:spacing w:line="560" w:lineRule="exact"/>
        <w:ind w:leftChars="36" w:left="76" w:firstLineChars="200" w:firstLine="600"/>
        <w:rPr>
          <w:rFonts w:ascii="仿宋" w:eastAsia="仿宋" w:hAnsi="仿宋" w:hint="eastAsia"/>
          <w:sz w:val="30"/>
          <w:szCs w:val="30"/>
        </w:rPr>
      </w:pPr>
      <w:r>
        <w:rPr>
          <w:rFonts w:ascii="仿宋" w:eastAsia="仿宋" w:hAnsi="仿宋" w:hint="eastAsia"/>
          <w:sz w:val="30"/>
          <w:szCs w:val="30"/>
        </w:rPr>
        <w:t xml:space="preserve"> </w:t>
      </w:r>
    </w:p>
    <w:p w:rsidR="006E31BA" w:rsidRDefault="006E31BA" w:rsidP="006E31BA">
      <w:pPr>
        <w:widowControl/>
        <w:spacing w:line="560" w:lineRule="exact"/>
        <w:rPr>
          <w:rFonts w:ascii="仿宋" w:eastAsia="仿宋" w:hAnsi="仿宋" w:hint="eastAsia"/>
          <w:kern w:val="0"/>
          <w:sz w:val="30"/>
          <w:szCs w:val="30"/>
        </w:rPr>
      </w:pPr>
      <w:r>
        <w:rPr>
          <w:rFonts w:ascii="仿宋" w:eastAsia="仿宋" w:hAnsi="仿宋" w:hint="eastAsia"/>
          <w:kern w:val="0"/>
          <w:sz w:val="30"/>
          <w:szCs w:val="30"/>
        </w:rPr>
        <w:t xml:space="preserve"> </w:t>
      </w:r>
    </w:p>
    <w:p w:rsidR="006E31BA" w:rsidRDefault="006E31BA" w:rsidP="006E31BA">
      <w:pPr>
        <w:widowControl/>
        <w:spacing w:line="560" w:lineRule="exact"/>
        <w:ind w:firstLineChars="1400" w:firstLine="4200"/>
        <w:rPr>
          <w:rFonts w:ascii="仿宋" w:eastAsia="仿宋" w:hAnsi="仿宋" w:hint="eastAsia"/>
          <w:kern w:val="0"/>
          <w:sz w:val="30"/>
          <w:szCs w:val="30"/>
        </w:rPr>
      </w:pPr>
      <w:r>
        <w:rPr>
          <w:rFonts w:ascii="仿宋" w:eastAsia="仿宋" w:hAnsi="仿宋" w:hint="eastAsia"/>
          <w:kern w:val="0"/>
          <w:sz w:val="30"/>
          <w:szCs w:val="30"/>
        </w:rPr>
        <w:t>武冈市市场监督管理局</w:t>
      </w:r>
    </w:p>
    <w:p w:rsidR="006E31BA" w:rsidRDefault="006E31BA" w:rsidP="006E31BA">
      <w:pPr>
        <w:widowControl/>
        <w:spacing w:line="560" w:lineRule="exact"/>
        <w:ind w:firstLineChars="950" w:firstLine="2850"/>
        <w:rPr>
          <w:rFonts w:ascii="仿宋" w:eastAsia="仿宋" w:hAnsi="仿宋" w:hint="eastAsia"/>
          <w:kern w:val="0"/>
          <w:sz w:val="30"/>
          <w:szCs w:val="30"/>
        </w:rPr>
      </w:pPr>
      <w:r>
        <w:rPr>
          <w:rFonts w:ascii="仿宋" w:eastAsia="仿宋" w:hAnsi="仿宋" w:hint="eastAsia"/>
          <w:kern w:val="0"/>
          <w:sz w:val="30"/>
          <w:szCs w:val="30"/>
        </w:rPr>
        <w:t xml:space="preserve">             2022年8月10日</w:t>
      </w:r>
    </w:p>
    <w:p w:rsidR="006E31BA" w:rsidRDefault="006E31BA" w:rsidP="006E31BA">
      <w:pPr>
        <w:jc w:val="left"/>
        <w:rPr>
          <w:rFonts w:hint="eastAsia"/>
        </w:rPr>
      </w:pPr>
      <w:r>
        <w:rPr>
          <w:rFonts w:hint="eastAsia"/>
        </w:rPr>
        <w:t xml:space="preserve"> </w:t>
      </w:r>
    </w:p>
    <w:p w:rsidR="00AE79BD" w:rsidRPr="006E31BA" w:rsidRDefault="00D44C96"/>
    <w:sectPr w:rsidR="00AE79BD" w:rsidRPr="006E3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C96" w:rsidRDefault="00D44C96" w:rsidP="006E31BA">
      <w:r>
        <w:separator/>
      </w:r>
    </w:p>
  </w:endnote>
  <w:endnote w:type="continuationSeparator" w:id="0">
    <w:p w:rsidR="00D44C96" w:rsidRDefault="00D44C96" w:rsidP="006E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C96" w:rsidRDefault="00D44C96" w:rsidP="006E31BA">
      <w:r>
        <w:separator/>
      </w:r>
    </w:p>
  </w:footnote>
  <w:footnote w:type="continuationSeparator" w:id="0">
    <w:p w:rsidR="00D44C96" w:rsidRDefault="00D44C96" w:rsidP="006E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1DE6"/>
    <w:multiLevelType w:val="multilevel"/>
    <w:tmpl w:val="612C2CB4"/>
    <w:lvl w:ilvl="0">
      <w:start w:val="5"/>
      <w:numFmt w:val="chineseCounting"/>
      <w:suff w:val="nothing"/>
      <w:lvlText w:val="%1、"/>
      <w:lvlJc w:val="left"/>
      <w:pPr>
        <w:ind w:left="79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CB73BB6"/>
    <w:multiLevelType w:val="multilevel"/>
    <w:tmpl w:val="DD662082"/>
    <w:lvl w:ilvl="0">
      <w:start w:val="2"/>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7CC"/>
    <w:rsid w:val="005417CC"/>
    <w:rsid w:val="006E31BA"/>
    <w:rsid w:val="009F690F"/>
    <w:rsid w:val="00D10986"/>
    <w:rsid w:val="00D44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CF7DC7-E80D-4398-A645-C394B73C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B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31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31BA"/>
    <w:rPr>
      <w:sz w:val="18"/>
      <w:szCs w:val="18"/>
    </w:rPr>
  </w:style>
  <w:style w:type="paragraph" w:styleId="a4">
    <w:name w:val="footer"/>
    <w:basedOn w:val="a"/>
    <w:link w:val="Char0"/>
    <w:uiPriority w:val="99"/>
    <w:unhideWhenUsed/>
    <w:rsid w:val="006E31BA"/>
    <w:pPr>
      <w:tabs>
        <w:tab w:val="center" w:pos="4153"/>
        <w:tab w:val="right" w:pos="8306"/>
      </w:tabs>
      <w:snapToGrid w:val="0"/>
      <w:jc w:val="left"/>
    </w:pPr>
    <w:rPr>
      <w:sz w:val="18"/>
      <w:szCs w:val="18"/>
    </w:rPr>
  </w:style>
  <w:style w:type="character" w:customStyle="1" w:styleId="Char0">
    <w:name w:val="页脚 Char"/>
    <w:basedOn w:val="a0"/>
    <w:link w:val="a4"/>
    <w:uiPriority w:val="99"/>
    <w:rsid w:val="006E31BA"/>
    <w:rPr>
      <w:sz w:val="18"/>
      <w:szCs w:val="18"/>
    </w:rPr>
  </w:style>
  <w:style w:type="character" w:styleId="a5">
    <w:name w:val="Hyperlink"/>
    <w:basedOn w:val="a0"/>
    <w:uiPriority w:val="99"/>
    <w:unhideWhenUsed/>
    <w:rsid w:val="006E3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0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1226</Words>
  <Characters>6994</Characters>
  <Application>Microsoft Office Word</Application>
  <DocSecurity>0</DocSecurity>
  <Lines>58</Lines>
  <Paragraphs>16</Paragraphs>
  <ScaleCrop>false</ScaleCrop>
  <Company>Sinopec</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2022-09-27T08:53:00Z</dcterms:created>
  <dcterms:modified xsi:type="dcterms:W3CDTF">2022-09-27T08:54:00Z</dcterms:modified>
</cp:coreProperties>
</file>